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December 3, 2025</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Date of Report (date of earliest event reported)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shd w:fill="FFFFFF" w:val="clear"/>
        </w:rPr>
      </w:pPr>
      <w:r>
        <w:rPr>
          <w:rFonts w:ascii="Times New Roman;Times;serif" w:hAnsi="Times New Roman;Times;serif"/>
          <w:b/>
          <w:color w:val="000000"/>
          <w:sz w:val="48"/>
          <w:shd w:fill="FFFFFF" w:val="clear"/>
        </w:rPr>
        <w:t>IREN LIMITED</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(Exact name of registrant as specified in its charter)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Australia</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(State or other jurisdiction of incorporation or organization)</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001-41072</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(Commission File Number)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Not Applicable</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(I.R.S. Employer Identification No.)</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Level 6, 55 Market Street, Sydney, NSW 2000 Australia</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+61 2 7906 8301</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0"/>
              <w:jc w:val="left"/>
              <w:rPr/>
            </w:pPr>
            <w:r>
              <w:rPr/>
              <w:t>☐</w:t>
            </w:r>
          </w:p>
        </w:tc>
        <w:tc>
          <w:tcPr>
            <w:tcW w:w="8525" w:type="dxa"/>
            <w:tcBorders/>
            <w:vAlign w:val="center"/>
          </w:tcPr>
          <w:p>
            <w:pPr>
              <w:pStyle w:val="TableContents"/>
              <w:bidi w:val="0"/>
              <w:spacing w:before="0" w:after="0"/>
              <w:jc w:val="left"/>
              <w:rPr/>
            </w:pPr>
            <w:r>
              <w:rPr/>
              <w:t>Written communications pursuant to Rule 425 under the Securities Act (17 CFR 230.425)</w:t>
            </w:r>
          </w:p>
        </w:tc>
      </w:tr>
    </w:tbl>
    <w:p>
      <w:pPr>
        <w:pStyle w:val="TextBody"/>
        <w:bidi w:val="0"/>
        <w:spacing w:before="0" w:after="0"/>
        <w:jc w:val="left"/>
        <w:rPr/>
      </w:pPr>
      <w:r>
        <w:rPr/>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0"/>
              <w:jc w:val="left"/>
              <w:rPr/>
            </w:pPr>
            <w:r>
              <w:rPr/>
              <w:t>☐</w:t>
            </w:r>
          </w:p>
        </w:tc>
        <w:tc>
          <w:tcPr>
            <w:tcW w:w="8555" w:type="dxa"/>
            <w:tcBorders/>
            <w:vAlign w:val="center"/>
          </w:tcPr>
          <w:p>
            <w:pPr>
              <w:pStyle w:val="TableContents"/>
              <w:bidi w:val="0"/>
              <w:spacing w:before="0" w:after="0"/>
              <w:jc w:val="left"/>
              <w:rPr/>
            </w:pPr>
            <w:r>
              <w:rPr/>
              <w:t>Soliciting material pursuant to Rule 14a-12 under the Exchange Act (17 CFR 240.14a-12)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Pre-commencement communications pursuant to Rule 14d-2(b) under the Exchange Act (17 CFR 240.14d-2(b))</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before="0" w:after="0"/>
        <w:jc w:val="left"/>
        <w:rPr/>
      </w:pPr>
      <w:r>
        <w:rPr/>
      </w:r>
    </w:p>
    <w:tbl>
      <w:tblPr>
        <w:tblW w:w="9270" w:type="dxa"/>
        <w:jc w:val="left"/>
        <w:tblInd w:w="-15" w:type="dxa"/>
        <w:tblLayout w:type="fixed"/>
        <w:tblCellMar>
          <w:top w:w="28" w:type="dxa"/>
          <w:left w:w="28" w:type="dxa"/>
          <w:bottom w:w="28" w:type="dxa"/>
          <w:right w:w="28" w:type="dxa"/>
        </w:tblCellMar>
      </w:tblPr>
      <w:tblGrid>
        <w:gridCol w:w="2870"/>
        <w:gridCol w:w="1925"/>
        <w:gridCol w:w="4475"/>
      </w:tblGrid>
      <w:tr>
        <w:trPr/>
        <w:tc>
          <w:tcPr>
            <w:tcW w:w="28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Title of each class</w:t>
            </w:r>
          </w:p>
        </w:tc>
        <w:tc>
          <w:tcPr>
            <w:tcW w:w="192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b/>
              </w:rPr>
            </w:pPr>
            <w:r>
              <w:rPr>
                <w:b/>
              </w:rPr>
              <w:t>Trading Symbol(s)</w:t>
            </w:r>
          </w:p>
        </w:tc>
        <w:tc>
          <w:tcPr>
            <w:tcW w:w="447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b/>
              </w:rPr>
            </w:pPr>
            <w:r>
              <w:rPr>
                <w:b/>
              </w:rPr>
              <w:t>Name of each exchange on which registered</w:t>
            </w:r>
          </w:p>
        </w:tc>
      </w:tr>
      <w:tr>
        <w:trPr/>
        <w:tc>
          <w:tcPr>
            <w:tcW w:w="28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Ordinary Shares, no par value</w:t>
            </w:r>
          </w:p>
        </w:tc>
        <w:tc>
          <w:tcPr>
            <w:tcW w:w="192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IREN</w:t>
            </w:r>
          </w:p>
        </w:tc>
        <w:tc>
          <w:tcPr>
            <w:tcW w:w="447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The Nasdaq Stock Market LLC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8.01 Other Events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December 3, 2025, IREN Limited issued a press release announcing that it had priced its private offering of convertible notes and a press release announcing that it had priced its registered direct offering of ordinary shares to fund the repurchase of convertible notes. A copy of these press releases are filed as Exhibits 99.1 and 99.2, respectively, to this Current Report on Form 8-K and incorporated herein by reference.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Current Report on Form 8-K and the press releases attached hereto as Exhibits 99.1 and 99.2 do not constitute an offer to sell or the solicitation of an offer to buy these securities, nor shall there be any offer, solicitation or sale of these securities in any jurisdiction in which such offer, solicitation or sale would be unlawful.</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Item 9.01. Financial Statements and Exhibits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 Exhibits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40"/>
        <w:gridCol w:w="60"/>
        <w:gridCol w:w="9705"/>
      </w:tblGrid>
      <w:tr>
        <w:trPr/>
        <w:tc>
          <w:tcPr>
            <w:tcW w:w="440" w:type="dxa"/>
            <w:tcBorders/>
            <w:vAlign w:val="center"/>
          </w:tcPr>
          <w:p>
            <w:pPr>
              <w:pStyle w:val="TableContents"/>
              <w:bidi w:val="0"/>
              <w:spacing w:before="0" w:after="0"/>
              <w:jc w:val="left"/>
              <w:rPr>
                <w:b/>
              </w:rPr>
            </w:pPr>
            <w:r>
              <w:rPr>
                <w:b/>
              </w:rPr>
              <w:t>No.</w:t>
            </w:r>
          </w:p>
        </w:tc>
        <w:tc>
          <w:tcPr>
            <w:tcW w:w="6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0"/>
              <w:jc w:val="left"/>
              <w:rPr>
                <w:b/>
              </w:rPr>
            </w:pPr>
            <w:r>
              <w:rPr>
                <w:b/>
              </w:rPr>
              <w:t>Description</w:t>
            </w:r>
          </w:p>
        </w:tc>
      </w:tr>
      <w:tr>
        <w:trPr/>
        <w:tc>
          <w:tcPr>
            <w:tcW w:w="440" w:type="dxa"/>
            <w:tcBorders/>
            <w:vAlign w:val="center"/>
          </w:tcPr>
          <w:p>
            <w:pPr>
              <w:pStyle w:val="TableContents"/>
              <w:bidi w:val="0"/>
              <w:spacing w:before="0" w:after="0"/>
              <w:jc w:val="left"/>
              <w:rPr/>
            </w:pPr>
            <w:hyperlink w:anchor="ny20060080x4_ex99-1.htm">
              <w:r>
                <w:rPr>
                  <w:rStyle w:val="InternetLink"/>
                  <w:rFonts w:ascii="Times New Roman;Times;serif" w:hAnsi="Times New Roman;Times;serif"/>
                </w:rPr>
                <w:t>99.1</w:t>
              </w:r>
            </w:hyperlink>
          </w:p>
        </w:tc>
        <w:tc>
          <w:tcPr>
            <w:tcW w:w="6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Press release of IREN Limited announcing the pricing of its convertible notes offering, dated December 3, 2025.</w:t>
            </w:r>
          </w:p>
        </w:tc>
      </w:tr>
      <w:tr>
        <w:trPr/>
        <w:tc>
          <w:tcPr>
            <w:tcW w:w="440" w:type="dxa"/>
            <w:tcBorders/>
            <w:vAlign w:val="center"/>
          </w:tcPr>
          <w:p>
            <w:pPr>
              <w:pStyle w:val="TableContents"/>
              <w:bidi w:val="0"/>
              <w:spacing w:before="0" w:after="0"/>
              <w:jc w:val="left"/>
              <w:rPr/>
            </w:pPr>
            <w:hyperlink w:anchor="ny20060080x4_ex99-2.htm">
              <w:r>
                <w:rPr>
                  <w:rStyle w:val="InternetLink"/>
                  <w:rFonts w:ascii="Times New Roman;Times;serif" w:hAnsi="Times New Roman;Times;serif"/>
                </w:rPr>
                <w:t>99.2</w:t>
              </w:r>
            </w:hyperlink>
          </w:p>
        </w:tc>
        <w:tc>
          <w:tcPr>
            <w:tcW w:w="6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Press release of IREN Limited announcing the pricing of its registered direct offering of ordinary shares to fund the repurchase of convertible notes, dated December 3, 2025.</w:t>
            </w:r>
          </w:p>
        </w:tc>
      </w:tr>
      <w:tr>
        <w:trPr/>
        <w:tc>
          <w:tcPr>
            <w:tcW w:w="44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104</w:t>
            </w:r>
          </w:p>
        </w:tc>
        <w:tc>
          <w:tcPr>
            <w:tcW w:w="6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Cover page of this Current Report on Form 8-K formatted in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870" w:type="dxa"/>
        <w:jc w:val="left"/>
        <w:tblInd w:w="0" w:type="dxa"/>
        <w:tblLayout w:type="fixed"/>
        <w:tblCellMar>
          <w:top w:w="0" w:type="dxa"/>
          <w:left w:w="0" w:type="dxa"/>
          <w:bottom w:w="0" w:type="dxa"/>
          <w:right w:w="0" w:type="dxa"/>
        </w:tblCellMar>
      </w:tblPr>
      <w:tblGrid>
        <w:gridCol w:w="2360"/>
        <w:gridCol w:w="60"/>
        <w:gridCol w:w="60"/>
        <w:gridCol w:w="60"/>
        <w:gridCol w:w="365"/>
        <w:gridCol w:w="60"/>
        <w:gridCol w:w="390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0" w:type="dxa"/>
            <w:gridSpan w:val="3"/>
            <w:tcBorders/>
            <w:vAlign w:val="center"/>
          </w:tcPr>
          <w:p>
            <w:pPr>
              <w:pStyle w:val="TableContents"/>
              <w:bidi w:val="0"/>
              <w:spacing w:before="0" w:after="0"/>
              <w:jc w:val="left"/>
              <w:rPr>
                <w:b/>
              </w:rPr>
            </w:pPr>
            <w:r>
              <w:rPr>
                <w:b/>
              </w:rPr>
              <w:t>IREN Limited</w:t>
            </w:r>
          </w:p>
        </w:tc>
      </w:tr>
      <w:tr>
        <w:trPr/>
        <w:tc>
          <w:tcPr>
            <w:tcW w:w="23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283"/>
              <w:jc w:val="left"/>
              <w:rPr/>
            </w:pPr>
            <w:r>
              <w:rPr/>
              <w:t> </w:t>
            </w:r>
          </w:p>
        </w:tc>
        <w:tc>
          <w:tcPr>
            <w:tcW w:w="3965" w:type="dxa"/>
            <w:gridSpan w:val="2"/>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Date: December 3,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60" w:type="dxa"/>
            <w:tcBorders/>
            <w:vAlign w:val="center"/>
          </w:tcPr>
          <w:p>
            <w:pPr>
              <w:pStyle w:val="TableContents"/>
              <w:bidi w:val="0"/>
              <w:spacing w:before="0" w:after="283"/>
              <w:jc w:val="left"/>
              <w:rPr/>
            </w:pPr>
            <w:r>
              <w:rPr/>
              <w:t> </w:t>
            </w:r>
          </w:p>
        </w:tc>
        <w:tc>
          <w:tcPr>
            <w:tcW w:w="3905" w:type="dxa"/>
            <w:tcBorders>
              <w:bottom w:val="single" w:sz="12" w:space="0" w:color="000000"/>
            </w:tcBorders>
            <w:tcMar>
              <w:bottom w:w="28" w:type="dxa"/>
            </w:tcMar>
            <w:vAlign w:val="center"/>
          </w:tcPr>
          <w:p>
            <w:pPr>
              <w:pStyle w:val="TableContents"/>
              <w:bidi w:val="0"/>
              <w:spacing w:before="0" w:after="0"/>
              <w:jc w:val="left"/>
              <w:rPr/>
            </w:pPr>
            <w:r>
              <w:rPr/>
              <w:t>/s/ Daniel Roberts</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pPr>
            <w:r>
              <w:rPr/>
              <w:t>Daniel Roberts</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pPr>
            <w:r>
              <w:rPr/>
              <w:t>Co-Chief Executive Officer and Director</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center"/>
        <w:rPr/>
      </w:pPr>
      <w:r>
        <w:rPr/>
      </w:r>
      <w:bookmarkStart w:id="0" w:name="ny20060080x4_ex99-1.htm"/>
      <w:bookmarkStart w:id="1" w:name="ksny20060080x4_ex991"/>
      <w:bookmarkStart w:id="2" w:name="ny20060080x4_ex99-1.htm"/>
      <w:bookmarkStart w:id="3" w:name="ksny20060080x4_ex991"/>
      <w:bookmarkEnd w:id="2"/>
      <w:bookmarkEnd w:id="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68580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IREN Prices $2 Billion Convertible Notes Offering</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YORK, December 3, 2025 (GLOBE NEWSWIRE) – IREN Limited (NASDAQ: IREN) (“IREN”) today announced the pricing of its offering of $1 billion aggregate principal amount of 0.25% convertible senior notes due 2032 (the “2032 notes”) and $1 billion aggregate principal amount of 1.00% convertible senior notes due 2033 (the “2033 notes” and, together with the 2032 notes, the “notes”) in a private offering to persons reasonably believed to be qualified institutional buyers pursuant to Rule 144A under the Securities Act of 1933, as amended (the “Securities Act”).</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Key details of the transaction</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 w:name="zc4a88c2bbe8b40c882fff45146275ec8"/>
      <w:bookmarkStart w:id="5" w:name="zc4a88c2bbe8b40c882fff45146275ec8"/>
      <w:bookmarkEnd w:id="5"/>
    </w:p>
    <w:tbl>
      <w:tblPr>
        <w:tblW w:w="7323" w:type="dxa"/>
        <w:jc w:val="center"/>
        <w:tblInd w:w="0" w:type="dxa"/>
        <w:tblLayout w:type="fixed"/>
        <w:tblCellMar>
          <w:top w:w="0" w:type="dxa"/>
          <w:left w:w="0" w:type="dxa"/>
          <w:bottom w:w="0" w:type="dxa"/>
          <w:right w:w="0" w:type="dxa"/>
        </w:tblCellMar>
      </w:tblPr>
      <w:tblGrid>
        <w:gridCol w:w="38"/>
        <w:gridCol w:w="110"/>
        <w:gridCol w:w="71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 billion convertible senior notes due 2032 (0.25% coupon, 25% conversion premium)</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6" w:name="zd2d4a0537cb541419c4a3f40e04f9568"/>
      <w:bookmarkStart w:id="7" w:name="zd2d4a0537cb541419c4a3f40e04f9568"/>
      <w:bookmarkEnd w:id="7"/>
    </w:p>
    <w:tbl>
      <w:tblPr>
        <w:tblW w:w="7323" w:type="dxa"/>
        <w:jc w:val="center"/>
        <w:tblInd w:w="0" w:type="dxa"/>
        <w:tblLayout w:type="fixed"/>
        <w:tblCellMar>
          <w:top w:w="0" w:type="dxa"/>
          <w:left w:w="0" w:type="dxa"/>
          <w:bottom w:w="0" w:type="dxa"/>
          <w:right w:w="0" w:type="dxa"/>
        </w:tblCellMar>
      </w:tblPr>
      <w:tblGrid>
        <w:gridCol w:w="38"/>
        <w:gridCol w:w="110"/>
        <w:gridCol w:w="71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 billion convertible senior notes due 2033 (1.00% coupon, 25% conversion premium)</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 w:name="z5944846f453f4e7e98d3b06d7a7fe0b1"/>
      <w:bookmarkStart w:id="9" w:name="z5944846f453f4e7e98d3b06d7a7fe0b1"/>
      <w:bookmarkEnd w:id="9"/>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Capped call transactions entered into in connection with the 2032 notes, which are expected generally to provide a hedge upon conversions up to an initial cap price of $82.24 per share, which represents a 100% premium (as compared to the 25% conversion premium under the 2032 notes)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 w:name="z88e496495b374930b8824331f6c64610"/>
      <w:bookmarkStart w:id="11" w:name="z88e496495b374930b8824331f6c64610"/>
      <w:bookmarkEnd w:id="11"/>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Capped call transactions entered into in connection with the 2033 notes, which are expected generally to provide a hedge upon conversions up to an initial cap price of $82.24 per share, which represents a 100% premium (as compared to the 25% conversion premium under the 2033 notes)</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 w:name="ze5f0bbe6b09e4e22b401eeec9273e491"/>
      <w:bookmarkStart w:id="13" w:name="ze5f0bbe6b09e4e22b401eeec9273e491"/>
      <w:bookmarkEnd w:id="13"/>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issuance and sale of the notes are scheduled to settle on December 8, 2025, subject to customary closing conditions. IREN also granted the initial purchasers of the notes options to purchase, for settlement within a period of 13 days from, and including, the date the notes are first issued, up to an additional $150 million principal amount of notes for the 2032 notes and up to an additional $150 million principal amount of notes for the 2033 notes</w:t>
            </w:r>
          </w:p>
        </w:tc>
      </w:tr>
    </w:tbl>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Additional transaction details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notes will be senior, unsecured obligations of IREN and will accrue interest at a rate of 0.25% (in the case of the 2032 notes) and 1.00% (in the case of the 2033 notes) per annum, payable semi-annually in arrears on June 1 and December 1 of each year, beginning on June 1, 2026. The 2032 notes will mature on June 1, 2032, and the 2033 notes will mature on June 1, 2033, in each case unless earlier repurchased, redeemed or converted. Before March 1, 2032 for the 2032 notes and March 1, 2033 for the 2033 notes, noteholders of either series will have the right to convert their notes of such series only upon the occurrence of certain events. From and after March 1, 2032 (in the case of the 2032 notes) and March 1, 2033 (in the case of the 2033 notes), noteholders may convert their notes at any time at their election until the close of business on the second scheduled trading day immediately before the maturity date of the relevant series of notes. IREN will settle conversions by paying or delivering, as the case may be, cash, its ordinary shares or a combination of cash and its ordinary shares, at its election. The initial conversion rate of the 2032 notes is 19.4553 ordinary shares per $1,000 principal amount of notes, which represents an initial conversion price of approximately $51.40 per ordinary share. The initial conversion rate of the 2033 notes is 19.4553 ordinary shares per $1,000 principal amount of notes, which represents an initial conversion price of approximately $51.40 per ordinary share. The initial conversion price represents a premium of approximately 25%  (in the case of the 2032 notes) and approximately 25% (in the case of the 2033 notes) over the last reported sale price of $41.12 per share of IREN’s ordinary shares on December 2, 2025. The conversion rate and conversion price for each series of notes will be subject to adjustment upon the occurrence of certain events.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Each series of notes will be redeemable, in whole or in part (subject to certain limitations), for cash at IREN’s option, on or after December 6, 2028 (in the case of the 2032 notes) and on or after December 6, 2029 (in the case of the 2033 notes) and, in each case, on or before the 30th scheduled trading day immediately before the maturity date of such series of notes, but only if the last reported sale price per share of IREN’s ordinary shares exceeds 130% of the conversion price of such series of notes for a specified period of time and certain other conditions are satisfied. The redemption price will be equal to the principal amount of the notes to be redeemed, plus accrued and unpaid interest, if any, to, but excluding, the applicable redemption date.</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If a “fundamental change” (as defined in each indenture for the notes) occurs, then, subject to a limited exception, noteholders may require IREN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jc w:val="center"/>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pBdr>
          <w:bottom w:val="single" w:sz="12" w:space="0" w:color="808080"/>
        </w:pBdr>
        <w:bidi w:val="0"/>
        <w:spacing w:before="200" w:after="200"/>
        <w:jc w:val="center"/>
        <w:rPr/>
      </w:pPr>
      <w:r>
        <w:rPr/>
      </w:r>
    </w:p>
    <w:p>
      <w:pPr>
        <w:pStyle w:val="TextBody"/>
        <w:bidi w:val="0"/>
        <w:spacing w:before="0" w:after="0"/>
        <w:jc w:val="center"/>
        <w:rPr>
          <w:color w:val="000000"/>
        </w:rPr>
      </w:pPr>
      <w:r>
        <w:rPr>
          <w:color w:val="000000"/>
        </w:rPr>
        <w:drawing>
          <wp:inline distT="0" distB="0" distL="0" distR="0">
            <wp:extent cx="6858000"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Equity offering to fund the repurchase of Existing Convertible Notes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also announced today the pricing of its previously announced registered direct placement of 39,699,102 of its ordinary shares, at an offering price of $41.12 per share to a limited number of purchasers (the “Concurrent Equity Offering”) to fund the Repurchase (as defined below). The aggregate gross proceeds from the Concurrent Equity Offering approximate the aggregate cash consideration payable in connection with the Repurchase.</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Concurrently with the pricing of the offering of the notes, IREN entered into one or more separate, privately negotiated transactions with a limited number of holders of IREN’s outstanding 3.25% convertible senior notes due 2030 with an initial conversion price of approximately $16.81 per ordinary share (the “Existing 2030 Convertible Notes”) and 3.50% convertible senior notes due 2029 with an initial conversion price of approximately $13.64 per ordinary share (the “Existing 2029 Convertible Notes” and, together with the Existing 2030 Convertible Notes, the “Existing Convertible Notes”) to repurchase approximately $227.7 million aggregate principal amount of the Existing 2030 Convertible Notes and approximately $316.6 million aggregate principal amount of the Existing 2029 Convertible Notes for an aggregate repurchase price of approximately $1,632.4 million, which includes accrued and unpaid interest on the Existing Convertible Notes to be repurchased (the “Repurchase”) for cash and in an aggregate amount approximating the size of the Concurrent Equity Offering. The terms of each Repurchase depended on a variety of factors, including the market price of IREN’s ordinary shares and the trading price of the Existing Convertible Notes at the time of such Repurchase, and the Repurchase is subject to closing conditions that may not be satisfied. If the Repurchase is consummated, the principal amount of debt outstanding under the Existing Convertible Notes will be reduced by an amount equal to the principal amount of Existing Convertible Notes that are repurchased, and the Existing Convertible Notes that are repurchased by IREN will be extinguished and, accordingly, will no longer be convertible into IREN’s ordinary shares prior to maturity or otherwise. Following the completion of the offering of the notes, IREN may repurchase additional Existing Convertible Notes.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connection with the Repurchase, certain holders of the Existing Convertible Notes may purchase or sell IREN’s ordinary shares in the open market or enter into or unwind various derivative transactions with respect to IREN’s ordinary shares to unwind any hedge positions they may have with respect to the Existing Convertible Notes or to hedge or unwind their exposure in connection with these transactions. The amount of IREN’s ordinary shares to be sold or purchased by such holders or the notional number of IREN’s ordinary shares underlying such derivative transactions may be substantial in relation to the historic average daily trading volume of IREN’s ordinary shares. These activities may adversely affect the trading price of IREN’s ordinary shares and the trading price of the notes. IREN cannot predict the magnitude of such market activities or the overall effect they will have on the price of the notes or IREN’s ordinary shares.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completion of the offering of the notes is not contingent on the completion of the Concurrent Equity Offering or the Repurchase, and the completion of the Concurrent Equity Offering is not contingent on the completion of the offering of the notes or the Repurchase.</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Use of proceeds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estimates that the net proceeds from the offering will be approximately $1,973.8 million (or approximately $2,270.0 million if the initial purchasers fully exercise their options to purchase additional notes), after deducting the initial purchasers’ discounts and commissions and IREN’s estimated offering expenses.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intends to use the net proceeds from the offering of the notes, together with the net proceeds from the Concurrent Equity Offering (defined below), if it is consummated, (i) to fund the $174.8 million cost of entering into the capped call transactions described below; (ii) to repurchase a portion of the Existing Convertible Notes for cash as described above; and (iii) for general corporate purposes and working capital. If the initial purchasers of the notes exercise their options to purchase additional notes, IREN intends to use a portion of the additional net proceeds to fund the cost of entering into additional capped call transactions, as described below.</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Capped call transactions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connection with the pricing of the notes, IREN entered into privately negotiated capped call transactions relating to each series of notes with certain of the initial purchasers or their affiliates and certain other financial institutions (the “option counterparties”). The capped call transactions relating to the 2032 notes cover, subject to anti-dilution adjustments, the number of ordinary shares of IREN that initially underlie the 2032 notes. The capped call transactions relating to the 2033 notes cover, subject to anti-dilution adjustments, the number of ordinary shares of IREN that initially underlie the 2033 notes. If the initial purchasers exercise their option to purchase additional notes of a series, then IREN expects to enter into additional capped call transactions relating to such series of notes with the option counterparties.</w:t>
      </w:r>
    </w:p>
    <w:p>
      <w:pPr>
        <w:pStyle w:val="TextBody"/>
        <w:bidi w:val="0"/>
        <w:spacing w:before="0" w:after="0"/>
        <w:jc w:val="center"/>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center"/>
        <w:rPr/>
      </w:pPr>
      <w:r>
        <w:rPr/>
      </w:r>
    </w:p>
    <w:p>
      <w:pPr>
        <w:pStyle w:val="TextBody"/>
        <w:bidi w:val="0"/>
        <w:spacing w:before="0" w:after="0"/>
        <w:jc w:val="center"/>
        <w:rPr>
          <w:color w:val="000000"/>
        </w:rPr>
      </w:pPr>
      <w:r>
        <w:rPr>
          <w:color w:val="000000"/>
        </w:rPr>
        <w:drawing>
          <wp:inline distT="0" distB="0" distL="0" distR="0">
            <wp:extent cx="685800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cap price of the capped call transactions relating to the 2032 notes is initially $82.24 per share, which represents a premium of 100% over the last reported sale price of IREN’s ordinary shares of $41.12 per share on December 2, 2025, and is subject to certain adjustments under the terms of the capped call transactions relating to the 2032 notes. The cap price of the capped call transactions relating to the 2033 notes is initially $82.24 per share, which represents a premium of 100% over the last reported sale price of IREN’s ordinary shares of $41.12 per share on December 2, 2025, and is subject to certain adjustments under the terms of the capped call transactions relating to the 2033 notes.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capped call transactions relating to each series of notes are expected generally to reduce the potential dilution to IREN’s ordinary shares upon any conversion of the notes of such series and/or offset any potential cash payments IREN is required to make in excess of the principal amount of converted notes of such series, as the case may be, with such offset and/or reduction subject to a cap price. If, however, the market price per ordinary share of IREN, as measured under the terms of the applicable capped call transactions, exceeds the cap price of such capped call transactions, there would nevertheless be dilution and/or there would not be an offset of such potential cash payments, in each case, to the extent that such market price exceeds the cap price of such capped call transactions. In addition, the capped call transactions will be solely cash settled until IREN receives shareholder approval to repurchase its ordinary shares pursuant to the terms of the capped call transactions or is otherwise permitted to repurchase its ordinary shares pursuant to the terms of the capped call transactions under the laws of its jurisdiction of incorporation. The Company retains flexibility to seek and/or renew such approval from time to time during the terms of the capped call transactions at a general meeting or future annual general meeting.</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has been advised that, in connection with establishing their initial hedges of the capped call transactions, the option counterparties or their respective affiliates expect to enter into various derivative transactions with respect to IREN’s ordinary shares concurrently with or shortly after the pricing of the notes. This activity could increase (or reduce the size of any decrease in) the market price of IREN’s ordinary shares or the notes at that time. Any such trades by the option counterparties or their respective affiliates would be on a principal basis and without any agreement, arrangement or understanding between, or with, IREN on how those parties would hedge their own positions.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addition, the option counterparties and/or their respective affiliates may modify their hedge positions by entering into or unwinding various derivatives with respect to IREN’s ordinary shares and/or purchasing or selling IREN’s ordinary shares or other securities of IREN in secondary market transactions following the pricing of the notes and prior to the maturity of the relevant series of notes (and are likely to do so (x) on each exercise date for the capped call transactions, which are expected to occur on each trading day during the 30 trading day period beginning on the 31st scheduled trading day prior to the maturity date of the relevant series of notes and (y) following any early conversion of notes of the relevant series or any repurchase of the notes of such series by IREN on any fundamental change repurchase date, any redemption date or any other date on which the notes of such series are repurchased by IREN, in each case if IREN exercises the relevant election to terminate the corresponding portion of the capped call transactions). This activity could also cause or avoid an increase or a decrease in the market price of IREN’s ordinary shares or the notes, which could affect the ability of noteholders to convert the notes, and, to the extent the activity occurs following a conversion or during any observation period related to a conversion of the notes of the relevant series, it could affect the number of IREN’s ordinary shares and value of the consideration that noteholders will receive upon conversion of the relevant series of notes.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offer and sale of the notes and any of IREN’s ordinary shares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does not constitute an offer to sell, or the solicitation of an offer to buy, the notes or any of IREN’s ordinary shares issuable upon conversion of the notes, nor will there be any sale of the notes or any such shares, in any state or other jurisdiction (including the United States and Australia) in which such offer, sale or solicitation would be unlawful. This press release also shall not constitute an offer to purchase or a solicitation of an offer to sell the Existing Convertible Notes.</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8"/>
        </w:rPr>
      </w:pPr>
      <w:r>
        <w:rPr>
          <w:rFonts w:ascii="Times New Roman;Times;serif" w:hAnsi="Times New Roman;Times;serif"/>
          <w:color w:val="000000"/>
          <w:sz w:val="28"/>
        </w:rPr>
        <w:t>About IREN</w:t>
      </w:r>
    </w:p>
    <w:p>
      <w:pPr>
        <w:pStyle w:val="HorizontalLine"/>
        <w:pBdr>
          <w:bottom w:val="single" w:sz="12" w:space="0" w:color="808080"/>
        </w:pBdr>
        <w:bidi w:val="0"/>
        <w:jc w:val="left"/>
        <w:rPr/>
      </w:pPr>
      <w:r>
        <w:rPr/>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is a leading AI Cloud Service Provider, delivering large-scale GPU clusters for AI training and inference. IREN’s vertically integrated platform is underpinned by its expansive portfolio of grid-connected land and data centers in renewable-rich regions across the U.S. and Canada.</w:t>
      </w:r>
    </w:p>
    <w:p>
      <w:pPr>
        <w:pStyle w:val="TextBody"/>
        <w:bidi w:val="0"/>
        <w:spacing w:before="0" w:after="0"/>
        <w:jc w:val="center"/>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center"/>
        <w:rPr/>
      </w:pPr>
      <w:r>
        <w:rPr/>
      </w:r>
    </w:p>
    <w:p>
      <w:pPr>
        <w:pStyle w:val="TextBody"/>
        <w:bidi w:val="0"/>
        <w:spacing w:before="0" w:after="0"/>
        <w:jc w:val="center"/>
        <w:rPr>
          <w:color w:val="000000"/>
        </w:rPr>
      </w:pPr>
      <w:r>
        <w:rPr>
          <w:color w:val="000000"/>
        </w:rPr>
        <w:drawing>
          <wp:inline distT="0" distB="0" distL="0" distR="0">
            <wp:extent cx="6858000"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left"/>
        <w:rPr>
          <w:rFonts w:ascii="Times New Roman;Times;serif" w:hAnsi="Times New Roman;Times;serif"/>
          <w:color w:val="000000"/>
          <w:sz w:val="28"/>
        </w:rPr>
      </w:pPr>
      <w:r>
        <w:rPr>
          <w:rFonts w:ascii="Times New Roman;Times;serif" w:hAnsi="Times New Roman;Times;serif"/>
          <w:color w:val="000000"/>
          <w:sz w:val="28"/>
        </w:rPr>
        <w:t>Contacts</w:t>
      </w:r>
    </w:p>
    <w:p>
      <w:pPr>
        <w:pStyle w:val="HorizontalLine"/>
        <w:pBdr>
          <w:bottom w:val="single" w:sz="12" w:space="0" w:color="808080"/>
        </w:pBdr>
        <w:bidi w:val="0"/>
        <w:jc w:val="left"/>
        <w:rPr/>
      </w:pPr>
      <w:r>
        <w:rPr/>
      </w:r>
    </w:p>
    <w:p>
      <w:pPr>
        <w:pStyle w:val="TextBody"/>
        <w:bidi w:val="0"/>
        <w:spacing w:before="0" w:after="0"/>
        <w:jc w:val="center"/>
        <w:rPr>
          <w:color w:val="000000"/>
        </w:rPr>
      </w:pPr>
      <w:r>
        <w:rPr>
          <w:color w:val="000000"/>
        </w:rPr>
        <w:t>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Investors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ir@iren.com</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media@iren.com</w:t>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8"/>
        </w:rPr>
      </w:pPr>
      <w:r>
        <w:rPr>
          <w:rFonts w:ascii="Times New Roman;Times;serif" w:hAnsi="Times New Roman;Times;serif"/>
          <w:color w:val="000000"/>
          <w:sz w:val="28"/>
        </w:rPr>
        <w:t>Forward-Looking Statements</w:t>
      </w:r>
    </w:p>
    <w:p>
      <w:pPr>
        <w:pStyle w:val="HorizontalLine"/>
        <w:pBdr>
          <w:bottom w:val="single" w:sz="12" w:space="0" w:color="808080"/>
        </w:pBdr>
        <w:bidi w:val="0"/>
        <w:jc w:val="left"/>
        <w:rPr/>
      </w:pPr>
      <w:r>
        <w:rPr/>
      </w:r>
    </w:p>
    <w:p>
      <w:pPr>
        <w:pStyle w:val="TextBody"/>
        <w:bidi w:val="0"/>
        <w:spacing w:before="0" w:after="0"/>
        <w:jc w:val="center"/>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within the meaning of the within the meaning of Section 27A of the Securities Act of 1933, as amended, and Section 21E of the Securities Exchange Act of 1934, as amended, including statements regarding the completion of the offering, the Concurrent Equity Offering and the Repurchase and the expected amount and intended use of the net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the satisfaction of the closing conditions related to the offering and risks relating to IREN’s business, including those described in periodic reports that IREN files from time to time with the SEC. IREN may not consummate the offering described in this press release and, if the offering is consummated, cannot provide any assurances regarding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Commission. </w:t>
      </w:r>
    </w:p>
    <w:p>
      <w:pPr>
        <w:pStyle w:val="TextBody"/>
        <w:bidi w:val="0"/>
        <w:spacing w:before="0" w:after="0"/>
        <w:jc w:val="center"/>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color w:val="000000"/>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14" w:name="ny20060080x4_ex99-2.htm"/>
      <w:bookmarkStart w:id="15" w:name="ksny20060080x4_ex992"/>
      <w:bookmarkStart w:id="16" w:name="ny20060080x4_ex99-2.htm"/>
      <w:bookmarkStart w:id="17" w:name="ksny20060080x4_ex992"/>
      <w:bookmarkEnd w:id="16"/>
      <w:bookmarkEnd w:id="1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color w:val="000000"/>
        </w:rPr>
      </w:pPr>
      <w:r>
        <w:rPr>
          <w:color w:val="000000"/>
        </w:rPr>
      </w:r>
    </w:p>
    <w:p>
      <w:pPr>
        <w:pStyle w:val="TextBody"/>
        <w:bidi w:val="0"/>
        <w:spacing w:before="0" w:after="0"/>
        <w:jc w:val="center"/>
        <w:rPr>
          <w:color w:val="000000"/>
        </w:rPr>
      </w:pPr>
      <w:r>
        <w:rPr>
          <w:color w:val="000000"/>
        </w:rPr>
        <w:drawing>
          <wp:inline distT="0" distB="0" distL="0" distR="0">
            <wp:extent cx="6858000"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left"/>
        <w:rPr>
          <w:color w:val="000000"/>
        </w:rPr>
      </w:pPr>
      <w:r>
        <w:rPr>
          <w:color w:val="000000"/>
        </w:rPr>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IREN Announces Pricing of Ordinary Shares Offering to Fund the Repurchase of Convertible Notes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YORK, December 3, 2025 (GLOBE NEWSWIRE) – IREN Limited (NASDAQ: IREN) (“IREN”) today announced the pricing of a registered direct offering of 39,699,102 ordinary shares at a price of $41.12 per share (the “Offering”) to a limited number of purchasers. The Offering is being made pursuant to the Securities Act of 1933, as amended (the “Securities Act”). The aggregate gross proceeds from the Offering approximate the aggregate cash consideration payable in connection with the Repurchase. In conjunction with any Repurchase of the Existing 2029 Convertible Notes (initial conversion price of $13.64) and Existing 2030 Convertible Notes (initial conversion price of $16.81), the principal amount of debt outstanding under the Existing Convertible Notes will be reduced accordingly and will be extinguished and, accordingly, will no longer be convertible into IREN’s ordinary shares prior to maturity or otherwise.  The Offering is expected to close on December 8, 2025, subject to customary closing conditions.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Concurrently with the pricing of the Offering, IREN entered into one or more separate, privately negotiated transactions with a limited number of holders of IREN’s outstanding 3.25% convertible senior notes due 2030 with an initial conversion price of approximately $16.81 per ordinary share (the “Existing 2030 Convertible Notes”) and 3.50% convertible senior notes due 2029 with an initial conversion price of approximately $13.64 per ordinary share (the “Existing 2029 Convertible Notes” and, together with the Existing 2030 Convertible Notes, the “Existing Convertible Notes”) to repurchase approximately $227.7 million aggregate principal amount of the Existing 2030 Convertible Notes and approximately $316.6 million aggregate principal amount of the Existing 2029 Convertible Notes for an aggregate repurchase price of approximately $1,632.4 million, which approximates the size of the Offering and includes accrued and unpaid interest on the Existing Convertible Notes to be repurchased (the “Repurchase”). The terms of each Repurchase depended on a variety of factors, including the market price of IREN’s ordinary shares and the trading price of the Existing Convertible Notes at the time of such Repurchase, and the Repurchase is subject to closing conditions that may not be satisfied. Following the completion of the Offering, IREN may repurchase additional Existing Convertible Notes.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also announced today the pricing of its previously announced private offering of $1 billion aggregate principal amount of 0.25% convertible senior notes due 2032 (the “2032 Notes”) and $1 billion aggregate principal amount of 1.00% convertible senior notes due 2033 (the “2033 Notes” and, together with the 2032 Notes, the “Convertible Notes”), plus up to an additional $150 million aggregate principal amount of 2032 Notes and up to an additional $150 million aggregate principal amount of 2033 Notes that the initial purchasers of the concurrent offering have the options to purchase from IREN (the “Concurrent Offering”). The Concurrent Offering is expected to close on December 8, 2025, subject to customary closing conditions.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proceeds from the Offering will be approximately $1,632.4 million. IREN intends to use the proceeds from the Offering, together with the net proceeds from the Concurrent Offering, if it is consummated, (i) to fund the $174.8 million cost of entering into the capped call transactions that IREN entered into in connection with the pricing of the Convertible Notes, (ii) to repurchase a portion of the Existing Convertible Notes for cash as described above and (iii) for general corporate purposes and working capital. If the initial purchasers of the Concurrent Offering exercise their options to purchase additional Convertible Notes, IREN intends to use a portion of the additional net proceeds to fund the cost of entering into additional capped call transactions in connection with such additional Convertible Notes.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completion of the Offering is not contingent on the completion of the Concurrent Offering or the Repurchase, and the completion of the Concurrent Offering is not contingent on the completion of the Offering or the Repurchase.</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Citigroup Global Markets Inc., Goldman Sachs &amp; Co. LLC and J.P. Morgan Securities LLC are acting as placement agents for the Offering.</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is conducting the Offering pursuant to an effective shelf registration statement, including a base prospectus, under the Securities Act of 1933, as amended. The Offering is being made only by means of a separate prospectus supplement and the accompanying prospectus. Copies of the preliminary prospectus supplement and accompanying prospectus relating to the Offering may be obtained by contacting Citigroup Global Markets Inc., c/o Broadridge Financial Solutions, 1155 Long Island Avenue, Edgewood, New York 11717 or by telephone at 1-800-831-9146; Goldman Sachs &amp; Co. LLC, Attention: Prospectus Department, 200 West Street, New York, New York 10282, by telephone at 1-866-471-2526, by facsimile at 212-902-9316 or by emailing prospectus-ny@ny.email.gs.com; or J.P. Morgan Securities LLC, Attention: c/o Broadridge Financial Solutions, 1155 Long Island Avenue, Edgewood, New York 11717, or by emailing prospectus-eq_fi@jpmchase.com or postsalemanualrequests@broadridge.com. Before you invest in the Offering, you should read the applicable prospectus supplement relating to the Offering and accompanying prospectus, the registration statement and the other documents that IREN has filed with the Securities and Exchange Commission as incorporated by reference therein, for more complete information about IREN and the Offering. Investors may obtain these documents for free by visiting the SEC’s website at www.sec.gov.</w:t>
      </w:r>
    </w:p>
    <w:p>
      <w:pPr>
        <w:pStyle w:val="TextBody"/>
        <w:bidi w:val="0"/>
        <w:spacing w:before="0" w:after="0"/>
        <w:jc w:val="left"/>
        <w:rPr>
          <w:color w:val="000000"/>
        </w:rPr>
      </w:pPr>
      <w:r>
        <w:rPr>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858000"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81025"/>
                    </a:xfrm>
                    <a:prstGeom prst="rect">
                      <a:avLst/>
                    </a:prstGeom>
                  </pic:spPr>
                </pic:pic>
              </a:graphicData>
            </a:graphic>
          </wp:inline>
        </w:drawing>
      </w:r>
      <w:r>
        <w:rPr>
          <w:color w:val="000000"/>
        </w:rPr>
        <w:t xml:space="preserve"> </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shall not constitute an offer to sell,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 This press release also shall not constitute an offer to purchase or a solicitation of an offer to sell the Existing Convertible Notes.</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IREN</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IREN is a leading AI Cloud Service Provider, delivering large-scale GPU clusters for AI training and inference. IREN’s vertically integrated platform is underpinned by its expansive portfolio of grid-connected land and data centers in renewable-rich regions across the U.S. and Canada.</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8"/>
        </w:rPr>
      </w:pPr>
      <w:r>
        <w:rPr>
          <w:rFonts w:ascii="Times New Roman;Times;serif" w:hAnsi="Times New Roman;Times;serif"/>
          <w:color w:val="000000"/>
          <w:sz w:val="28"/>
        </w:rPr>
        <w:t>Contacts</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Investors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ir@iren.com</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media@iren.com</w:t>
      </w:r>
    </w:p>
    <w:p>
      <w:pPr>
        <w:pStyle w:val="TextBody"/>
        <w:bidi w:val="0"/>
        <w:spacing w:before="0" w:after="0"/>
        <w:jc w:val="left"/>
        <w:rPr>
          <w:color w:val="000000"/>
        </w:rPr>
      </w:pPr>
      <w:r>
        <w:rPr>
          <w:color w:val="000000"/>
        </w:rPr>
      </w:r>
    </w:p>
    <w:p>
      <w:pPr>
        <w:pStyle w:val="TextBody"/>
        <w:bidi w:val="0"/>
        <w:spacing w:before="0" w:after="0"/>
        <w:jc w:val="left"/>
        <w:rPr>
          <w:rFonts w:ascii="Times New Roman;Times;serif" w:hAnsi="Times New Roman;Times;serif"/>
          <w:color w:val="000000"/>
          <w:sz w:val="28"/>
        </w:rPr>
      </w:pPr>
      <w:r>
        <w:rPr>
          <w:rFonts w:ascii="Times New Roman;Times;serif" w:hAnsi="Times New Roman;Times;serif"/>
          <w:color w:val="000000"/>
          <w:sz w:val="28"/>
        </w:rPr>
        <w:t>Forward-Looking Statements</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within the meaning of the within the meaning of Section 27A of the Securities Act of 1933, as amended, and Section 21E of the Securities Exchange Act of 1934, as amended, including statements regarding the completion of the Offering, the Concurrent Offering and the Repurchase and the expected amount and intended use of the net proceeds. Forward-looking statements represent IREN’s current expectations, beliefs, and projections regarding future events and are subject to known and unknown uncertainties, risks, assumptions and contingencies, many of which are outside IREN’s control and that could cause actual results to differ materially from those described in or implied by the forward-looking statements. Among those risks and uncertainties are market conditions, the satisfaction of the closing conditions related to the Offering and risks relating to IREN’s business, including those described in periodic reports that IREN files from time to time with the SEC. IREN may not consummate the Offering described in this press release and, if the Offering is consummated, cannot provide any assurances regarding its ability to effectively apply the net proceeds after funding the cost of entering into the capped call transactions as described above. The forward-looking statements included in this press release speak only as of the date of this press release, and IREN does not undertake any obligation to update the forward-looking statements included in this press release for subsequent developments, except as may be required by law. For a further discussion of factors that could cause IREN’s future results to differ materially from any forward-looking statements, see the section entitled “Risk Factors” in IREN’s Annual Report on Form 10-K for the year ended June 30, 2025 and other risks described in documents filed by IREN from time to time with the Securities and Exchange Commission. </w:t>
      </w:r>
    </w:p>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color w:val="000000"/>
          <w:sz w:val="20"/>
        </w:rPr>
        <w:t xml:space="preserve"> </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4751</Words>
  <Characters>25533</Characters>
  <CharactersWithSpaces>30208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