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December 2, 2025</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IREN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Australia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(State or other jurisdiction of incorporation or organization)</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001-41072</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(Commission File Number)</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(I.R.S. Employer Identification No.)</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Level 6, 55 Market Street, Sydney, NSW 2000 Australia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+61 2 7906 8301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710" w:type="dxa"/>
        <w:jc w:val="left"/>
        <w:tblInd w:w="0" w:type="dxa"/>
        <w:tblLayout w:type="fixed"/>
        <w:tblCellMar>
          <w:top w:w="28" w:type="dxa"/>
          <w:left w:w="28" w:type="dxa"/>
          <w:bottom w:w="28" w:type="dxa"/>
          <w:right w:w="0" w:type="dxa"/>
        </w:tblCellMar>
      </w:tblPr>
      <w:tblGrid>
        <w:gridCol w:w="2405"/>
        <w:gridCol w:w="1610"/>
        <w:gridCol w:w="3695"/>
      </w:tblGrid>
      <w:tr>
        <w:trPr/>
        <w:tc>
          <w:tcPr>
            <w:tcW w:w="2405" w:type="dxa"/>
            <w:tcBorders>
              <w:top w:val="single" w:sz="2" w:space="0" w:color="000000"/>
              <w:left w:val="single" w:sz="2" w:space="0" w:color="000000"/>
              <w:bottom w:val="single" w:sz="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610" w:type="dxa"/>
            <w:tcBorders>
              <w:top w:val="single" w:sz="2" w:space="0" w:color="000000"/>
              <w:left w:val="single" w:sz="2" w:space="0" w:color="000000"/>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369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405" w:type="dxa"/>
            <w:tcBorders>
              <w:top w:val="single" w:sz="2" w:space="0" w:color="000000"/>
              <w:left w:val="single" w:sz="2" w:space="0" w:color="000000"/>
              <w:bottom w:val="single" w:sz="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Ordinary Shares, no par value</w:t>
            </w:r>
          </w:p>
        </w:tc>
        <w:tc>
          <w:tcPr>
            <w:tcW w:w="1610" w:type="dxa"/>
            <w:tcBorders>
              <w:top w:val="single" w:sz="2" w:space="0" w:color="000000"/>
              <w:left w:val="single" w:sz="2" w:space="0" w:color="000000"/>
              <w:bottom w:val="single" w:sz="2" w:space="0" w:color="000000"/>
            </w:tcBorders>
            <w:vAlign w:val="center"/>
          </w:tcPr>
          <w:p>
            <w:pPr>
              <w:pStyle w:val="TableContents"/>
              <w:bidi w:val="0"/>
              <w:spacing w:before="0" w:after="283"/>
              <w:jc w:val="center"/>
              <w:rPr>
                <w:sz w:val="20"/>
              </w:rPr>
            </w:pPr>
            <w:r>
              <w:rPr>
                <w:sz w:val="20"/>
              </w:rPr>
              <w:t>IREN</w:t>
            </w:r>
          </w:p>
        </w:tc>
        <w:tc>
          <w:tcPr>
            <w:tcW w:w="369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360"/>
        <w:jc w:val="lef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ind w:left="0" w:right="0" w:firstLine="36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540" w:type="dxa"/>
        <w:jc w:val="left"/>
        <w:tblInd w:w="0" w:type="dxa"/>
        <w:tblLayout w:type="fixed"/>
        <w:tblCellMar>
          <w:top w:w="0" w:type="dxa"/>
          <w:left w:w="0" w:type="dxa"/>
          <w:bottom w:w="0" w:type="dxa"/>
          <w:right w:w="0" w:type="dxa"/>
        </w:tblCellMar>
      </w:tblPr>
      <w:tblGrid>
        <w:gridCol w:w="830"/>
        <w:gridCol w:w="3710"/>
      </w:tblGrid>
      <w:tr>
        <w:trPr/>
        <w:tc>
          <w:tcPr>
            <w:tcW w:w="830"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Item 1.01</w:t>
            </w:r>
          </w:p>
        </w:tc>
        <w:tc>
          <w:tcPr>
            <w:tcW w:w="3710"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Indentures and Notes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8, 2025 (the “Closing Date”), IREN Limited (the “Company”) issued $1.15 billion aggregate principal amount of its 0.25% convertible senior notes due 2032 (the “2032 Notes”) and $1.15 billion aggregate principal amount of its 1.00% convertible senior notes due 2033 (the “2033 Notes” and, together with the 2032 Notes, the “Notes,” and the offering of such Notes, the “Notes Offering”). The 2032 Notes were issued pursuant to, and are governed by, an indenture (the “2032 Indenture”), dated as of the Closing Date, between the Company and U.S. Bank Trust Company, National Association, as trustee (the “Trustee”). The 2033 Notes were issued pursuant to, and are governed by, an indenture (the “2033 Indenture” and, together with the 2032 Indenture, the “Indentures”), dated as of the Closing Date, between the Company and the Trustee. Pursuant to the purchase agreement between the Company and the representatives of the initial purchasers of the Notes, the Company granted the initial purchasers an option to purchase, for settlement within a 13-day period beginning on, and including, the date on which the Notes are first issued, up to an additional $150 million aggregate principal amount of the 2032 Notes and up to an additional $150 million aggregate principal amount of the 2033 Notes. The 2032 Notes issued on December 8, 2025 include $150 million principal amount of 2032 Notes issued pursuant to the full exercise by the initial purchasers of such option. The 2033 Notes issued on December 8, 2025 include $150 million principal amount of 2033 Notes issued pursuant to the full exercise by the initial purchasers of such option.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net proceeds from the Notes Offering is approximately $2,270.0 million after deducting the initial purchasers’ discounts and commissions and the Company’s estimated offering expenses. The Company used $201.0 million of the net proceeds to fund the cost of entering into the capped call transactions described herein. The Company intends to use the remainder of the net proceeds, together with the net proceeds from the Equity Offering (defined below), (i) to repurchase approximately $227.7 million principal amount of the Company’s Existing 2030 Convertible Notes (defined below) for approximately $608.2 million; (ii) to repurchase approximately $316.6 million principal amount of the Company’s Existing 2029 Convertible Notes (defined below) for approximately $1,024.2 million; and (iii) remaining proceeds of $2,068.0 million for general corporate purposes and working capital.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Notes will be the Company’s senior, unsecured obligations and will be (i) equal in right of payment with any of the Company’s existing and future senior, unsecured indebtedness and other liabilities (including trade payables); (ii) senior in right of payment to any of the Company’s future indebtedness that is expressly subordinated to the Notes; (iii) effectively subordinated to any of the Company’s future secured indebtedness to the extent of the value of the collateral securing that indebtedness; and (iv) structurally subordinated to any existing and future indebtedness and other liabilities (including trade payables) of the Company’s subsidiaries, and any preferred equity of the Company’s subsidiaries to the extent the Company is not a holder thereof.</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2032 Notes accrue interest at a rate of 0.25% per annum, payable semi-annually in arrears on June 1 and December 1 of each year, beginning on June 1, 2026. The 2033 Notes accrue interest at a rate of 1.00% per annum, payable semi-annually in arrears on June 1 and December 1 of each year, beginning on June 1, 2026. The 2032 Notes will mature on June 1, 2032, unless earlier repurchased, redeemed or converted and the 2033 Notes will mature on June 1, 2033, unless earlier repurchased, redeemed or converted. Before the close of business on the business day immediately before March 1, 2032 (in the case of the 2032 Notes) or March 1, 2033 (in the case of the 2033 Notes), noteholders of either series will have the right to convert their Notes of such series only upon the occurrence of certain events. On or after March 1, 2032 (in the case of the 2032 Notes) or March 1, 2033 (in the case of the 2033 Notes) until the close of business on the second scheduled trading day immediately before the maturity date of the relevant series of Notes, noteholders may convert their Notes at any time at their election. The Company will generally have the right to elect to settle conversions by paying or delivering, as applicable, cash, the Company’s ordinary shares, no par value (the “ordinary shares”) or a combination of cash and ordinary shares. The initial conversion rate of the 2032 Notes is 19.4553 ordinary shares per $1,000 principal amount of 2032 Notes, which represents an initial conversion price of approximately $51.40 per ordinary share. The initial conversion rate of the 2033 Notes is 19.4553 ordinary shares per $1,000 principal amount of 2033 Notes, which represents an initial conversion price of approximately $51.40 per ordinary share. The conversion rate and conversion price for each series of Notes will be subject to customary adjustments upon the occurrence of certain events. In addition, if certain corporate events that constitute a “Make-Whole Fundamental Change” (as defined in the Indentures) occur, then the conversion rate of the applicable series of Notes will, in certain circumstances, be increased for a specified period of time.</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Each series of Notes will be redeemable, in whole or in part (subject to certain limitations described below), at the Company’s option at any time, and from time to time, on or after December 6, 2028 (in the case of the 2032 Notes) and on or after December 6, 2029 (in the case of the 2033 Notes) and, in each case, on or before the 30th scheduled trading day immediately before the maturity date of such series of Notes, but only if (i) the Notes of such series are “Freely Tradable” (as defined in the Indentures) as of the date the Company sends the related redemption notice and all accrued and unpaid additional interest, if any, on such series of Notes has been paid in full as of the most recent interest payment date for such series of Notes occurring on or before the date the Company sends the related redemption notice; and (ii) the last reported sale price per ordinary share exceeds 130% of the conversion price of such series of Notes on (1) each of at least 20 trading days, whether or not consecutive, during the 30 consecutive trading days ending on, and including, the trading day immediately before the date the Company sends such redemption notice; and (2) the trading day immediately before the date the Company sends such redemption notice. However, the Company may not redeem less than all of the outstanding 2032 Notes unless at least $100.0 million aggregate principal amount of 2032 Notes are outstanding and not called for redemption as of the time the Company sends the related redemption notice and the Company may not redeem less than all of the outstanding 2033 Notes unless at least $100.0 million aggregate principal amount of 2033 Notes are outstanding and not called for redemption as of the time the Company sends the related redemption notice. In addition, the Company will have the right to redeem all, but not less than all, of either or both series of Notes if certain changes in tax law as set forth in the Indentures occur and certain other conditions set forth in the Indentures are satisfied. In each case, the redemption price will be a cash amount equal to the principal amount of the Notes to be redeemed, </w:t>
      </w:r>
      <w:r>
        <w:rPr>
          <w:rFonts w:ascii="Times New Roman" w:hAnsi="Times New Roman"/>
          <w:i/>
          <w:color w:val="000000"/>
          <w:sz w:val="20"/>
          <w:shd w:fill="FFFFFF" w:val="clear"/>
        </w:rPr>
        <w:t>plus</w:t>
      </w:r>
      <w:r>
        <w:rPr>
          <w:rFonts w:ascii="Times New Roman" w:hAnsi="Times New Roman"/>
          <w:color w:val="000000"/>
          <w:sz w:val="20"/>
          <w:shd w:fill="FFFFFF" w:val="clear"/>
        </w:rPr>
        <w:t xml:space="preserve">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with a conversion date that is on or after the date the Company sends the related redemption notice and on or before the second business day immediately before the related redemption date.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If certain corporate events that constitute a “Fundamental Change” (as defined in the Indentures) occur, then, subject to a limited exception for certain cash mergers, noteholders may require the Company to repurchase their Notes at a cash repurchase price equal to the principal amount of the Notes to be repurchased, </w:t>
      </w:r>
      <w:r>
        <w:rPr>
          <w:rFonts w:ascii="Times New Roman" w:hAnsi="Times New Roman"/>
          <w:i/>
          <w:color w:val="000000"/>
          <w:sz w:val="20"/>
          <w:shd w:fill="FFFFFF" w:val="clear"/>
        </w:rPr>
        <w:t>plus</w:t>
      </w:r>
      <w:r>
        <w:rPr>
          <w:rFonts w:ascii="Times New Roman" w:hAnsi="Times New Roman"/>
          <w:color w:val="000000"/>
          <w:sz w:val="20"/>
          <w:shd w:fill="FFFFFF" w:val="clear"/>
        </w:rPr>
        <w:t xml:space="preserve"> accrued and unpaid interest, if any, to, but excluding, the fundamental change repurchase date. The definition of Fundamental Change includes certain business combination transactions involving the Company and certain de-listing events with respect to the ordinary shares.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Notes will have customary provisions relating to the occurrence of “Events of Default” (as defined in the Indentures), which include the following: (i) certain payment defaults on the Notes (which, in the case of a default in the payment of interest that has accrued on the Notes, will be subject to a 30-day cure period); (ii) the Company’s failure to send certain notices under the Indentures within specified periods of time; (iii) the Company’s failure to comply with certain covenants in the Indentures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Indentures or the Notes if such default is not cured or waived within 60 days after notice is given in accordance with the Indentures; (v) certain defaults by the Company or any of its significant subsidiaries with respect to indebtedness for borrowed money of at least $100,000,000 (subject to the limitations set forth in the Indentures); and (vi) certain events of bankruptcy, insolvency and reorganization involving the Company or any of its significant subsidiaries.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on a series of Notes, then, the Trustee, by notice to the Company, or noteholders of at least 25% of the aggregate principal amount of the relevant series of Notes then outstanding, by notice to the Company and the Trustee, may declare the principal amount of, and all accrued and unpaid interest, if any, on, all of the Notes of such series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Indentures consists exclusively of the right of the noteholders of such series of Notes to receive special interest on such Notes for up to 360 days at a specified rate per annum not exceeding 0.50% on the principal amount of such Notes.</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above description of the Indentures and the Notes is a summary and is not complete. Copies of the 2032 Indenture and the form of the certificates representing the 2032 Notes are filed as Exhibits 4.1 and 4.2, respectively, and copies of the 2033 Indenture and the form of the certificates representing the 2033 Notes are filed as Exhibits 4.3 and 4.4, respectively, to this Current Report on Form 8-K. The above summary is qualified by reference to the terms of the Indentures and the Notes set forth in such exhibits.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Capped Call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2, 2025, in connection with the pricing of the offering of the Notes, the Company entered into (i) privately negotiated capped call transactions relating to the 2032 Notes (the “Base 2032 Capped Call Transactions”) with Citibank, N.A., J.P. Morgan Securities LLC, Crédit Agricole Corporate and Investment Bank, Banco Santander, S.A., UBS AG, London Branch and Bank of Montreal (the “2032 Option Counterparties”) and (ii) privately negotiated capped call transactions relating to the 2033 Notes (the “Base 2033 Capped Call Transactions” and, together with the Base 2032 Capped Call Transactions, the “Base Capped Call Transactions”) with Citibank, N.A., Goldman Sachs &amp; Co. LLC, J.P. Morgan Securities LLC, Banco Santander, S.A., Wells Fargo Bank, National Association and Bank of Montreal (the “2033 Option Counterparties” and, together with the 2032 Option Counterparties, the “Option Counterparties”). In addition, on December 3, 2025, in connection with the initial purchasers’ exercise of their option to purchase additional Notes, the Company entered into additional capped call transactions relating to each series of Notes (the “Additional Capped Call Transactions” and, together with the Base Capped Call Transactions, the “Capped Call Transactions”) with each of the Option Counterparties. The Capped Call Transactions relating to the 2032 Notes cover, subject to anti-dilution adjustments, the aggregate number of ordinary shares that initially underlie the 2032 Notes and the Capped Call Transactions relating to the 2033 Notes cover, subject to anti-dilution adjustments, the aggregate number of ordinary shares that initially underlie the 2033 Notes and, in each case, are expected generally to reduce the potential dilution to the ordinary shares upon any conversion of the Notes and/or offset any potential cash payments the Company is required to make in excess of the principal amount of converted Notes, as the case may be, with such reduction and/or offset subject to a cap, based on the cap price of the Capped Call Transactions. The cap price of the Capped Call Transactions relating to the 2032 Notes is initially $82.24 per share, which represents a premium of 100% over the last reported sale price of the ordinary shares of $41.12 per share on December 2, 2025, and is subject to certain adjustments under the terms of the Capped Call Transactions relating to the 2032 Notes. The cap price of the Capped Call Transactions relating to the 2033 Notes is initially $82.24 per share, which represents a premium of 100% over the last reported sale price of the ordinary shares of $41.12 per share on December 2, 2025, and is subject to certain adjustments under the terms of the capped call transactions relating to the 2033 notes. The Capped Call Transactions will be solely cash settled unless certain conditions are satisfied. The aggregate cost of the Capped Call Transactions was $201.0 million.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Capped Call Transactions are separate transactions, each between the Company and the applicable Option Counterparty, and are not part of the terms of the Notes and will not affect any holder’s rights under the Notes or the Indentures. Holders of the Notes will not have any rights with respect to the Capped Call Transactions.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above description of the Capped Call Transactions is a summary and is not complete. A copy of the form of confirmation for the Capped Call Transactions is filed as Exhibit 10.1 to this Current Report on Form 8-K, and the above summary is qualified in its entirety by reference to the terms of the form of confirmation set forth in such exhibit.</w:t>
      </w:r>
    </w:p>
    <w:p>
      <w:pPr>
        <w:pStyle w:val="TextBody"/>
        <w:bidi w:val="0"/>
        <w:spacing w:before="0" w:after="0"/>
        <w:jc w:val="left"/>
        <w:rPr>
          <w:sz w:val="20"/>
        </w:rPr>
      </w:pPr>
      <w:r>
        <w:rPr>
          <w:sz w:val="20"/>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95"/>
        <w:gridCol w:w="9410"/>
      </w:tblGrid>
      <w:tr>
        <w:trPr/>
        <w:tc>
          <w:tcPr>
            <w:tcW w:w="795" w:type="dxa"/>
            <w:tcBorders/>
            <w:vAlign w:val="center"/>
          </w:tcPr>
          <w:p>
            <w:pPr>
              <w:pStyle w:val="TableContents"/>
              <w:bidi w:val="0"/>
              <w:spacing w:before="0" w:after="0"/>
              <w:ind w:left="720" w:right="0" w:hanging="720"/>
              <w:jc w:val="both"/>
              <w:rPr>
                <w:rFonts w:ascii="Times New Roman" w:hAnsi="Times New Roman"/>
                <w:b/>
                <w:sz w:val="20"/>
              </w:rPr>
            </w:pPr>
            <w:r>
              <w:rPr>
                <w:rFonts w:ascii="Times New Roman" w:hAnsi="Times New Roman"/>
                <w:b/>
                <w:sz w:val="20"/>
              </w:rPr>
              <w:t>Item 2.03</w:t>
            </w:r>
          </w:p>
        </w:tc>
        <w:tc>
          <w:tcPr>
            <w:tcW w:w="9410" w:type="dxa"/>
            <w:tcBorders/>
            <w:vAlign w:val="center"/>
          </w:tcPr>
          <w:p>
            <w:pPr>
              <w:pStyle w:val="TableContents"/>
              <w:bidi w:val="0"/>
              <w:spacing w:before="0" w:after="0"/>
              <w:ind w:left="720" w:right="0" w:hanging="720"/>
              <w:jc w:val="both"/>
              <w:rPr>
                <w:rFonts w:ascii="Times New Roman" w:hAnsi="Times New Roman"/>
                <w:b/>
                <w:sz w:val="20"/>
              </w:rPr>
            </w:pPr>
            <w:r>
              <w:rPr>
                <w:rFonts w:ascii="Times New Roman" w:hAnsi="Times New Roman"/>
                <w:b/>
                <w:sz w:val="20"/>
              </w:rPr>
              <w:t>Creation of a Direct Financial Obligation or an Obligation under an Off-Balance Sheet Arrangement of a Registrant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1.01 above under the Indentures and Notes heading is incorporated by reference into this Item 2.03.</w:t>
      </w:r>
    </w:p>
    <w:p>
      <w:pPr>
        <w:pStyle w:val="TextBody"/>
        <w:bidi w:val="0"/>
        <w:spacing w:before="0" w:after="0"/>
        <w:jc w:val="left"/>
        <w:rPr>
          <w:color w:val="000000"/>
          <w:shd w:fill="FFFFFF" w:val="clear"/>
        </w:rPr>
      </w:pPr>
      <w:r>
        <w:rPr>
          <w:color w:val="000000"/>
          <w:shd w:fill="FFFFFF" w:val="clear"/>
        </w:rPr>
        <w:t> </w:t>
      </w:r>
    </w:p>
    <w:tbl>
      <w:tblPr>
        <w:tblW w:w="4135" w:type="dxa"/>
        <w:jc w:val="left"/>
        <w:tblInd w:w="0" w:type="dxa"/>
        <w:tblLayout w:type="fixed"/>
        <w:tblCellMar>
          <w:top w:w="0" w:type="dxa"/>
          <w:left w:w="0" w:type="dxa"/>
          <w:bottom w:w="0" w:type="dxa"/>
          <w:right w:w="0" w:type="dxa"/>
        </w:tblCellMar>
      </w:tblPr>
      <w:tblGrid>
        <w:gridCol w:w="830"/>
        <w:gridCol w:w="3305"/>
      </w:tblGrid>
      <w:tr>
        <w:trPr/>
        <w:tc>
          <w:tcPr>
            <w:tcW w:w="830" w:type="dxa"/>
            <w:tcBorders/>
            <w:vAlign w:val="center"/>
          </w:tcPr>
          <w:p>
            <w:pPr>
              <w:pStyle w:val="TableContents"/>
              <w:bidi w:val="0"/>
              <w:spacing w:before="0" w:after="0"/>
              <w:ind w:left="720" w:right="0" w:hanging="720"/>
              <w:jc w:val="both"/>
              <w:rPr>
                <w:rFonts w:ascii="Times New Roman" w:hAnsi="Times New Roman"/>
                <w:b/>
                <w:sz w:val="20"/>
              </w:rPr>
            </w:pPr>
            <w:r>
              <w:rPr>
                <w:rFonts w:ascii="Times New Roman" w:hAnsi="Times New Roman"/>
                <w:b/>
                <w:sz w:val="20"/>
              </w:rPr>
              <w:t>Item 3.02</w:t>
            </w:r>
          </w:p>
        </w:tc>
        <w:tc>
          <w:tcPr>
            <w:tcW w:w="3305" w:type="dxa"/>
            <w:tcBorders/>
            <w:vAlign w:val="center"/>
          </w:tcPr>
          <w:p>
            <w:pPr>
              <w:pStyle w:val="TableContents"/>
              <w:bidi w:val="0"/>
              <w:spacing w:before="0" w:after="0"/>
              <w:ind w:left="720" w:right="0" w:hanging="720"/>
              <w:jc w:val="both"/>
              <w:rPr>
                <w:rFonts w:ascii="Times New Roman" w:hAnsi="Times New Roman"/>
                <w:b/>
                <w:sz w:val="20"/>
              </w:rPr>
            </w:pPr>
            <w:r>
              <w:rPr>
                <w:rFonts w:ascii="Times New Roman" w:hAnsi="Times New Roman"/>
                <w:b/>
                <w:sz w:val="20"/>
              </w:rPr>
              <w:t>Unregistered Sales of Equity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disclosure set forth in Item 1.01 above is incorporated by reference into this Item 3.02. The Notes were issued to the initial purchasers in reliance upon Section 4(a)(2) of the Securities Act of 1933, as amended (the “Securities Act”), in transactions not involving any public offering. The Notes were resold by the initial purchasers to persons whom the initial purchasers reasonably believe are “qualified institutional buyers,” as defined in, and in accordance with, Rule 144A under the Securities Act. Any ordinary shares that may be issued upon conversion of the Notes will be issued in reliance upon Section 3(a)(9) of the Securities Act as involving an exchange by the Company exclusively with its security holders. Initially, a maximum of 27,966,850 ordinary shares may be issued upon conversion of the 2032 Notes, based on the initial maximum conversion rate of 24.3190 ordinary shares per $1,000 principal amount of 2032 Notes, which is subject to customary anti-dilution adjustment provisions, and a maximum of 27,966,850 ordinary shares may be issued upon conversion of the 2033 Notes, based on the initial maximum conversion rate of 24.3190 ordinary shares per $1,000 principal amount of 2033 Notes, which is subject to customary anti-dilution adjustment provisions.</w:t>
      </w:r>
    </w:p>
    <w:p>
      <w:pPr>
        <w:pStyle w:val="TextBody"/>
        <w:bidi w:val="0"/>
        <w:spacing w:before="0" w:after="0"/>
        <w:jc w:val="left"/>
        <w:rPr>
          <w:color w:val="000000"/>
          <w:shd w:fill="FFFFFF" w:val="clear"/>
        </w:rPr>
      </w:pPr>
      <w:r>
        <w:rPr>
          <w:color w:val="000000"/>
          <w:shd w:fill="FFFFFF" w:val="clear"/>
        </w:rPr>
        <w:t> </w:t>
      </w:r>
    </w:p>
    <w:tbl>
      <w:tblPr>
        <w:tblW w:w="1975" w:type="dxa"/>
        <w:jc w:val="left"/>
        <w:tblInd w:w="0" w:type="dxa"/>
        <w:tblLayout w:type="fixed"/>
        <w:tblCellMar>
          <w:top w:w="0" w:type="dxa"/>
          <w:left w:w="0" w:type="dxa"/>
          <w:bottom w:w="0" w:type="dxa"/>
          <w:right w:w="0" w:type="dxa"/>
        </w:tblCellMar>
      </w:tblPr>
      <w:tblGrid>
        <w:gridCol w:w="830"/>
        <w:gridCol w:w="1145"/>
      </w:tblGrid>
      <w:tr>
        <w:trPr/>
        <w:tc>
          <w:tcPr>
            <w:tcW w:w="830" w:type="dxa"/>
            <w:tcBorders/>
            <w:vAlign w:val="center"/>
          </w:tcPr>
          <w:p>
            <w:pPr>
              <w:pStyle w:val="TableContents"/>
              <w:bidi w:val="0"/>
              <w:spacing w:before="0" w:after="0"/>
              <w:ind w:left="720" w:right="0" w:hanging="720"/>
              <w:jc w:val="both"/>
              <w:rPr>
                <w:rFonts w:ascii="Times New Roman" w:hAnsi="Times New Roman"/>
                <w:b/>
                <w:sz w:val="20"/>
              </w:rPr>
            </w:pPr>
            <w:r>
              <w:rPr>
                <w:rFonts w:ascii="Times New Roman" w:hAnsi="Times New Roman"/>
                <w:b/>
                <w:sz w:val="20"/>
              </w:rPr>
              <w:t>Item 8.01</w:t>
            </w:r>
          </w:p>
        </w:tc>
        <w:tc>
          <w:tcPr>
            <w:tcW w:w="1145" w:type="dxa"/>
            <w:tcBorders/>
            <w:vAlign w:val="center"/>
          </w:tcPr>
          <w:p>
            <w:pPr>
              <w:pStyle w:val="TableContents"/>
              <w:bidi w:val="0"/>
              <w:spacing w:before="0" w:after="0"/>
              <w:ind w:left="720" w:right="0" w:hanging="720"/>
              <w:jc w:val="both"/>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Equity Offering</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2, 2025, the Company entered into certain share purchase agreements, by and between the Company and certain purchasers (the “Purchasers” and, such agreements, the “Purchase Agreements”), pursuant to which the Company agreed to sell 39,699,102 ordinary shares in a registered direct offering at a price of $41.12 per share (the “Equity Offering”). The issuance and sale of 39,699,102 ordinary shares was completed on December 8, 2025.</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sale of ordinary shares was made pursuant to the Company’s registration statement on Form S-3 (File No. 333-284369) (the “Registration Statement”), as supplemented by a preliminary prospectus supplement, dated December 1, 2025, and a final prospectus supplement, dated December 2, 2025, each filed with the Securities and Exchange Commission pursuant to Rule 424(b) under the Securities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Equity Offering, the legal opinion as to the legality of the ordinary shares sold in the Equity Offering is being filed as Exhibit 5.1 to this Current Report on Form 8-K and is incorporated herein and into the Registration Statement by reference.</w:t>
      </w:r>
    </w:p>
    <w:p>
      <w:pPr>
        <w:pStyle w:val="TextBody"/>
        <w:bidi w:val="0"/>
        <w:spacing w:before="0" w:after="0"/>
        <w:ind w:left="0" w:right="0" w:firstLine="720"/>
        <w:jc w:val="both"/>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Citigroup Global Markets Inc., Goldman Sachs &amp; Co. LLC and J.P. Morgan Securities LLC acted as placement agents (the “Placement Agents”) in connection with the Equity Offering pursuant to that certain placement agency agreement (the “Placement Agency Agreement”), dated as of December 2, 2025, by and among the Company and the Placement Agents. The Placement Agency Agreement contains representations, warranties, indemnification and other provisions customary for transactions of this nature.</w:t>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summary of the Placement Agency Agreement does not purport to be complete and is qualified in its entirety by reference to the full text of the Placement Agency Agreement, which is attached as Exhibit 1.1 to this Current Report and incorporated herein by reference.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on December 2, 2025, the Company entered into certain separate, privately negotiated transactions by and between the Company and a limited number of holders of the Company’s outstanding (i) 3.50% convertible senior notes due 2029 (the “Existing 2029 Convertible Notes”) and (ii) 3.25% convertible senior notes due 2030 (the “Existing 2030 Convertible Notes”), in each case, pursuant to which the Company agreed to repurchase (the “Repurchases”) approximately $227.7 million aggregate principal amount of the Existing 2030 Convertible Notes for approximately $608.2 million, which includes accrued and unpaid interest, and approximately $316.6 million aggregate principal amount of the Existing 2029 Convertible Notes for approximately $1,024.2 million, which includes accrued and unpaid interest, for an aggregate purchase price of approximately $1,632.4 million. The Repurchases were completed on or about December 8, 2025.</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Press Releases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the Closing Date, the Company issued a press release announcing that it has completed the sale of the Notes, pursuant to the purchase agreement between the Company and the initial purchasers of the Notes, and that it has completed the Equity Offering. A copy of the Company’s press release is attached hereto as Exhibit 99.1, which is incorporated herein by reference.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“forward-looking statements” within the meaning of Section 27A of the Securities Act of 1933, as amended, and Section 21E of the Securities Exchange Act of 1934, as amended, or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 These forward-looking statements are contained throughout this Current Report on Form 8-K.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Current Report on Form 8-K,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75"/>
        <w:gridCol w:w="2915"/>
      </w:tblGrid>
      <w:tr>
        <w:trPr/>
        <w:tc>
          <w:tcPr>
            <w:tcW w:w="875"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Item 9.01.</w:t>
            </w:r>
          </w:p>
        </w:tc>
        <w:tc>
          <w:tcPr>
            <w:tcW w:w="2915"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 Exhibits</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w:t>
            </w:r>
          </w:p>
        </w:tc>
        <w:tc>
          <w:tcPr>
            <w:tcW w:w="975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Description</w:t>
            </w:r>
          </w:p>
        </w:tc>
      </w:tr>
      <w:tr>
        <w:trPr/>
        <w:tc>
          <w:tcPr>
            <w:tcW w:w="447" w:type="dxa"/>
            <w:tcBorders/>
            <w:vAlign w:val="center"/>
          </w:tcPr>
          <w:p>
            <w:pPr>
              <w:pStyle w:val="TableContents"/>
              <w:bidi w:val="0"/>
              <w:spacing w:before="0" w:after="0"/>
              <w:jc w:val="left"/>
              <w:rPr/>
            </w:pPr>
            <w:hyperlink w:anchor="ef20060782_ex1-1.htm">
              <w:r>
                <w:rPr>
                  <w:rStyle w:val="InternetLink"/>
                  <w:rFonts w:ascii="Times New Roman" w:hAnsi="Times New Roman"/>
                  <w:sz w:val="20"/>
                </w:rPr>
                <w:t>1.1=</w:t>
              </w:r>
            </w:hyperlink>
          </w:p>
        </w:tc>
        <w:tc>
          <w:tcPr>
            <w:tcW w:w="97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Placement Agency Agreement, dated December 2, 2025, by and among IREN Limited, Citigroup Global Markets Inc., Goldman Sachs &amp; Co. LLC and J.P. Morgan Securities LLC.</w:t>
            </w:r>
          </w:p>
        </w:tc>
      </w:tr>
      <w:tr>
        <w:trPr/>
        <w:tc>
          <w:tcPr>
            <w:tcW w:w="447" w:type="dxa"/>
            <w:tcBorders/>
            <w:vAlign w:val="center"/>
          </w:tcPr>
          <w:p>
            <w:pPr>
              <w:pStyle w:val="TableContents"/>
              <w:bidi w:val="0"/>
              <w:spacing w:before="0" w:after="0"/>
              <w:jc w:val="left"/>
              <w:rPr/>
            </w:pPr>
            <w:hyperlink w:anchor="ef20060782_ex4-1.htm">
              <w:r>
                <w:rPr>
                  <w:rStyle w:val="InternetLink"/>
                  <w:rFonts w:ascii="Times New Roman" w:hAnsi="Times New Roman"/>
                  <w:sz w:val="20"/>
                </w:rPr>
                <w:t>4.1</w:t>
              </w:r>
            </w:hyperlink>
            <w:hyperlink w:anchor="ef20060782_ex4-1.htm">
              <w:r>
                <w:rPr>
                  <w:rStyle w:val="InternetLink"/>
                  <w:rFonts w:ascii="Times New Roman" w:hAnsi="Times New Roman"/>
                  <w:color w:val="000000"/>
                  <w:sz w:val="20"/>
                </w:rPr>
                <w:t>=</w:t>
              </w:r>
            </w:hyperlink>
          </w:p>
        </w:tc>
        <w:tc>
          <w:tcPr>
            <w:tcW w:w="97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2032 Indenture, dated as of December 8, 2025, between IREN Limited and U.S. Bank Trust Company, National Association, as trustee.</w:t>
            </w:r>
          </w:p>
        </w:tc>
      </w:tr>
      <w:tr>
        <w:trPr/>
        <w:tc>
          <w:tcPr>
            <w:tcW w:w="447" w:type="dxa"/>
            <w:tcBorders/>
            <w:vAlign w:val="center"/>
          </w:tcPr>
          <w:p>
            <w:pPr>
              <w:pStyle w:val="TableContents"/>
              <w:bidi w:val="0"/>
              <w:spacing w:before="0" w:after="0"/>
              <w:jc w:val="left"/>
              <w:rPr/>
            </w:pPr>
            <w:hyperlink w:anchor="ef20060782_ex4-1.htm">
              <w:r>
                <w:rPr>
                  <w:rStyle w:val="InternetLink"/>
                  <w:rFonts w:ascii="Times New Roman" w:hAnsi="Times New Roman"/>
                  <w:sz w:val="20"/>
                </w:rPr>
                <w:t>4.2</w:t>
              </w:r>
            </w:hyperlink>
          </w:p>
        </w:tc>
        <w:tc>
          <w:tcPr>
            <w:tcW w:w="97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certificates representing the 0.25% Convertible Senior Notes due 2032 (included as Exhibit A to Exhibit 4.1).</w:t>
            </w:r>
          </w:p>
        </w:tc>
      </w:tr>
      <w:tr>
        <w:trPr/>
        <w:tc>
          <w:tcPr>
            <w:tcW w:w="447" w:type="dxa"/>
            <w:tcBorders/>
            <w:vAlign w:val="center"/>
          </w:tcPr>
          <w:p>
            <w:pPr>
              <w:pStyle w:val="TableContents"/>
              <w:bidi w:val="0"/>
              <w:spacing w:before="0" w:after="0"/>
              <w:jc w:val="left"/>
              <w:rPr/>
            </w:pPr>
            <w:hyperlink w:anchor="ef20060782_ex4-3.htm">
              <w:r>
                <w:rPr>
                  <w:rStyle w:val="InternetLink"/>
                  <w:rFonts w:ascii="Times New Roman" w:hAnsi="Times New Roman"/>
                  <w:sz w:val="20"/>
                </w:rPr>
                <w:t>4.3</w:t>
              </w:r>
            </w:hyperlink>
            <w:hyperlink w:anchor="ef20060782_ex4-3.htm">
              <w:r>
                <w:rPr>
                  <w:rStyle w:val="InternetLink"/>
                  <w:rFonts w:ascii="Times New Roman" w:hAnsi="Times New Roman"/>
                  <w:color w:val="000000"/>
                  <w:sz w:val="20"/>
                </w:rPr>
                <w:t>=</w:t>
              </w:r>
            </w:hyperlink>
          </w:p>
        </w:tc>
        <w:tc>
          <w:tcPr>
            <w:tcW w:w="97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2033 Indenture, dated as of December 8, 2025, between IREN Limited and U.S. Bank Trust Company, National Association, as trustee.</w:t>
            </w:r>
          </w:p>
        </w:tc>
      </w:tr>
      <w:tr>
        <w:trPr/>
        <w:tc>
          <w:tcPr>
            <w:tcW w:w="447" w:type="dxa"/>
            <w:tcBorders/>
            <w:vAlign w:val="center"/>
          </w:tcPr>
          <w:p>
            <w:pPr>
              <w:pStyle w:val="TableContents"/>
              <w:bidi w:val="0"/>
              <w:spacing w:before="0" w:after="0"/>
              <w:jc w:val="left"/>
              <w:rPr/>
            </w:pPr>
            <w:hyperlink w:anchor="ef20060782_ex4-3.htm">
              <w:r>
                <w:rPr>
                  <w:rStyle w:val="InternetLink"/>
                  <w:rFonts w:ascii="Times New Roman" w:hAnsi="Times New Roman"/>
                  <w:sz w:val="20"/>
                </w:rPr>
                <w:t>4.4</w:t>
              </w:r>
            </w:hyperlink>
          </w:p>
        </w:tc>
        <w:tc>
          <w:tcPr>
            <w:tcW w:w="97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certificates representing the 1.00% Convertible Senior Notes due 2033 (included as Exhibit A to Exhibit 4.3).</w:t>
            </w:r>
          </w:p>
        </w:tc>
      </w:tr>
      <w:tr>
        <w:trPr/>
        <w:tc>
          <w:tcPr>
            <w:tcW w:w="447" w:type="dxa"/>
            <w:tcBorders/>
            <w:vAlign w:val="center"/>
          </w:tcPr>
          <w:p>
            <w:pPr>
              <w:pStyle w:val="TableContents"/>
              <w:bidi w:val="0"/>
              <w:spacing w:before="0" w:after="0"/>
              <w:jc w:val="left"/>
              <w:rPr/>
            </w:pPr>
            <w:hyperlink w:anchor="ef20060782_ex5-1.htm">
              <w:r>
                <w:rPr>
                  <w:rStyle w:val="InternetLink"/>
                  <w:rFonts w:ascii="Times New Roman" w:hAnsi="Times New Roman"/>
                  <w:sz w:val="20"/>
                </w:rPr>
                <w:t>5.1</w:t>
              </w:r>
            </w:hyperlink>
          </w:p>
        </w:tc>
        <w:tc>
          <w:tcPr>
            <w:tcW w:w="97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Opinion of Allens, Australian counsel of IREN Limited.</w:t>
            </w:r>
          </w:p>
        </w:tc>
      </w:tr>
      <w:tr>
        <w:trPr/>
        <w:tc>
          <w:tcPr>
            <w:tcW w:w="447" w:type="dxa"/>
            <w:tcBorders/>
            <w:vAlign w:val="center"/>
          </w:tcPr>
          <w:p>
            <w:pPr>
              <w:pStyle w:val="TableContents"/>
              <w:bidi w:val="0"/>
              <w:spacing w:before="0" w:after="0"/>
              <w:jc w:val="left"/>
              <w:rPr/>
            </w:pPr>
            <w:hyperlink w:anchor="ef20060782_ex10-1.htm">
              <w:r>
                <w:rPr>
                  <w:rStyle w:val="InternetLink"/>
                  <w:rFonts w:ascii="Times New Roman" w:hAnsi="Times New Roman"/>
                  <w:sz w:val="20"/>
                </w:rPr>
                <w:t>10.1</w:t>
              </w:r>
            </w:hyperlink>
            <w:hyperlink w:anchor="ef20060782_ex10-1.htm">
              <w:r>
                <w:rPr>
                  <w:rStyle w:val="InternetLink"/>
                  <w:rFonts w:ascii="Times New Roman" w:hAnsi="Times New Roman"/>
                  <w:color w:val="000000"/>
                  <w:sz w:val="20"/>
                </w:rPr>
                <w:t>=</w:t>
              </w:r>
            </w:hyperlink>
          </w:p>
        </w:tc>
        <w:tc>
          <w:tcPr>
            <w:tcW w:w="97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Capped Call Transactions Confirmation.</w:t>
            </w:r>
          </w:p>
        </w:tc>
      </w:tr>
      <w:tr>
        <w:trPr/>
        <w:tc>
          <w:tcPr>
            <w:tcW w:w="447" w:type="dxa"/>
            <w:tcBorders/>
            <w:vAlign w:val="center"/>
          </w:tcPr>
          <w:p>
            <w:pPr>
              <w:pStyle w:val="TableContents"/>
              <w:bidi w:val="0"/>
              <w:spacing w:before="0" w:after="0"/>
              <w:jc w:val="left"/>
              <w:rPr/>
            </w:pPr>
            <w:hyperlink w:anchor="ef20060782_ex99-1.htm">
              <w:r>
                <w:rPr>
                  <w:rStyle w:val="InternetLink"/>
                  <w:rFonts w:ascii="Times New Roman" w:hAnsi="Times New Roman"/>
                  <w:sz w:val="20"/>
                </w:rPr>
                <w:t>99.1</w:t>
              </w:r>
            </w:hyperlink>
          </w:p>
        </w:tc>
        <w:tc>
          <w:tcPr>
            <w:tcW w:w="975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of IREN Limited announcing the closing of the Notes Offering and the Equity Offering, dated December 8, 2025.</w:t>
            </w:r>
          </w:p>
        </w:tc>
      </w:tr>
      <w:tr>
        <w:trPr/>
        <w:tc>
          <w:tcPr>
            <w:tcW w:w="4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97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of this Current Report on Form 8-K formatted in Inline XBRL.</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Portions of this exhibit have been redacted in compliance with Item 601(a)(6) of Regulation S-K because disclosure would constitute a clearly unwarranted invasion of personal privacy. Redacted information is indicated by [***].</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640" w:type="dxa"/>
        <w:jc w:val="left"/>
        <w:tblInd w:w="0" w:type="dxa"/>
        <w:tblLayout w:type="fixed"/>
        <w:tblCellMar>
          <w:top w:w="0" w:type="dxa"/>
          <w:left w:w="0" w:type="dxa"/>
          <w:bottom w:w="0" w:type="dxa"/>
          <w:right w:w="0" w:type="dxa"/>
        </w:tblCellMar>
      </w:tblPr>
      <w:tblGrid>
        <w:gridCol w:w="1970"/>
        <w:gridCol w:w="320"/>
        <w:gridCol w:w="60"/>
        <w:gridCol w:w="3290"/>
      </w:tblGrid>
      <w:tr>
        <w:trPr/>
        <w:tc>
          <w:tcPr>
            <w:tcW w:w="1970" w:type="dxa"/>
            <w:tcBorders/>
            <w:vAlign w:val="center"/>
          </w:tcPr>
          <w:p>
            <w:pPr>
              <w:pStyle w:val="TableContents"/>
              <w:bidi w:val="0"/>
              <w:spacing w:before="0" w:after="283"/>
              <w:jc w:val="left"/>
              <w:rPr/>
            </w:pPr>
            <w:r>
              <w:rPr/>
              <w:t> </w:t>
            </w:r>
          </w:p>
        </w:tc>
        <w:tc>
          <w:tcPr>
            <w:tcW w:w="3670"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IREN Limited</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50"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December 8, 2025</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60" w:type="dxa"/>
            <w:tcBorders/>
            <w:vAlign w:val="center"/>
          </w:tcPr>
          <w:p>
            <w:pPr>
              <w:pStyle w:val="TableContents"/>
              <w:bidi w:val="0"/>
              <w:spacing w:before="0" w:after="283"/>
              <w:jc w:val="left"/>
              <w:rPr/>
            </w:pPr>
            <w:r>
              <w:rPr/>
              <w:t> </w:t>
            </w:r>
          </w:p>
        </w:tc>
        <w:tc>
          <w:tcPr>
            <w:tcW w:w="3290"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William Roberts</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William Roberts</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Co-Chief Executive Officer and Director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60782_ex1-1.htm"/>
      <w:bookmarkStart w:id="1" w:name="ksef20060782_ex11"/>
      <w:bookmarkStart w:id="2" w:name="ef20060782_ex1-1.htm"/>
      <w:bookmarkStart w:id="3" w:name="ksef20060782_ex1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1.1</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Portions of this exhibit have been redacted in compliance with Item 601(a)(6) of Regulation S-K because disclosure would constitute a clearly unwarranted invasion of personal privacy. Redacted information is indicated by [***].</w:t>
      </w:r>
    </w:p>
    <w:p>
      <w:pPr>
        <w:pStyle w:val="TextBody"/>
        <w:bidi w:val="0"/>
        <w:spacing w:before="0" w:after="0"/>
        <w:jc w:val="righ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39,699,102 Ordinary Shares</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(no par value)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Placement Agency Agreement</w:t>
      </w:r>
    </w:p>
    <w:p>
      <w:pPr>
        <w:pStyle w:val="TextBody"/>
        <w:bidi w:val="0"/>
        <w:spacing w:before="0" w:after="0"/>
        <w:jc w:val="left"/>
        <w:rPr/>
      </w:pPr>
      <w:r>
        <w:rPr/>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December 2, 2025</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Citigroup Global Markets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Goldman Sachs &amp; Co. LLC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J.P. Morgan Securities LLC</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As Placement Agents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Citigroup Global Markets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388 Greenwich Street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New York, New York 10013</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Goldman Sachs &amp; Co. LLC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200 West Street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New York, New York 10282</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J.P. Morgan Securities LLC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270 Park Avenue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New York, New York 10017</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IREN Limited (ACN 629 842 799), a corporation incorporated under the laws of Australia (the “Company”), proposes to issue and sell directly to certain purchasers (the “Purchasers”) an aggregate of 39,699,102 ordinary shares, no par value (the “Ordinary Shares”), whereby the Purchasers will receive those shares (the “Shares” and such sales of Shares, the “Share Purchases”). The Share Purchases will be governed by and pursuant to one or more securities purchase agreements (the “Purchase Agreements”) between the Company and the Purchasers. Payment by the Purchasers for the Shares shall be made pursuant to the terms of the Purchase Agreements at the time and date referred to therein as the “Closing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also proposes to repurchase for cash (through its agents) (a) $227,690,000 aggregate principal amount of the Company’s 3.25% Convertible Senior Notes due 2030 issued pursuant to that certain Indenture, dated December 6, 2024, by and between the Company, as issuer, and U.S. Bank Trust Company, National Association, as trustee and (b) $316,611,000 aggregate principal amount of the Company’s 3.50% Convertible Senior Notes due 2029 issued pursuant to that certain Indenture, dated June 13, 2025, by and between the Company, as issuer, and U.S. Bank Trust Company, National Association, as trustee (such transactions, the “Convertible Notes Repurchases”). The Company will use the net proceeds from the Share Purchases, together with the net proceeds of the Convertible Notes Offering (as defined below), to settle the cash amount due under the Convertible Notes Repurchases. In addition, concurrently with Share Purchases, the Company proposes to issue and sell in a private offering (a) $1,000,000,000 aggregate principal amount of the Company’s 0.25% convertible senior notes due 2032 and (b) $1,000,000,000 aggregate principal amount of the Company’s 1.00% convertible senior notes due 2033 (the “Convertible Notes Offering” and, together with the Share Purchases and the Convertible Notes Repurchases, the “Transactions”).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hereby confirms its agreement with the Placement Agents,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u w:val="single"/>
        </w:rPr>
        <w:t>Registration Statement</w:t>
      </w:r>
      <w:r>
        <w:rPr>
          <w:rFonts w:ascii="Times New Roman" w:hAnsi="Times New Roman"/>
          <w:color w:val="000000"/>
          <w:sz w:val="24"/>
        </w:rPr>
        <w:t>.  The Company has prepared and filed with the Securities and Exchange Commission (the “Commission”) under the Securities Act of 1933, as amended, and the rules and regulations of the Commission thereunder (collectively, the “Securities Act”), an automatic shelf registration statement (File No. 333</w:t>
        <w:noBreakHyphen/>
        <w:t>284369),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placement agency agreement (this “Agreement”) to the Registration Statement, any Preliminary Prospectus or the Prospectus shall be deemed to refer to and include the documents incorporated by reference therein pursuant to Item  12 of Form S</w:t>
        <w:noBreakHyphen/>
        <w:t>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At or prior to 8:30 P.M., New York City time, on December 2, 2025 (the “Applicable Time), the Company had prepared the following information (collectively with the pricing information set forth on </w:t>
      </w:r>
      <w:r>
        <w:rPr>
          <w:rFonts w:ascii="Times New Roman" w:hAnsi="Times New Roman"/>
          <w:color w:val="000000"/>
          <w:sz w:val="24"/>
          <w:u w:val="single"/>
        </w:rPr>
        <w:t>Exhibit B</w:t>
      </w:r>
      <w:r>
        <w:rPr>
          <w:rFonts w:ascii="Times New Roman" w:hAnsi="Times New Roman"/>
          <w:color w:val="000000"/>
          <w:sz w:val="24"/>
        </w:rPr>
        <w:t>, the “Pricing Disclosure Package”): a Preliminary Prospectus dated December 1, 2025 and each “free</w:t>
        <w:noBreakHyphen/>
        <w:t xml:space="preserve">writing prospectus” (as defined pursuant to Rule  405 under the Securities Act) listed on </w:t>
      </w:r>
      <w:r>
        <w:rPr>
          <w:rFonts w:ascii="Times New Roman" w:hAnsi="Times New Roman"/>
          <w:color w:val="000000"/>
          <w:sz w:val="24"/>
          <w:u w:val="single"/>
        </w:rPr>
        <w:t>Exhibit A</w:t>
      </w:r>
      <w:r>
        <w:rPr>
          <w:rFonts w:ascii="Times New Roman" w:hAnsi="Times New Roman"/>
          <w:color w:val="000000"/>
          <w:sz w:val="24"/>
        </w:rPr>
        <w:t xml:space="preserve"> 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u w:val="single"/>
        </w:rPr>
        <w:t>Appointment as Placement Agents</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hereby appoints each of Citigroup Global Markets Inc. (“Citigroup”), Goldman Sachs &amp; Co. LLC (“Goldman Sachs”), and J.P. Morgan Securities LLC (“JPM” and, together with Citigroup and Goldman Sachs, the “Placement Agents” and each, a “Placement Agent”) as co-placement agents in connection with the Share Purchases. On the basis of the representations and warranties contained herein, but subject to the terms and conditions set forth herein, each Placement Agent agrees, severally and not jointly, to act as placement agent and to solicit offers from Purchasers to participate in Share Purchases, and the Company hereby authorizes each of the Placement Agents to act on its behalf in accordance with this Agreement. Notwithstanding anything to the contrary contained in this Agreement, the Placement Agents shall have no obligation to purchase any of the Shares, or any liability to the Company if any prospective purchaser fails to consummate a purchase of any of the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understands that each Placement Agent is acting solely as placement agent to the Company, is not acting as a financial advisor to the Company and is not undertaking any fiduciary duty to the Company, its management or its board of directors with respect hereto, is acting as an independent contractor and is not undertaking to provide any legal, accounting or tax advice in connection with its engagement under this Agreement and that each Placement Agent’s role in any due diligence will be limited solely to performing such review as each Placement Agent shall deem necessary to support its own services and shall not be on behalf of the Company. Specifically, the Company acknowledges and agrees that the Placement Agents will not be responsible for providing any advice in relation to selling restrictions and other securities laws matters in any jurisdiction in connection with their engagement hereunder. The Company shall consult with its own advisors concerning such matters and shall be responsible for making its own independent investigation and appraisal of the transactions contemplated hereby, and the Placement Agents shall have no responsibility or liability to the Company with respect thereto. The Company acknowledges that it is responsible for making all necessary notifications of, and filings with, all federal, state and other applicable securities regulatory authorities with respect to the transactions contemplated hereby. In order to enable the Placement Agents to bring relevant expertise to bear on their engagement under this Agreement from among their respective global affiliates, the Company agrees that each of the Placement Agents may share information obtained, directly or indirectly, from the Company hereunder with its respective affiliates who need to know such information in connection with such Placement Agent’s performance of its services hereunder, and may perform such services in conjunction with its respective affiliates, and that any affiliate of such Placement Agent performing services hereunder shall be entitled to the benefits and subject to the terms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Company and the Placement Agents agree that the mutual representations, warranties and covenants made hereunder shall be good and sufficient consideration to support this Agreement and its terms, and that no fees, compensation or other consideration shall be paid by the Company to the Placement Agents hereunder.  The Share Purchases shall be made pursuant to Purchase Agreements substantially in the form included as </w:t>
      </w:r>
      <w:r>
        <w:rPr>
          <w:rFonts w:ascii="Times New Roman" w:hAnsi="Times New Roman"/>
          <w:color w:val="000000"/>
          <w:sz w:val="24"/>
          <w:u w:val="single"/>
        </w:rPr>
        <w:t>Exhibit C</w:t>
      </w:r>
      <w:r>
        <w:rPr>
          <w:rFonts w:ascii="Times New Roman" w:hAnsi="Times New Roman"/>
          <w:color w:val="000000"/>
          <w:sz w:val="24"/>
        </w:rPr>
        <w:t xml:space="preserve"> hereto on the terms described on </w:t>
      </w:r>
      <w:r>
        <w:rPr>
          <w:rFonts w:ascii="Times New Roman" w:hAnsi="Times New Roman"/>
          <w:color w:val="000000"/>
          <w:sz w:val="24"/>
          <w:u w:val="single"/>
        </w:rPr>
        <w:t>Exhibit B</w:t>
      </w:r>
      <w:r>
        <w:rPr>
          <w:rFonts w:ascii="Times New Roman" w:hAnsi="Times New Roman"/>
          <w:color w:val="000000"/>
          <w:sz w:val="24"/>
        </w:rPr>
        <w:t xml:space="preserve"> hereto. The Company shall have the sole right to accept offers to purchase the Shares and may reject any such offer in whole or in part.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3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u w:val="single"/>
        </w:rPr>
        <w:t>Representations and Warranties of the Company</w:t>
      </w:r>
      <w:r>
        <w:rPr>
          <w:rFonts w:ascii="Times New Roman" w:hAnsi="Times New Roman"/>
          <w:color w:val="000000"/>
          <w:sz w:val="24"/>
        </w:rPr>
        <w:t>.  The Company represents and warrants to each Placement Agent that: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Preliminary Prospectus.</w:t>
      </w:r>
      <w:r>
        <w:rPr>
          <w:rFonts w:ascii="Times New Roman" w:hAnsi="Times New Roman"/>
          <w:color w:val="000000"/>
          <w:sz w:val="24"/>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4"/>
        </w:rPr>
        <w:t xml:space="preserve"> that the Company makes no representation or warranty with respect to any statements or omissions made in reliance upon and in conformity with information relating to either Placement Agent furnished to the Company in writing by such Placement Agent expressly for use in any Preliminary Prospectus, it being understood and agreed that the only such information furnished by either Placement Agent consists of the information described as such in Section 7(b)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Pricing Disclosure Package</w:t>
      </w:r>
      <w:r>
        <w:rPr>
          <w:rFonts w:ascii="Times New Roman" w:hAnsi="Times New Roman"/>
          <w:color w:val="000000"/>
          <w:sz w:val="24"/>
        </w:rPr>
        <w:t xml:space="preserve">.  The Pricing Disclosure Package as of the Applicable Time did not, and as of the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4"/>
        </w:rPr>
        <w:t xml:space="preserve"> that the Company makes no representation or warranty with respect to any statements or omissions made in reliance upon and in conformity with information relating to either Placement Agent furnished to the Company in writing by such Placement Agent for use in such Pricing Disclosure Package, it being understood and agreed that the only such information furnished by either Placement Agent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 xml:space="preserve">Issuer Free Writing Prospectus. </w:t>
      </w:r>
      <w:r>
        <w:rPr>
          <w:rFonts w:ascii="Times New Roman" w:hAnsi="Times New Roman"/>
          <w:color w:val="000000"/>
          <w:sz w:val="24"/>
        </w:rPr>
        <w:t xml:space="preserve">Other than the Registration Statement, the Preliminary Prospectus and the Prospectus, the Company (including its agents and representatives, other than the Placement Agents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(ii)  the documents listed on </w:t>
      </w:r>
      <w:r>
        <w:rPr>
          <w:rFonts w:ascii="Times New Roman" w:hAnsi="Times New Roman"/>
          <w:color w:val="000000"/>
          <w:sz w:val="24"/>
          <w:u w:val="single"/>
        </w:rPr>
        <w:t>Schedule  A</w:t>
      </w:r>
      <w:r>
        <w:rPr>
          <w:rFonts w:ascii="Times New Roman" w:hAnsi="Times New Roman"/>
          <w:color w:val="000000"/>
          <w:sz w:val="24"/>
        </w:rPr>
        <w:t xml:space="preserve"> hereto, or (iii) each electronic road show and any other written communications approved in writing in advance by the Placement Agents.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each such Issuer Free Writing Prospectus or Preliminary Prospectus in reliance upon and in conformity with information relating to either Placement Agent furnished to the Company in writing by either Placement Agent expressly for use in such Issuer Free Writing Prospectus or Preliminary Prospectus, it being understood and agreed that the only such information furnished by either Placement Agent consists of the information described as such in Section 7(b)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Testing-the-Waters</w:t>
      </w:r>
      <w:r>
        <w:rPr>
          <w:rFonts w:ascii="Times New Roman" w:hAnsi="Times New Roman"/>
          <w:color w:val="000000"/>
          <w:sz w:val="24"/>
        </w:rPr>
        <w:t>. The Company (i) has not alone engaged in any Testing-the-Waters Communications and (ii) has not authorized anyone to engage in Testing-the-Waters Communications, in each case in connection with the offering of the Shares contemplated hereby. The Company has not distributed or approved for distribution any Written Testing-the-Waters Communications in connection with the offering of the Shares contemplated hereby. “Testing-the-Waters Communication” means any oral or written communication with potential investors undertaken in reliance on either Section 5(d) of, or Rule 163B under, the Securities Act. “Written Testing-the-Waters Communication” means any Testing-the-Waters Communication that is a written communication within the meaning of Rule 405 under the Securities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Registration Statement and Prospectus</w:t>
      </w:r>
      <w:r>
        <w:rPr>
          <w:rFonts w:ascii="Times New Roman" w:hAnsi="Times New Roman"/>
          <w:color w:val="000000"/>
          <w:sz w:val="24"/>
        </w:rPr>
        <w:t>.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w:t>
        <w:noBreakHyphen/>
        <w: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w:t>
        <w:noBreakHyphen/>
        <w:t>effective amendment thereto, the Registration Statement and any such post</w:t>
        <w:noBreakHyphen/>
        <w: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either Placement Agent furnished to the Company in writing by such Placement Agent expressly for use in the Registration Statement and the Prospectus and any amendment or supplement thereto, it being understood and agreed that the only such information furnished by either Placement Agent consists of the information described as such in Section 7(b)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5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Incorporated Documents.</w:t>
      </w:r>
      <w:r>
        <w:rPr>
          <w:rFonts w:ascii="Times New Roman" w:hAnsi="Times New Roman"/>
          <w:color w:val="000000"/>
          <w:sz w:val="24"/>
        </w:rPr>
        <w:t>  The documents incorporated by reference in the Registration Statement, the Pricing Disclosure Package and the Prospectus, when they were filed with the Commission, conformed or will conform, as the case may be, in all material respects with the requirements of the Exchange Act and such documents did not or will not, as the case may be, contain any untrue statement of a material fact or omit to state a material fact necessary in order to make the statements therein, in the light of the circumstances under which they were made, not misleading.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Financial Statements.</w:t>
      </w:r>
      <w:r>
        <w:rPr>
          <w:rFonts w:ascii="Times New Roman" w:hAnsi="Times New Roman"/>
          <w:color w:val="000000"/>
          <w:sz w:val="24"/>
        </w:rPr>
        <w:t>  The consolidated financial statements (including the related notes thereto) of the Company and its consolidated subsidiaries, as amended and restated, if applicable, included or incorporated by reference in the Registration Statement, the Pricing Disclosure Package and the Prospectus comply in all material respects with the applicable requirements of the Securities Act and the Corporations Act and present fairly the financial position of the Company and its consolidated subsidiaries as of the dates indicated and the results of their operations and the changes in their cash flows for the periods specified; such consolidated financial statements have been prepared in conformity with generally accepted accounting principles in the United States (“GAAP”) applied on a consistent basis throughout the periods covered thereby, and any supporting schedules included in the Registration Statement, the Pricing Disclosure Package and the Prospectus present fairly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the information shown thereby; all disclosures included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No Material Adverse Change.</w:t>
      </w:r>
      <w:r>
        <w:rPr>
          <w:rFonts w:ascii="Times New Roman" w:hAnsi="Times New Roman"/>
          <w:color w:val="000000"/>
          <w:sz w:val="24"/>
        </w:rPr>
        <w:t>  Since the date of the most recent financial statements of the Company included or incorporated by reference in the Registration Statement, the Pricing Disclosure Package and the Prospectus, (i) there has not been any material change in the share capital, short-term debt or long-term debt of the Company or any of its subsidiaries, or any dividend or distribution of any kind declared, set aside for payment, paid or made by the Company on any class of capital share, or any material adverse change, or any development involving a prospective material adverse change, in or affecting the business, properties, management, financial position, shareholders’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the Registration Statement, the Pricing Disclosure Package and the Prospectus.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6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Organization and Good Standing.</w:t>
      </w:r>
      <w:r>
        <w:rPr>
          <w:rFonts w:ascii="Times New Roman" w:hAnsi="Times New Roman"/>
          <w:color w:val="000000"/>
          <w:sz w:val="24"/>
        </w:rPr>
        <w:t>  The Company and each of its subsidiaries have been duly organized or incorporated (as applicable) and are validly existing and in good standing (to the extent such concept is applicable) under the laws of their respective jurisdictions of organization or incorporation (as applicable), are duly qualified to do business and are in good standing (to the extent such concept is applicable)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shareholders’ equity, results of operations or prospects of the Company and its subsidiaries taken as a whole or on the performance by the Company of its obligations under this Agreement and the Purchase Agreements (a “Material Adverse Effect”) and except as disclosed in Registration Statement, the Pricing Disclosure Package and the Prospectus.  The Company does not own or control, directly or indirectly, any corporation, association or other entity that would constitute a “significant subsidiary” (as such term is defined in Rule 1-02 of Regulation S-X) other than the subsidiaries listed in Exhibit 21.1 to the Company’s Annual Report on Form 10-K for the year ended June 30, 2025 (such exhibit, “2025 AR Exhibit”). Any subsidiaries not listed in the 2025 AR Exhibit would not, in the aggregate, constitute a “significant subsidiary” (as such term is defined in Rule 1-02 of Regulation S-X).</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Capitalization.</w:t>
      </w:r>
      <w:r>
        <w:rPr>
          <w:rFonts w:ascii="Times New Roman" w:hAnsi="Times New Roman"/>
          <w:color w:val="000000"/>
          <w:sz w:val="24"/>
        </w:rPr>
        <w:t>  The Company has on issue the share capital as set forth in the Pricing Disclosure Package and the Prospectus under the heading “Capitalization”; all the issued shares of the Company have been duly and validly authorized and issued and are fully paid and are not subject to any pre-emptive or similar rights other than as have been waived;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capital shares or other equity interest in the Company or any of its subsidiaries, or any contract, commitment, agreement, understanding or arrangement of any kind relating to the issuance of any shares of the Company or any such subsidiary, any such convertible or exchangeable securities or any such rights, warrants or options; the shares of the Company conform in all material respects to the description thereof contained in the Registration Statement, the Pricing Disclosure Package and the Prospectus; and all the outstanding shares on issue or other equity interests of each subsidiary owned, directly or indirectly, by the Company have been duly and validly authorized and issued, are fully paid and are owned directly or indirectly by the Company, free and clear of any lien, charge, encumbrance, security interest, restriction on voting or transfer or any other claim of any third party, except (i) as described in the Registration Statement, the Pricing Disclosure Package and the Prospectus, or (ii) as would not reasonably be expected, individually or in the aggregate, to have a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 xml:space="preserve">Share Options.  </w:t>
      </w:r>
      <w:r>
        <w:rPr>
          <w:rFonts w:ascii="Times New Roman" w:hAnsi="Times New Roman"/>
          <w:color w:val="000000"/>
          <w:sz w:val="24"/>
        </w:rPr>
        <w:t>With respect to the share options (the “Share Options”) granted pursuant to the share-based compensation plans of the Company and its subsidiaries (the “Company Share Plans”), each such grant was (i) properly accounted for as an option in accordance with GAAP in the consolidated financial statements (including the related notes thereto) of the Company and its consolidated subsidiaries, as amended and restated, if applicable, included or incorporated by reference in the Registration Statement, the Pricing Disclosure Package and the Prospectus, and (ii) disclosed in the Company’s filings with the Commission in accordance with the Exchange Act and all other applicable laws. The Company has not knowingly granted, and there is no and has been no policy or practice of the Company of granting, Share Options prior to, or otherwise coordinate the grant of Share Options with, the release or other public announcement of material information regarding the Company or its subsidiaries or their results of operations or prospects.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7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i/>
          <w:color w:val="000000"/>
          <w:sz w:val="24"/>
        </w:rPr>
        <w:t>Due Authorization.</w:t>
      </w:r>
      <w:r>
        <w:rPr>
          <w:rFonts w:ascii="Times New Roman" w:hAnsi="Times New Roman"/>
          <w:color w:val="000000"/>
          <w:sz w:val="24"/>
        </w:rPr>
        <w:t>  The Company has full right, power and authority to execute and deliver this Agreement and the Purchase Agreements and to perform its obligations hereunder and thereunder; and all action required to be taken for the due and proper authorization, execution and delivery by it of each of this Agreement and the Purchase Agreements and the consummation by it of the transactions contemplated thereby or by the Pricing Disclosure Package and the Prospectus has been duly and validly taken.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i/>
          <w:color w:val="000000"/>
          <w:sz w:val="24"/>
        </w:rPr>
        <w:t xml:space="preserve">Placement Agency Agreement. </w:t>
      </w:r>
      <w:r>
        <w:rPr>
          <w:rFonts w:ascii="Times New Roman" w:hAnsi="Times New Roman"/>
          <w:color w:val="000000"/>
          <w:sz w:val="24"/>
        </w:rPr>
        <w:t>This Agreement has been duly authorized, executed and delivered by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(o)</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(p)</w:t>
      </w:r>
      <w:r>
        <w:rPr>
          <w:rFonts w:ascii="Times New Roman" w:hAnsi="Times New Roman"/>
          <w:color w:val="000000"/>
          <w:sz w:val="20"/>
        </w:rPr>
        <w:t xml:space="preserve">      </w:t>
      </w:r>
      <w:r>
        <w:rPr>
          <w:rFonts w:ascii="Times New Roman" w:hAnsi="Times New Roman"/>
          <w:i/>
          <w:color w:val="000000"/>
          <w:sz w:val="24"/>
        </w:rPr>
        <w:t xml:space="preserve">The Shares.  </w:t>
      </w:r>
      <w:r>
        <w:rPr>
          <w:rFonts w:ascii="Times New Roman" w:hAnsi="Times New Roman"/>
          <w:color w:val="000000"/>
          <w:sz w:val="24"/>
        </w:rPr>
        <w:t>The Shares to be issued and sold by the Company pursuant to the Purchase Agreements have been duly authorized by the Company and, when issued and delivered and paid for as provided therein, will be duly and validly issued, will be fully paid and nonassessable, will be free of any encumbrances and will rank equally in all respects with existing Ordinary Shares (other than the B Class Shares), and will conform in all material respects to the descriptions thereof in the Registration Statement, the Pricing Disclosure Package and the Prospectus; and the issuance of the Shares is not subject to any preemptive or similar rights. The Purchase Agreements have been duly authorized, executed and delivered by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(q)</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(r)</w:t>
      </w:r>
      <w:r>
        <w:rPr>
          <w:rFonts w:ascii="Times New Roman" w:hAnsi="Times New Roman"/>
          <w:color w:val="000000"/>
          <w:sz w:val="20"/>
        </w:rPr>
        <w:t xml:space="preserve">        </w:t>
      </w:r>
      <w:r>
        <w:rPr>
          <w:rFonts w:ascii="Times New Roman" w:hAnsi="Times New Roman"/>
          <w:i/>
          <w:color w:val="000000"/>
          <w:sz w:val="24"/>
        </w:rPr>
        <w:t>Description of This Agreement</w:t>
      </w:r>
      <w:r>
        <w:rPr>
          <w:rFonts w:ascii="Times New Roman" w:hAnsi="Times New Roman"/>
          <w:color w:val="000000"/>
          <w:sz w:val="24"/>
        </w:rPr>
        <w:t>.  This Agreement conforms in all material respects to the description thereof contained in the Registration Statement, the Pricing Disclosure Package and the Prospectus.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i/>
          <w:color w:val="000000"/>
          <w:sz w:val="24"/>
        </w:rPr>
        <w:t>No Violation or Default.</w:t>
      </w:r>
      <w:r>
        <w:rPr>
          <w:rFonts w:ascii="Times New Roman" w:hAnsi="Times New Roman"/>
          <w:color w:val="000000"/>
          <w:sz w:val="24"/>
        </w:rPr>
        <w:t>  Except as disclosed in the Registration Statement, the Pricing Disclosure Package and the Prospectus, neither the Company nor any of its subsidiaries is (i)  in violation of its constitution,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Australian, U.S. or other law or statute or any judgment, order, rule or regulation of any court or arbitrator or governmental or regulatory authority or body having jurisdiction over the Company or any of its subsidiaries or their properties, except, in the case of clauses (ii) and (iii) above, for any such default or violation that would not, individually or in the aggregate, have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8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(t)</w:t>
      </w:r>
      <w:r>
        <w:rPr>
          <w:rFonts w:ascii="Times New Roman" w:hAnsi="Times New Roman"/>
          <w:color w:val="000000"/>
          <w:sz w:val="20"/>
        </w:rPr>
        <w:t xml:space="preserve">        </w:t>
      </w:r>
      <w:r>
        <w:rPr>
          <w:rFonts w:ascii="Times New Roman" w:hAnsi="Times New Roman"/>
          <w:i/>
          <w:color w:val="000000"/>
          <w:sz w:val="24"/>
        </w:rPr>
        <w:t xml:space="preserve">No Conflicts.  </w:t>
      </w:r>
      <w:r>
        <w:rPr>
          <w:rFonts w:ascii="Times New Roman" w:hAnsi="Times New Roman"/>
          <w:color w:val="000000"/>
          <w:sz w:val="24"/>
        </w:rPr>
        <w:t>The execution, delivery and performance by the Company of each of this Agreement, the Purchase Agreements, the issuance and sale of the Shares and the consummation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constitution, charter or by-laws or similar organizational documents of the Company or any of its subsidiaries or (iii) result in the violation of any Australian, U.S., or other law or statute or any judgment, order, rule or regulation of any court or arbitrator or governmental or regulatory authority or body having jurisdiction over the Company or any of its subsidiaries or their properties, except, in the case of clauses (i) and (iii) above, for any such conflict, breach, violation, default, lien, charge or encumbrance that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(u)</w:t>
      </w:r>
      <w:r>
        <w:rPr>
          <w:rFonts w:ascii="Times New Roman" w:hAnsi="Times New Roman"/>
          <w:color w:val="000000"/>
          <w:sz w:val="20"/>
        </w:rPr>
        <w:t xml:space="preserve">     </w:t>
      </w:r>
      <w:r>
        <w:rPr>
          <w:rFonts w:ascii="Times New Roman" w:hAnsi="Times New Roman"/>
          <w:i/>
          <w:color w:val="000000"/>
          <w:sz w:val="24"/>
        </w:rPr>
        <w:t>No Consents Required.</w:t>
      </w:r>
      <w:r>
        <w:rPr>
          <w:rFonts w:ascii="Times New Roman" w:hAnsi="Times New Roman"/>
          <w:color w:val="000000"/>
          <w:sz w:val="24"/>
        </w:rPr>
        <w:t>  No consent, approval, authorization, order, registration or qualification of or with any court or arbitrator or governmental or regulatory authority is required for the execution, delivery and performance by the Company of this Agreement, the Purchase Agreements, the issuance and sale of the Shares and the consummation of the transactions contemplated by this Agreement or the Pricing Disclosure Package and the Prospectus, except for (i) the registration of the Shares under the Securities Act and such consents, approvals, authorizations, orders and registrations or qualifications as may be required by the Exchange in regards to the listing of the Shares, by the Financial Industry Regulatory Authority, Inc. and under applicable state securities laws in connection with the transactions contemplated hereunder and (ii) any consent, approval, authorization, order, registration or qualification of or with any court or arbitrator or governmental or regulatory authority that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i/>
          <w:color w:val="000000"/>
          <w:sz w:val="24"/>
        </w:rPr>
        <w:t>Legal Proceedings.</w:t>
      </w:r>
      <w:r>
        <w:rPr>
          <w:rFonts w:ascii="Times New Roman" w:hAnsi="Times New Roman"/>
          <w:color w:val="000000"/>
          <w:sz w:val="24"/>
        </w:rPr>
        <w:t>  Except as described the Registration Statement, the Pricing Disclosure Package and the Prospectus, there are no legal, governmental or regulatory investigations, actions, demands, claims, suits, arbitrations, inquiries or proceedings (“Actions”)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no such Actions that, individually or in the aggregate, if determined adversely to the Company or any of its subsidiaries, could reasonably be expected to have a Material Adverse Effect are, to the knowledge of the Company, threatened or contemplated by any governmental or regulatory authority or threatened by others.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(w)</w:t>
      </w:r>
      <w:r>
        <w:rPr>
          <w:rFonts w:ascii="Times New Roman" w:hAnsi="Times New Roman"/>
          <w:color w:val="000000"/>
          <w:sz w:val="20"/>
        </w:rPr>
        <w:t xml:space="preserve">      </w:t>
      </w:r>
      <w:r>
        <w:rPr>
          <w:rFonts w:ascii="Times New Roman" w:hAnsi="Times New Roman"/>
          <w:i/>
          <w:color w:val="000000"/>
          <w:sz w:val="24"/>
        </w:rPr>
        <w:t>Independent Accountants.</w:t>
      </w:r>
      <w:r>
        <w:rPr>
          <w:rFonts w:ascii="Times New Roman" w:hAnsi="Times New Roman"/>
          <w:color w:val="000000"/>
          <w:sz w:val="24"/>
        </w:rPr>
        <w:t>  Raymond Chabot Grant Thornton LLP, who has previously certified financial statements of the Company and its subsidiaries, was an independent registered public accounting firm with respect to the Company and its subsidiaries during its engagement, and the Company’s independent accountants as of the date hereof, KPMG LLP,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9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i/>
          <w:color w:val="000000"/>
          <w:sz w:val="24"/>
        </w:rPr>
        <w:t>Title to</w:t>
      </w:r>
      <w:r>
        <w:rPr>
          <w:rFonts w:ascii="Times New Roman" w:hAnsi="Times New Roman"/>
          <w:color w:val="000000"/>
          <w:sz w:val="24"/>
        </w:rPr>
        <w:t> </w:t>
      </w:r>
      <w:r>
        <w:rPr>
          <w:rFonts w:ascii="Times New Roman" w:hAnsi="Times New Roman"/>
          <w:i/>
          <w:color w:val="000000"/>
          <w:sz w:val="24"/>
        </w:rPr>
        <w:t>Real and Personal Property.</w:t>
      </w:r>
      <w:r>
        <w:rPr>
          <w:rFonts w:ascii="Times New Roman" w:hAnsi="Times New Roman"/>
          <w:color w:val="000000"/>
          <w:sz w:val="24"/>
        </w:rPr>
        <w:t>  Except as described in the Registration Statement, the Pricing Disclosure Package and the Prospectus, the Company and its subsidiaries have good and marketable title in fee simple (in the case of real property) to, or have valid rights to lease or otherwise use, all items of real and personal property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i/>
          <w:color w:val="000000"/>
          <w:sz w:val="24"/>
        </w:rPr>
        <w:t>Intellectual Property.</w:t>
      </w:r>
      <w:r>
        <w:rPr>
          <w:rFonts w:ascii="Times New Roman" w:hAnsi="Times New Roman"/>
          <w:color w:val="000000"/>
          <w:sz w:val="24"/>
        </w:rPr>
        <w:t>Except as otherwise disclosed in the Registration Statement, the Pricing Disclosure Package and the Prospectus, or except as would not, individually or in the aggregate, reasonably be expected to have a Material Adverse Effect: (i) the Company and its subsidiaries own or have valid and enforceable rights to use all patents, trademarks, service marks, trade names, domain names and other source indicators, copyrights and copyrightable works, licenses, know-how (including trade secrets and other unpatented or unpatentable proprietary or confidential information systems or procedures) and all other similar intellectual property, industrial property and proprietary rights (including all registrations and applications for registration of, and all goodwill associated with, the foregoing) (collectively, “Intellectual Property”) used in or necessary for the conduct of their respective businesses; (ii) the Company’s and its subsidiaries’ conduct of their respective businesses has not infringed, misappropriated or otherwise violated any Intellectual Property of any third party; (iii) the Company and its subsidiaries have not received any written notice and are not otherwise aware of any pending or threatened claim alleging infringement, misappropriation or other violation of any Intellectual Property of any person, or challenging the validity, enforceability, scope or ownership of any Intellectual Property of the Company or its subsidiaries; (iv) to the knowledge of the Company, no Intellectual Property of the Company or its subsidiaries has been infringed, misappropriated or otherwise violated by any person; (v) to the knowledge of the Company, all Intellectual Property owned by or exclusively licensed to the Company and its subsidiaries is valid and enforceable in all material respects; and (vi) the Company and its subsidiaries have taken reasonable steps in accordance with normal industry practice to maintain the confidentiality of all Intellectual Property, the value of which to the Company or any of its subsidiaries is contingent upon maintaining the confidentiality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(z)</w:t>
      </w:r>
      <w:r>
        <w:rPr>
          <w:rFonts w:ascii="Times New Roman" w:hAnsi="Times New Roman"/>
          <w:color w:val="000000"/>
          <w:sz w:val="20"/>
        </w:rPr>
        <w:t xml:space="preserve">      </w:t>
      </w:r>
      <w:r>
        <w:rPr>
          <w:rFonts w:ascii="Times New Roman" w:hAnsi="Times New Roman"/>
          <w:i/>
          <w:color w:val="000000"/>
          <w:sz w:val="24"/>
        </w:rPr>
        <w:t>No Undisclosed Relationships.</w:t>
      </w:r>
      <w:r>
        <w:rPr>
          <w:rFonts w:ascii="Times New Roman" w:hAnsi="Times New Roman"/>
          <w:color w:val="000000"/>
          <w:sz w:val="24"/>
        </w:rPr>
        <w:t>  No relationship, direct or indirect, exists between or among the Company or any of its subsidiaries, on the one hand, and the directors, officers, shareholders,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10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(aa)</w:t>
      </w:r>
      <w:r>
        <w:rPr>
          <w:rFonts w:ascii="Times New Roman" w:hAnsi="Times New Roman"/>
          <w:color w:val="000000"/>
          <w:sz w:val="20"/>
        </w:rPr>
        <w:t xml:space="preserve">    </w:t>
      </w:r>
      <w:r>
        <w:rPr>
          <w:rFonts w:ascii="Times New Roman" w:hAnsi="Times New Roman"/>
          <w:i/>
          <w:color w:val="000000"/>
          <w:sz w:val="24"/>
        </w:rPr>
        <w:t>Investment Company Act.</w:t>
      </w:r>
      <w:r>
        <w:rPr>
          <w:rFonts w:ascii="Times New Roman" w:hAnsi="Times New Roman"/>
          <w:color w:val="000000"/>
          <w:sz w:val="24"/>
        </w:rPr>
        <w:t>  The Company is not and, after giving effect to the offering and sale of the Shares and the application of the proceeds thereof as described in the Registration Statement, the Pricing Disclosure Package and the Prospectus, will not be required to register as an “investment company” or an entity “controlled” by an “investment company” within the meaning of the U.S. Investment Company Act of 1940, as amended, and the rules and regulations of the Commission thereunder.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(bb)</w:t>
      </w:r>
      <w:r>
        <w:rPr>
          <w:rFonts w:ascii="Times New Roman" w:hAnsi="Times New Roman"/>
          <w:color w:val="000000"/>
          <w:sz w:val="20"/>
        </w:rPr>
        <w:t xml:space="preserve">     </w:t>
      </w:r>
      <w:r>
        <w:rPr>
          <w:rFonts w:ascii="Times New Roman" w:hAnsi="Times New Roman"/>
          <w:i/>
          <w:color w:val="000000"/>
          <w:sz w:val="24"/>
        </w:rPr>
        <w:t>Taxes.</w:t>
      </w:r>
      <w:r>
        <w:rPr>
          <w:rFonts w:ascii="Times New Roman" w:hAnsi="Times New Roman"/>
          <w:color w:val="000000"/>
          <w:sz w:val="24"/>
        </w:rPr>
        <w:t>  Except as otherwise disclosed in the Registration Statement, the Pricing Disclosure Package and the Prospectus, the Company and its subsidiaries have paid all taxes and filed all tax returns required to be paid or filed through the date hereof except, in each case, where the failure to pay or file would not, individually or in the aggregate, cause a Material Adverse Effect; and there is no tax deficiency that has been, or could reasonably be expected to be, asserted against the Company or any of its subsidiaries or any of their respective properties or assets, except a tax deficiency that would not, individually or in the aggregate, cause a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(cc)</w:t>
      </w:r>
      <w:r>
        <w:rPr>
          <w:rFonts w:ascii="Times New Roman" w:hAnsi="Times New Roman"/>
          <w:color w:val="000000"/>
          <w:sz w:val="20"/>
        </w:rPr>
        <w:t xml:space="preserve">     </w:t>
      </w:r>
      <w:r>
        <w:rPr>
          <w:rFonts w:ascii="Times New Roman" w:hAnsi="Times New Roman"/>
          <w:i/>
          <w:color w:val="000000"/>
          <w:sz w:val="24"/>
        </w:rPr>
        <w:t>Licenses and Permits.</w:t>
      </w:r>
      <w:r>
        <w:rPr>
          <w:rFonts w:ascii="Times New Roman" w:hAnsi="Times New Roman"/>
          <w:color w:val="000000"/>
          <w:sz w:val="24"/>
        </w:rPr>
        <w:t>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 have a Material Adverse Effect; and except as described in the Registration Statement, the Pricing Disclosure Package and the Prospectus or as would not, individually or in the aggregate, have a Material Adverse Effect,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(dd)</w:t>
      </w:r>
      <w:r>
        <w:rPr>
          <w:rFonts w:ascii="Times New Roman" w:hAnsi="Times New Roman"/>
          <w:color w:val="000000"/>
          <w:sz w:val="20"/>
        </w:rPr>
        <w:t xml:space="preserve">      </w:t>
      </w:r>
      <w:r>
        <w:rPr>
          <w:rFonts w:ascii="Times New Roman" w:hAnsi="Times New Roman"/>
          <w:i/>
          <w:color w:val="000000"/>
          <w:sz w:val="24"/>
        </w:rPr>
        <w:t>No Labor Disputes.</w:t>
      </w:r>
      <w:r>
        <w:rPr>
          <w:rFonts w:ascii="Times New Roman" w:hAnsi="Times New Roman"/>
          <w:color w:val="000000"/>
          <w:sz w:val="24"/>
        </w:rPr>
        <w:t>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Neither the Company nor any of its subsidiaries has received any notice of cancellation or termination with respect to any collective bargaining agreement to which it is a party.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(ee)</w:t>
      </w:r>
      <w:r>
        <w:rPr>
          <w:rFonts w:ascii="Times New Roman" w:hAnsi="Times New Roman"/>
          <w:color w:val="000000"/>
          <w:sz w:val="20"/>
        </w:rPr>
        <w:t xml:space="preserve">      </w:t>
      </w:r>
      <w:r>
        <w:rPr>
          <w:rFonts w:ascii="Times New Roman" w:hAnsi="Times New Roman"/>
          <w:i/>
          <w:color w:val="000000"/>
          <w:sz w:val="24"/>
        </w:rPr>
        <w:t>Certain Environmental Matters</w:t>
      </w:r>
      <w:r>
        <w:rPr>
          <w:rFonts w:ascii="Times New Roman" w:hAnsi="Times New Roman"/>
          <w:color w:val="000000"/>
          <w:sz w:val="24"/>
        </w:rPr>
        <w:t>.  (i) The Company and each of its subsidiaries (x) are and have been in compliance with all, and have not violated any, applicable federal, state, local and foreign laws (including common law), rules, regulations, requirements, decisions, judgments, decrees, orders and other legally enforceable requirements relating to pollution, the protection of human health or safety, the environment, hazardous or toxic substances or wastes, chemicals, pollutants or contaminants (collectively, “Hazardous Substances”), or the protection of natural resources (collectively, “Environmental Laws”); (y) have received and are and have been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Hazardous Substances, and have no knowledge of any event or condition that would reasonably be expected to result in any such notice, liability, obligation or violation and (ii) there are no costs, obligations or liabilities associated with Environmental Laws of or relating to the Company or any of its subsidiaries, except in the case of each of (i) and (ii) above, for any such matter as would not, individually or in the aggregate, reasonably be expected to have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11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(ff)</w:t>
      </w:r>
      <w:r>
        <w:rPr>
          <w:rFonts w:ascii="Times New Roman" w:hAnsi="Times New Roman"/>
          <w:color w:val="000000"/>
          <w:sz w:val="20"/>
        </w:rPr>
        <w:t xml:space="preserve">      </w:t>
      </w:r>
      <w:r>
        <w:rPr>
          <w:rFonts w:ascii="Times New Roman" w:hAnsi="Times New Roman"/>
          <w:i/>
          <w:color w:val="000000"/>
          <w:sz w:val="24"/>
        </w:rPr>
        <w:t>Compliance with ERISA.</w:t>
      </w:r>
      <w:r>
        <w:rPr>
          <w:rFonts w:ascii="Times New Roman" w:hAnsi="Times New Roman"/>
          <w:color w:val="000000"/>
          <w:sz w:val="24"/>
        </w:rPr>
        <w:t>  (i) Each employee benefit plan, within the meaning of Section 3(3) of the Employee Retirement Income Security Act of 1974, as amended (“ERISA”), that is sponsored or maintained by the Company or any of its Subsidiaries (each, a “Plan”)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(ii) no prohibited transaction, within the meaning of Section 406 of ERISA or Section 4975 of the Code, has occurred with respect to any Plan, excluding transactions effected pursuant to a statutory or administrative exemption or that would reasonably be expected to result in material liability to the Company; (iii) neither the Company nor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Internal Revenue Code) has currently or in the past six years (x) sponsored, maintained or contributed to any employee benefit plan that is subject to the funding rules of Section 412 of the Code or Section 302 of ERISA or Title IV of ERISA or (y) had any obligation to contribute to or other liability, whether absolute or contingent, in respect of any “multiemployer plan” within the meaning of Section 4001(a)(3) of ERISA, and (iv) each Plan that is intended to be qualified under Section 401(a) of the Code is so qualified, and nothing has occurred, whether by action or by failure to act, to the knowledge of the Company, which would cause the loss of such qualification, except in each case with respect to the events or conditions set forth in (i) through (iv) hereof, as would not, individually or in the aggregate, have a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(gg)</w:t>
      </w:r>
      <w:r>
        <w:rPr>
          <w:rFonts w:ascii="Times New Roman" w:hAnsi="Times New Roman"/>
          <w:color w:val="000000"/>
          <w:sz w:val="20"/>
        </w:rPr>
        <w:t xml:space="preserve">    </w:t>
      </w:r>
      <w:r>
        <w:rPr>
          <w:rFonts w:ascii="Times New Roman" w:hAnsi="Times New Roman"/>
          <w:i/>
          <w:color w:val="000000"/>
          <w:sz w:val="24"/>
        </w:rPr>
        <w:t>Disclosure Controls</w:t>
      </w:r>
      <w:r>
        <w:rPr>
          <w:rFonts w:ascii="Times New Roman" w:hAnsi="Times New Roman"/>
          <w:color w:val="000000"/>
          <w:sz w:val="24"/>
        </w:rPr>
        <w:t>.  Except as otherwise disclosed in the Registration Statement, the Pricing Disclosure Package and the Prospectus, the Company and its subsidiaries maintain an effective system of “disclosure controls and procedures” (as defined in Rule 13a-15(e) of the Exchange Act) that complies with requirements of the Exchange Act, as applicable to the Company,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12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(hh)</w:t>
      </w:r>
      <w:r>
        <w:rPr>
          <w:rFonts w:ascii="Times New Roman" w:hAnsi="Times New Roman"/>
          <w:color w:val="000000"/>
          <w:sz w:val="20"/>
        </w:rPr>
        <w:t xml:space="preserve">     </w:t>
      </w:r>
      <w:r>
        <w:rPr>
          <w:rFonts w:ascii="Times New Roman" w:hAnsi="Times New Roman"/>
          <w:i/>
          <w:color w:val="000000"/>
          <w:sz w:val="24"/>
        </w:rPr>
        <w:t>Accounting Controls.</w:t>
      </w:r>
      <w:r>
        <w:rPr>
          <w:rFonts w:ascii="Times New Roman" w:hAnsi="Times New Roman"/>
          <w:color w:val="000000"/>
          <w:sz w:val="24"/>
        </w:rPr>
        <w:t>  Except as otherwise disclosed in the Registration Statement, the Pricing Disclosure Package and the Prospectus, the Company and its subsidiaries maintain systems of “internal control over financial reporting” (as defined in Rule 13a-15(f) of the Exchange Act) that comply with the requirements of the Exchange Act, as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otherwise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 xml:space="preserve">eXtensible Business Reporting Language. </w:t>
      </w:r>
      <w:r>
        <w:rPr>
          <w:rFonts w:ascii="Times New Roman" w:hAnsi="Times New Roman"/>
          <w:color w:val="000000"/>
          <w:sz w:val="24"/>
        </w:rPr>
        <w:t>The interactive data in eXtensible Business Reporting Language included or incorporated by reference in the Registration Statement, the Pricing Disclosure Package and the Prospectus fairly presents the information called for in the Commission’s rules and guidelines applicable thereto in all material respects and has been prepared in accordance therewith in all material respects.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(jj)</w:t>
      </w:r>
      <w:r>
        <w:rPr>
          <w:rFonts w:ascii="Times New Roman" w:hAnsi="Times New Roman"/>
          <w:color w:val="000000"/>
          <w:sz w:val="20"/>
        </w:rPr>
        <w:t xml:space="preserve">      </w:t>
      </w:r>
      <w:r>
        <w:rPr>
          <w:rFonts w:ascii="Times New Roman" w:hAnsi="Times New Roman"/>
          <w:i/>
          <w:color w:val="000000"/>
          <w:sz w:val="24"/>
        </w:rPr>
        <w:t xml:space="preserve">Insurance.  </w:t>
      </w:r>
      <w:r>
        <w:rPr>
          <w:rFonts w:ascii="Times New Roman" w:hAnsi="Times New Roman"/>
          <w:color w:val="000000"/>
          <w:sz w:val="24"/>
        </w:rPr>
        <w:t>The Company and its subsidiaries have insurance covering their respective material properties, operations, personnel and businesses, which insurance is in amounts and insures against such losses and risks as are appropriate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the case of clauses (i) and (ii) as would not, individually or in the aggregate, have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13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(kk)</w:t>
      </w:r>
      <w:r>
        <w:rPr>
          <w:rFonts w:ascii="Times New Roman" w:hAnsi="Times New Roman"/>
          <w:color w:val="000000"/>
          <w:sz w:val="20"/>
        </w:rPr>
        <w:t xml:space="preserve">      </w:t>
      </w:r>
      <w:r>
        <w:rPr>
          <w:rFonts w:ascii="Times New Roman" w:hAnsi="Times New Roman"/>
          <w:i/>
          <w:color w:val="000000"/>
          <w:sz w:val="24"/>
        </w:rPr>
        <w:t xml:space="preserve">Cybersecurity; Data Protection.  </w:t>
      </w:r>
      <w:r>
        <w:rPr>
          <w:rFonts w:ascii="Times New Roman" w:hAnsi="Times New Roman"/>
          <w:color w:val="000000"/>
          <w:sz w:val="24"/>
        </w:rPr>
        <w:t>Except as otherwise disclosed in the Registration Statement, the Pricing Disclosure Package and the Prospectus or except as would not, individually or in the aggregate, reasonably be expected to have a Material Adverse Effect: (i) the Company and its subsidiaries’ information technology assets and equipment, computers, systems, networks, hardware, software, websites, applications, and databases (including the data of their respective customers, employees, suppliers, vendors and any third party data maintained by or on behalf of the Company and its subsidiaries) (collectively, “IT Systems”) are adequate for, and operate and perform as reasonably required in connection with, the operation of the business of the Company and its subsidiaries and, to the knowledge of the Company, are free and clear of all bugs, errors, defects, Trojan horses, time bombs, malware and other corruptants; (ii) the Company and its subsidiaries have implemented and maintain commercially reasonable controls, policies, procedures, and safeguards designed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(iii) without limiting the foregoing, the Company and its subsidiaries have used reasonable efforts to establish, maintain, implement and comply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of the Company’s or its subsidiaries’ information technology system or Data (“Breach”) and there has been no such Breach; and (iv) the Company and its subsidiaries have not been notified of, and have no knowledge of any event or condition that would reasonably be expected to result in, any such Breach.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(ll)</w:t>
      </w:r>
      <w:r>
        <w:rPr>
          <w:rFonts w:ascii="Times New Roman" w:hAnsi="Times New Roman"/>
          <w:color w:val="000000"/>
          <w:sz w:val="20"/>
        </w:rPr>
        <w:t xml:space="preserve">        </w:t>
      </w:r>
      <w:r>
        <w:rPr>
          <w:rFonts w:ascii="Times New Roman" w:hAnsi="Times New Roman"/>
          <w:i/>
          <w:color w:val="000000"/>
          <w:sz w:val="24"/>
        </w:rPr>
        <w:t xml:space="preserve">Privacy.   </w:t>
      </w:r>
      <w:r>
        <w:rPr>
          <w:rFonts w:ascii="Times New Roman" w:hAnsi="Times New Roman"/>
          <w:color w:val="000000"/>
          <w:sz w:val="24"/>
        </w:rPr>
        <w:t>Except as otherwise disclosed in the Registration Statement, the Pricing Disclosure Package and the Prospectus or except as would not, individually or in the aggregate, reasonably be expected to have a Material Adverse Effect: (i) the Company and its subsidiaries have complied, and are presently in compliance with all internal and external privacy policies, contractual obligations, binding industry standards, applicable laws, statutes, judgments, orders, rules and regulations of any court or arbitrator or other governmental or regulatory authority and any legal obligations, in each case, regarding the collection, use, transfer, import, export, storage, protection, disposal and disclosure by the Company and its subsidiaries of Data (“Data Security Obligations”); (ii) neither the Company nor any of its subsidiaries has received any notification of or complaint regarding, or are aware of any other facts that, individually or in the aggregate, would reasonably indicate non-compliance with any Data Security Obligation; (iii) there is no pending, or to the knowledge of the Company, threatened, action, suit or proceeding by or before any court or governmental agency, authority or body alleging non-compliance by the Company or any of its subsidiaries with any Data Security Obligation; (iv) to the extent applicable to the operations of the Company and its subsidiaries, the Company and its subsidiaries are in compliance with the European Union General Data Protection Regulation (and all other laws and regulations applicable to the operations of the Company and its subsidiaries with respect to personal data, and for which any non-compliance with the same would be reasonably likely to create a liability).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(mm)</w:t>
      </w:r>
      <w:r>
        <w:rPr>
          <w:rFonts w:ascii="Times New Roman" w:hAnsi="Times New Roman"/>
          <w:color w:val="000000"/>
          <w:sz w:val="20"/>
        </w:rPr>
        <w:t xml:space="preserve">   </w:t>
      </w:r>
      <w:r>
        <w:rPr>
          <w:rFonts w:ascii="Times New Roman" w:hAnsi="Times New Roman"/>
          <w:i/>
          <w:color w:val="000000"/>
          <w:sz w:val="24"/>
        </w:rPr>
        <w:t>No Unlawful Payments.</w:t>
      </w:r>
      <w:r>
        <w:rPr>
          <w:rFonts w:ascii="Times New Roman" w:hAnsi="Times New Roman"/>
          <w:color w:val="000000"/>
          <w:sz w:val="24"/>
        </w:rPr>
        <w:t>  Neither the Company nor any of its subsidiaries, nor, to the knowledge of the Company, any director, officer or employee of the Company or any of its subsidiaries or any agent, affiliate or other person acting on behalf of the Company or any of its subsidiaries has, since December 2, 2020,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(nn)</w:t>
      </w:r>
      <w:r>
        <w:rPr>
          <w:rFonts w:ascii="Times New Roman" w:hAnsi="Times New Roman"/>
          <w:color w:val="000000"/>
          <w:sz w:val="20"/>
        </w:rPr>
        <w:t xml:space="preserve">     </w:t>
      </w:r>
      <w:r>
        <w:rPr>
          <w:rFonts w:ascii="Times New Roman" w:hAnsi="Times New Roman"/>
          <w:i/>
          <w:color w:val="000000"/>
          <w:sz w:val="24"/>
        </w:rPr>
        <w:t>Compliance with Anti-Money Laundering Laws</w:t>
      </w:r>
      <w:r>
        <w:rPr>
          <w:rFonts w:ascii="Times New Roman" w:hAnsi="Times New Roman"/>
          <w:color w:val="000000"/>
          <w:sz w:val="24"/>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(oo)</w:t>
      </w:r>
      <w:r>
        <w:rPr>
          <w:rFonts w:ascii="Times New Roman" w:hAnsi="Times New Roman"/>
          <w:color w:val="000000"/>
          <w:sz w:val="20"/>
        </w:rPr>
        <w:t xml:space="preserve">     </w:t>
      </w:r>
      <w:r>
        <w:rPr>
          <w:rFonts w:ascii="Times New Roman" w:hAnsi="Times New Roman"/>
          <w:i/>
          <w:color w:val="000000"/>
          <w:sz w:val="24"/>
        </w:rPr>
        <w:t>No Conflicts with Sanctions Laws</w:t>
      </w:r>
      <w:r>
        <w:rPr>
          <w:rFonts w:ascii="Times New Roman" w:hAnsi="Times New Roman"/>
          <w:color w:val="000000"/>
          <w:sz w:val="24"/>
        </w:rPr>
        <w:t>.  Neither the Company nor any of its subsidiaries nor, to the knowledge of the Company, any of its directors, officers, employees, agents, affiliates or other person acting on behalf of the Company or any of its subsidiaries is currently the subject or, to the knowledge of the Company,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or other relevant sanctions authority (collectively, “Sanctions”),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Cuba, Iran, North Korea and Syria (with respect to Syria only, until July 1, 2025) (each, a “Sanctioned Country”); and the Company will not directly or knowingly indirectly use the proceeds of the offering of the Shares,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in violation of Sanctions, (ii) to fund or facilitate any activities of or business in any Sanctioned Country, in violation of Sanctions or (iii) in any other manner that will result in a violation by any person (including any person participating in the transaction, whether as initial purchaser, underwriter, advisor, investor or otherwise) of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(pp)</w:t>
      </w:r>
      <w:r>
        <w:rPr>
          <w:rFonts w:ascii="Times New Roman" w:hAnsi="Times New Roman"/>
          <w:color w:val="000000"/>
          <w:sz w:val="20"/>
        </w:rPr>
        <w:t xml:space="preserve">     </w:t>
      </w:r>
      <w:r>
        <w:rPr>
          <w:rFonts w:ascii="Times New Roman" w:hAnsi="Times New Roman"/>
          <w:i/>
          <w:color w:val="000000"/>
          <w:sz w:val="24"/>
        </w:rPr>
        <w:t>No Restrictions on Subsidiaries</w:t>
      </w:r>
      <w:r>
        <w:rPr>
          <w:rFonts w:ascii="Times New Roman" w:hAnsi="Times New Roman"/>
          <w:color w:val="000000"/>
          <w:sz w:val="24"/>
        </w:rPr>
        <w:t>.  No subsidiary of the Company is currently prohibited, directly or indirectly, under any agreement or other instrument to which it is a party or is subject, from paying any dividends to the Company, from making any other distribution on such subsidiary’s capital shares or similar ownership interest, from repaying to the Company any loans or advances to such subsidiary from the Company or from transferring any of such subsidiary’s properties or assets to the Company or any other subsidiary of the Company, except as otherwise disclosed in the Registration Statement, the Pricing Disclosure Package and the Prospectus or as would not, individually or in the aggregate, have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15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(qq)</w:t>
      </w:r>
      <w:r>
        <w:rPr>
          <w:rFonts w:ascii="Times New Roman" w:hAnsi="Times New Roman"/>
          <w:color w:val="000000"/>
          <w:sz w:val="20"/>
        </w:rPr>
        <w:t xml:space="preserve">     </w:t>
      </w:r>
      <w:r>
        <w:rPr>
          <w:rFonts w:ascii="Times New Roman" w:hAnsi="Times New Roman"/>
          <w:i/>
          <w:color w:val="000000"/>
          <w:sz w:val="24"/>
        </w:rPr>
        <w:t>No Broker’s Fees</w:t>
      </w:r>
      <w:r>
        <w:rPr>
          <w:rFonts w:ascii="Times New Roman" w:hAnsi="Times New Roman"/>
          <w:color w:val="000000"/>
          <w:sz w:val="24"/>
        </w:rPr>
        <w:t>.  Neither the Company nor any of its subsidiaries is a party to any contract, agreement or understanding with any person (other than this Agreement) that would give rise to a valid claim against any of them or either of the Placement Agents for a brokerage commission, finder’s fee or like payment in connection with the offering and sale of the Shares pursuant to this Agreement and the Purchase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(rr)</w:t>
      </w:r>
      <w:r>
        <w:rPr>
          <w:rFonts w:ascii="Times New Roman" w:hAnsi="Times New Roman"/>
          <w:color w:val="000000"/>
          <w:sz w:val="20"/>
        </w:rPr>
        <w:t xml:space="preserve">       </w:t>
      </w:r>
      <w:r>
        <w:rPr>
          <w:rFonts w:ascii="Times New Roman" w:hAnsi="Times New Roman"/>
          <w:i/>
          <w:color w:val="000000"/>
          <w:sz w:val="24"/>
        </w:rPr>
        <w:t>No Stabilization.</w:t>
      </w:r>
      <w:r>
        <w:rPr>
          <w:rFonts w:ascii="Times New Roman" w:hAnsi="Times New Roman"/>
          <w:color w:val="000000"/>
          <w:sz w:val="24"/>
        </w:rPr>
        <w:t xml:space="preserve">  Neither the Company nor any of its subsidiaries or affiliates has taken, </w:t>
      </w:r>
      <w:r>
        <w:rPr>
          <w:rFonts w:ascii="Times New Roman" w:hAnsi="Times New Roman"/>
          <w:color w:val="000000"/>
          <w:sz w:val="20"/>
        </w:rPr>
        <w:t>directly or indirectly, any action designed to or that could reasonably be expected to cause or result in any stabilization or manipulation of the price of the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(ss)</w:t>
      </w:r>
      <w:r>
        <w:rPr>
          <w:rFonts w:ascii="Times New Roman" w:hAnsi="Times New Roman"/>
          <w:color w:val="000000"/>
          <w:sz w:val="20"/>
        </w:rPr>
        <w:t xml:space="preserve">       </w:t>
      </w:r>
      <w:r>
        <w:rPr>
          <w:rFonts w:ascii="Times New Roman" w:hAnsi="Times New Roman"/>
          <w:i/>
          <w:color w:val="000000"/>
          <w:sz w:val="24"/>
        </w:rPr>
        <w:t>Margin Rules</w:t>
      </w:r>
      <w:r>
        <w:rPr>
          <w:rFonts w:ascii="Times New Roman" w:hAnsi="Times New Roman"/>
          <w:color w:val="000000"/>
          <w:sz w:val="24"/>
        </w:rPr>
        <w:t>. Neither the issuance, sale and delivery of the Shares pursuant to this Agreement and the Purchase Agreements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(tt)</w:t>
      </w:r>
      <w:r>
        <w:rPr>
          <w:rFonts w:ascii="Times New Roman" w:hAnsi="Times New Roman"/>
          <w:color w:val="000000"/>
          <w:sz w:val="20"/>
        </w:rPr>
        <w:t xml:space="preserve">      </w:t>
      </w:r>
      <w:r>
        <w:rPr>
          <w:rFonts w:ascii="Times New Roman" w:hAnsi="Times New Roman"/>
          <w:i/>
          <w:color w:val="000000"/>
          <w:sz w:val="24"/>
        </w:rPr>
        <w:t>No Registration Rights</w:t>
      </w:r>
      <w:r>
        <w:rPr>
          <w:rFonts w:ascii="Times New Roman" w:hAnsi="Times New Roman"/>
          <w:color w:val="000000"/>
          <w:sz w:val="24"/>
        </w:rPr>
        <w:t>.  Except as described in the Registration Statement, the Pricing Disclosure Package and the Prospectus, no person has the right to require the Company or any of its subsidiaries to register any securities for sale under the Securities Act by reason of the filing of the Registration Statement with the Commission or the issuance and sale of the Shares pursuant to this Agreement and the Purchase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(uu)</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(vv)</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(ww)</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(xx)</w:t>
      </w:r>
      <w:r>
        <w:rPr>
          <w:rFonts w:ascii="Times New Roman" w:hAnsi="Times New Roman"/>
          <w:color w:val="000000"/>
          <w:sz w:val="20"/>
        </w:rPr>
        <w:t xml:space="preserve">     </w:t>
      </w:r>
      <w:r>
        <w:rPr>
          <w:rFonts w:ascii="Times New Roman" w:hAnsi="Times New Roman"/>
          <w:i/>
          <w:color w:val="000000"/>
          <w:sz w:val="24"/>
        </w:rPr>
        <w:t>Forward-Looking Statements</w:t>
      </w:r>
      <w:r>
        <w:rPr>
          <w:rFonts w:ascii="Times New Roman" w:hAnsi="Times New Roman"/>
          <w:color w:val="000000"/>
          <w:sz w:val="24"/>
        </w:rPr>
        <w:t>.  No forward-looking statement (within the meaning of Section 27A of the Securities Act and Section 21E of the Exchange Act) contained or incorporated by reference any of the Registration Statement, the Pricing Disclosure Package and the Prospectus, or reaffirmed without a reasonable basis or has been disclosed other than in good faith.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(yy)</w:t>
      </w:r>
      <w:r>
        <w:rPr>
          <w:rFonts w:ascii="Times New Roman" w:hAnsi="Times New Roman"/>
          <w:color w:val="000000"/>
          <w:sz w:val="20"/>
        </w:rPr>
        <w:t xml:space="preserve">      </w:t>
      </w:r>
      <w:r>
        <w:rPr>
          <w:rFonts w:ascii="Times New Roman" w:hAnsi="Times New Roman"/>
          <w:i/>
          <w:color w:val="000000"/>
          <w:sz w:val="24"/>
        </w:rPr>
        <w:t>Statistical and Market Data.</w:t>
      </w:r>
      <w:r>
        <w:rPr>
          <w:rFonts w:ascii="Times New Roman" w:hAnsi="Times New Roman"/>
          <w:color w:val="000000"/>
          <w:sz w:val="24"/>
        </w:rPr>
        <w:t>  Nothing has come to the attention of the Company that has caused the Company to believe that the statistical and market-related data included or incorporated by reference in any of the Registration Statement, the Pricing Disclosure Package or the Prospectus is not based on or derived from sources that are reliable and accurate in all material respects.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(zz)     </w:t>
      </w:r>
      <w:r>
        <w:rPr>
          <w:rFonts w:ascii="Times New Roman" w:hAnsi="Times New Roman"/>
          <w:i/>
          <w:color w:val="000000"/>
          <w:sz w:val="24"/>
        </w:rPr>
        <w:t>Sarbanes-Oxley Act</w:t>
      </w:r>
      <w:r>
        <w:rPr>
          <w:rFonts w:ascii="Times New Roman" w:hAnsi="Times New Roman"/>
          <w:color w:val="000000"/>
          <w:sz w:val="24"/>
        </w:rPr>
        <w:t>.  There is and has been no failure on the part of the Company or, to the knowledge of the Company, any of the Company’s 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16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(aaa)</w:t>
      </w:r>
      <w:r>
        <w:rPr>
          <w:rFonts w:ascii="Times New Roman" w:hAnsi="Times New Roman"/>
          <w:color w:val="000000"/>
          <w:sz w:val="20"/>
        </w:rPr>
        <w:t xml:space="preserve">    </w:t>
      </w:r>
      <w:r>
        <w:rPr>
          <w:rFonts w:ascii="Times New Roman" w:hAnsi="Times New Roman"/>
          <w:i/>
          <w:color w:val="000000"/>
          <w:sz w:val="24"/>
        </w:rPr>
        <w:t>No Ratings.</w:t>
      </w:r>
      <w:r>
        <w:rPr>
          <w:rFonts w:ascii="Times New Roman" w:hAnsi="Times New Roman"/>
          <w:color w:val="000000"/>
          <w:sz w:val="24"/>
        </w:rPr>
        <w:t>  There are (and prior to the Closing Date, will be) no debt securities, convertible securities or preferred shares issued or guaranteed by the Company or any of its subsidiaries that are rated by a “nationally recognized statistical rating organization”, as such term is defined in Section 3(a)(62) under the Exchange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(bbb)</w:t>
      </w:r>
      <w:r>
        <w:rPr>
          <w:rFonts w:ascii="Times New Roman" w:hAnsi="Times New Roman"/>
          <w:color w:val="000000"/>
          <w:sz w:val="20"/>
        </w:rPr>
        <w:t xml:space="preserve">   </w:t>
      </w:r>
      <w:r>
        <w:rPr>
          <w:rFonts w:ascii="Times New Roman" w:hAnsi="Times New Roman"/>
          <w:i/>
          <w:color w:val="000000"/>
          <w:sz w:val="24"/>
        </w:rPr>
        <w:t>Stamp Taxes</w:t>
      </w:r>
      <w:r>
        <w:rPr>
          <w:rFonts w:ascii="Times New Roman" w:hAnsi="Times New Roman"/>
          <w:color w:val="000000"/>
          <w:sz w:val="24"/>
        </w:rPr>
        <w:t>. No stamp duties or other issuance or transfer taxes are payable by or on behalf of the Placement Agents in Australia or any political subdivision or taxing authority thereof in connection with (i) the execution, delivery and performance of this Agreement, or (ii) the issuance and delivery of the Shares in the manner contemplated by this Agreement, the Purchase Agreements and the Prospectus.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(ccc)</w:t>
      </w:r>
      <w:r>
        <w:rPr>
          <w:rFonts w:ascii="Times New Roman" w:hAnsi="Times New Roman"/>
          <w:color w:val="000000"/>
          <w:sz w:val="20"/>
        </w:rPr>
        <w:t xml:space="preserve">    </w:t>
      </w:r>
      <w:r>
        <w:rPr>
          <w:rFonts w:ascii="Times New Roman" w:hAnsi="Times New Roman"/>
          <w:i/>
          <w:color w:val="000000"/>
          <w:sz w:val="24"/>
        </w:rPr>
        <w:t>No Immunity</w:t>
      </w:r>
      <w:r>
        <w:rPr>
          <w:rFonts w:ascii="Times New Roman" w:hAnsi="Times New Roman"/>
          <w:color w:val="000000"/>
          <w:sz w:val="24"/>
        </w:rPr>
        <w:t>.  Neither the Company nor any of its subsidiaries or their properties or assets has immunity under Australian, U.S. federal or New York state law from any legal action, suit or proceeding, from the giving of any relief in any such legal action, suit or proceeding, from set-off or counterclaim, from the jurisdiction of any Australian,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16(d) of this Agreement, waived, and it will waive, or will cause its subsidiaries to waive, such right to the extent permitted by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(ddd)</w:t>
      </w:r>
      <w:r>
        <w:rPr>
          <w:rFonts w:ascii="Times New Roman" w:hAnsi="Times New Roman"/>
          <w:color w:val="000000"/>
          <w:sz w:val="20"/>
        </w:rPr>
        <w:t xml:space="preserve">   </w:t>
      </w:r>
      <w:r>
        <w:rPr>
          <w:rFonts w:ascii="Times New Roman" w:hAnsi="Times New Roman"/>
          <w:i/>
          <w:color w:val="000000"/>
          <w:sz w:val="24"/>
        </w:rPr>
        <w:t>Enforcement of Foreign Judgments</w:t>
      </w:r>
      <w:r>
        <w:rPr>
          <w:rFonts w:ascii="Times New Roman" w:hAnsi="Times New Roman"/>
          <w:color w:val="000000"/>
          <w:sz w:val="24"/>
        </w:rPr>
        <w:t>.  Any final judgment for a fixed or determined sum of money rendered by any U.S. federal or New York state court located in the State of New York having jurisdiction under its own laws in respect of any suit, action or proceeding against the Company based upon this Agreement could reasonably and subject to certain exceptions be expected to be declared enforceable against the Company by the courts of competent jurisdiction in Australia and any political subdivision thereof without re-examination or review of the merits of the cause of action in respect of which the original judgment was given. The exceptions to the preceding sentence include where (i) the foreign judgment is not consistent with public policy in Australia, (ii) the foreign judgment has been obtained by fraud or duress, (iii) the foreign judgment has been obtained in proceedings which contravene the principles of natural justice, (iv) the foreign judgment is a penalty, fine or revenue judgment, (v) there is a prior judgment of another court between the same parties concerning the same issues as dealt with in the foreign judgment obtained, (vi) the rules governing enforcement proceedings in the Australian court have not been satisfied, (vii) the party in whose favor the judgment is given and the applicant in the enforcement proceedings are not the same or (viii) the court giving the judgment lacked jurisdiction to give the judgment. The representation in this Section 3(ddd) is also subject to the qualification that a court of competent jurisdiction in Australia may not give a judgment for a monetary obligation expressed in a foreign currency in that currency, or as to the rate of exchange at which such monetary obligation would be converted to Australian dollars for the purposes of enforcement.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17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(eee)</w:t>
      </w:r>
      <w:r>
        <w:rPr>
          <w:rFonts w:ascii="Times New Roman" w:hAnsi="Times New Roman"/>
          <w:color w:val="000000"/>
          <w:sz w:val="20"/>
        </w:rPr>
        <w:t xml:space="preserve">    </w:t>
      </w:r>
      <w:r>
        <w:rPr>
          <w:rFonts w:ascii="Times New Roman" w:hAnsi="Times New Roman"/>
          <w:i/>
          <w:color w:val="000000"/>
          <w:sz w:val="24"/>
        </w:rPr>
        <w:t>Valid Choice of Law and Submission to Jurisdiction</w:t>
      </w:r>
      <w:r>
        <w:rPr>
          <w:rFonts w:ascii="Times New Roman" w:hAnsi="Times New Roman"/>
          <w:color w:val="000000"/>
          <w:sz w:val="24"/>
        </w:rPr>
        <w:t>.  The choice of laws of the State of New York as the governing law of this Agreement and the submission to the exclusive jurisdiction of the U.S. federal and New York state courts in the Borough of Manhattan in The City of New York in any suit or proceeding arising out of or relating to this Agreement or the transactions contemplated hereby are, respectively, a valid choice of law and a valid submission to exclusive jurisdiction under the laws of Australia, to which the courts of Australia will give effect (but will apply the procedural laws of the Australian forum in which the suit or proceeding is being heard and other laws which apply regardless of the choice of law), subject to (i) an overriding jurisdiction of the courts of Australia to determine that another court is a more appropriate forum, (ii) except where such choice of law or submission to the courts is not in good faith or is contrary to public policy in Australia and (iii) the restrictions described under the caption “Service of Process and Enforceability of Civil Liabilities” in the Pricing Disclosure Package and the Prospectus.  The Company has the power to submit, and pursuant to Section 16(e)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(fff)</w:t>
      </w:r>
      <w:r>
        <w:rPr>
          <w:rFonts w:ascii="Times New Roman" w:hAnsi="Times New Roman"/>
          <w:color w:val="000000"/>
          <w:sz w:val="20"/>
        </w:rPr>
        <w:t xml:space="preserve">    </w:t>
      </w:r>
      <w:r>
        <w:rPr>
          <w:rFonts w:ascii="Times New Roman" w:hAnsi="Times New Roman"/>
          <w:i/>
          <w:color w:val="000000"/>
          <w:sz w:val="24"/>
        </w:rPr>
        <w:t>Indemnification and Contribution</w:t>
      </w:r>
      <w:r>
        <w:rPr>
          <w:rFonts w:ascii="Times New Roman" w:hAnsi="Times New Roman"/>
          <w:color w:val="000000"/>
          <w:sz w:val="24"/>
        </w:rPr>
        <w:t>. The indemnification and contribution provisions set forth in Section 7 hereof do not contravene Australian law or public policy.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(ggg)</w:t>
      </w:r>
      <w:r>
        <w:rPr>
          <w:rFonts w:ascii="Times New Roman" w:hAnsi="Times New Roman"/>
          <w:color w:val="000000"/>
          <w:sz w:val="20"/>
        </w:rPr>
        <w:t xml:space="preserve">    </w:t>
      </w:r>
      <w:r>
        <w:rPr>
          <w:rFonts w:ascii="Times New Roman" w:hAnsi="Times New Roman"/>
          <w:i/>
          <w:color w:val="000000"/>
          <w:sz w:val="24"/>
        </w:rPr>
        <w:t>Passive Foreign Investment Company</w:t>
      </w:r>
      <w:r>
        <w:rPr>
          <w:rFonts w:ascii="Times New Roman" w:hAnsi="Times New Roman"/>
          <w:color w:val="000000"/>
          <w:sz w:val="24"/>
        </w:rPr>
        <w:t>.  Based on the current and anticipated composition of its income, assets and operations and subject to the qualifications, limitations, exceptions and assumptions set forth in the Registration Statement, the Pricing Disclosure Package and the Prospectus, the Company does not expect to be treated as a “passive foreign investment company,” as defined in Section 1297 of the Code for the current taxable year.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(hhh)</w:t>
      </w:r>
      <w:r>
        <w:rPr>
          <w:rFonts w:ascii="Times New Roman" w:hAnsi="Times New Roman"/>
          <w:color w:val="000000"/>
          <w:sz w:val="20"/>
        </w:rPr>
        <w:t xml:space="preserve">  </w:t>
      </w:r>
      <w:r>
        <w:rPr>
          <w:rFonts w:ascii="Times New Roman" w:hAnsi="Times New Roman"/>
          <w:i/>
          <w:color w:val="000000"/>
          <w:sz w:val="24"/>
        </w:rPr>
        <w:t>Dividends</w:t>
      </w:r>
      <w:r>
        <w:rPr>
          <w:rFonts w:ascii="Times New Roman" w:hAnsi="Times New Roman"/>
          <w:color w:val="000000"/>
          <w:sz w:val="24"/>
        </w:rPr>
        <w:t>.  Except as disclosed in the Registration Statement, the Pricing Disclosure Package and the Prospectus, no shareholder or regulatory approvals are currently required in Australia under any applicable law in order for the Company to pay dividends or other distributions determined or declared by the Company to the holders of Shares.  Under current laws and regulations of Australia and any political subdivision thereof, any amount payable with respect to the Shares upon liquidation of the Company or upon redemption thereof and dividends and other distributions declared and payable on the share capital of the Company may be paid by the Company in United States dollars or euros and freely transferred out of Australia, and, except as otherwise disclosed in the Registration Statement, the Pricing Disclosure Package and the Prospectus, no such payments made to the holders thereof or therein who are non-residents of Australia will be subject to income, withholding or other taxes under laws and regulations of Australia or any political subdivision or taxing authority thereof or therein and without the necessity of obtaining any governmental authorization in Australia or any political subdivision or taxing authority thereof or therein.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Legality</w:t>
      </w:r>
      <w:r>
        <w:rPr>
          <w:rFonts w:ascii="Times New Roman" w:hAnsi="Times New Roman"/>
          <w:color w:val="000000"/>
          <w:sz w:val="24"/>
        </w:rPr>
        <w:t>.  The legality, validity, enforceability or admissibility into evidence of any of the Registration Statement, the Pricing Disclosure Package, the Prospectus, this Agreement or the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18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(jjj)</w:t>
      </w:r>
      <w:r>
        <w:rPr>
          <w:rFonts w:ascii="Times New Roman" w:hAnsi="Times New Roman"/>
          <w:color w:val="000000"/>
          <w:sz w:val="20"/>
        </w:rPr>
        <w:t xml:space="preserve">      </w:t>
      </w:r>
      <w:r>
        <w:rPr>
          <w:rFonts w:ascii="Times New Roman" w:hAnsi="Times New Roman"/>
          <w:i/>
          <w:color w:val="000000"/>
          <w:sz w:val="24"/>
        </w:rPr>
        <w:t>Legal Action</w:t>
      </w:r>
      <w:r>
        <w:rPr>
          <w:rFonts w:ascii="Times New Roman" w:hAnsi="Times New Roman"/>
          <w:color w:val="000000"/>
          <w:sz w:val="24"/>
        </w:rPr>
        <w:t>.  Each Placement Agent is entitled to sue as plaintiff in the court of the jurisdiction of incorporation and domicile of the Company for the enforcement of their respective rights under this Agreement and such access to such courts will not be subject to any conditions which are not applicable to residents of such jurisdiction or a company incorporated in such jurisdiction except that plaintiffs not residing in Australia may be required to guarantee payment of a possible order for payment of costs or damages at the request of the defendant.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 </w:t>
      </w:r>
      <w:r>
        <w:rPr>
          <w:rFonts w:ascii="Times New Roman" w:hAnsi="Times New Roman"/>
          <w:color w:val="000000"/>
          <w:sz w:val="24"/>
        </w:rPr>
        <w:t xml:space="preserve">(kkk)  </w:t>
      </w:r>
      <w:r>
        <w:rPr>
          <w:rFonts w:ascii="Times New Roman" w:hAnsi="Times New Roman"/>
          <w:i/>
          <w:color w:val="000000"/>
          <w:sz w:val="24"/>
        </w:rPr>
        <w:t>Status under the Securities Act</w:t>
      </w:r>
      <w:r>
        <w:rPr>
          <w:rFonts w:ascii="Times New Roman" w:hAnsi="Times New Roman"/>
          <w:color w:val="000000"/>
          <w:sz w:val="24"/>
        </w:rPr>
        <w:t>. At the time of filing the Registration Statement and any post</w:t>
        <w:noBreakHyphen/>
        <w:t>effective amendment thereto, at the earliest time thereafter that the Company or any offering participant made a bona fide offer (within the meaning of Rule 164(h)(2) under the Securities Act) of the Shares and at the date hereof, the Company was not and is not an “ineligible issuer,” and is a well</w:t>
        <w:noBreakHyphen/>
        <w:t>known seasoned issuer, in each case as defined in Rule  405 under the Securities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(lll)</w:t>
      </w:r>
      <w:r>
        <w:rPr>
          <w:rFonts w:ascii="Times New Roman" w:hAnsi="Times New Roman"/>
          <w:color w:val="000000"/>
          <w:sz w:val="20"/>
        </w:rPr>
        <w:t xml:space="preserve">      </w:t>
      </w:r>
      <w:r>
        <w:rPr>
          <w:rFonts w:ascii="Times New Roman" w:hAnsi="Times New Roman"/>
          <w:i/>
          <w:color w:val="000000"/>
          <w:sz w:val="24"/>
        </w:rPr>
        <w:t xml:space="preserve">Real Property. </w:t>
      </w:r>
      <w:r>
        <w:rPr>
          <w:rFonts w:ascii="Times New Roman" w:hAnsi="Times New Roman"/>
          <w:color w:val="000000"/>
          <w:sz w:val="24"/>
        </w:rPr>
        <w:t>The sum of the market value of the Company’s assets (directly held and indirectly held through subsidiaries) that are “taxable Australian real property” (as defined in the Income Tax Assessment Act 1997 (Cth)) is less than the sum of the market values of the Company’s (direct and indirectly held) assets that are not “taxable Australian real property” (as defined in the Income Tax Assessment Act 1997 (Cth)).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u w:val="single"/>
        </w:rPr>
        <w:t>Further Agreements of the Company</w:t>
      </w:r>
      <w:r>
        <w:rPr>
          <w:rFonts w:ascii="Times New Roman" w:hAnsi="Times New Roman"/>
          <w:color w:val="000000"/>
          <w:sz w:val="24"/>
        </w:rPr>
        <w:t>.  The Company covenants and agrees with each Placement Agent that: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Required Filings</w:t>
      </w:r>
      <w:r>
        <w:rPr>
          <w:rFonts w:ascii="Times New Roman" w:hAnsi="Times New Roman"/>
          <w:color w:val="000000"/>
          <w:sz w:val="24"/>
        </w:rPr>
        <w:t>. 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Placement Agents in New York City prior to 10:00  A.M., New York City time, on the business day next succeeding the date of this Agreement in such quantities as the Placement Agents may reasonably request; provided that the Company will be deemed to comply with such requirement by furnishing such copies on the Commission’s Electronic, Data Gathering, Analysis and Retrieval System (“</w:t>
      </w:r>
      <w:r>
        <w:rPr>
          <w:rFonts w:ascii="Times New Roman" w:hAnsi="Times New Roman"/>
          <w:color w:val="000000"/>
          <w:sz w:val="24"/>
          <w:u w:val="single"/>
        </w:rPr>
        <w:t>EDGAR</w:t>
      </w:r>
      <w:r>
        <w:rPr>
          <w:rFonts w:ascii="Times New Roman" w:hAnsi="Times New Roman"/>
          <w:color w:val="000000"/>
          <w:sz w:val="24"/>
        </w:rPr>
        <w:t>”) (or any successor system). The Company will pay the registration fee for this offering within the time period required by Rule  456(b)(1) under the Securities Act (without giving effect to the proviso therein) and in any event prior to the Closing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19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Delivery of Copies.</w:t>
      </w:r>
      <w:r>
        <w:rPr>
          <w:rFonts w:ascii="Times New Roman" w:hAnsi="Times New Roman"/>
          <w:color w:val="000000"/>
          <w:sz w:val="24"/>
        </w:rPr>
        <w:t xml:space="preserve">  The Company will deliver, without charge, (i)  to the Placement Agents, the Registration Statement as originally filed and each amendment thereto, in each case including all exhibits and consents filed therewith and documents incorporated by reference therein; and (ii)  during the Prospectus Delivery Period (as defined below), as many copies of the Prospectus (including all amendments and supplements thereto and documents incorporated by reference therein and each Issuer Free Writing Prospectus) as the Placement Agents may reasonably request; </w:t>
      </w:r>
      <w:r>
        <w:rPr>
          <w:rFonts w:ascii="Times New Roman" w:hAnsi="Times New Roman"/>
          <w:color w:val="000000"/>
          <w:sz w:val="24"/>
          <w:u w:val="single"/>
        </w:rPr>
        <w:t>provided</w:t>
      </w:r>
      <w:r>
        <w:rPr>
          <w:rFonts w:ascii="Times New Roman" w:hAnsi="Times New Roman"/>
          <w:color w:val="000000"/>
          <w:sz w:val="24"/>
        </w:rPr>
        <w:t xml:space="preserve"> that, in the case of each of clauses (i) and (ii), the Company will be deemed to comply with such requirement by furnishing such copies on EDGAR. As used herein, the term “</w:t>
      </w:r>
      <w:r>
        <w:rPr>
          <w:rFonts w:ascii="Times New Roman" w:hAnsi="Times New Roman"/>
          <w:color w:val="000000"/>
          <w:sz w:val="24"/>
          <w:u w:val="single"/>
        </w:rPr>
        <w:t>Prospectus Delivery Period</w:t>
      </w:r>
      <w:r>
        <w:rPr>
          <w:rFonts w:ascii="Times New Roman" w:hAnsi="Times New Roman"/>
          <w:color w:val="000000"/>
          <w:sz w:val="24"/>
        </w:rPr>
        <w:t>” means such period of time after the first date of the public offering of the Shares as in the reasonable opinion of counsel for the Placement Agents a prospectus relating to the Shares is required by law to be delivered (or required to be delivered but for Rule  172 under the Securities Act) in connection with sales of the Shares pursuant to this Agreement and the Purchase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Amendments or Supplements, Issuer Free Writing Prospectuses</w:t>
      </w:r>
      <w:r>
        <w:rPr>
          <w:rFonts w:ascii="Times New Roman" w:hAnsi="Times New Roman"/>
          <w:color w:val="000000"/>
          <w:sz w:val="24"/>
        </w:rPr>
        <w:t>.  Before making, preparing, using, authorizing, approving, referring to or filing any Issuer Free Writing Prospectus, and before filing any amendment or supplement to the Registration Statement, the Pricing Disclosure Package or the Prospectus, whether before or after the time that the Registration Statement becomes effective, the Company will furnish to counsel for the Placement Agents a copy of the proposed Issuer Free Writing Prospectus, amendment or supplement for review and will not make, prepare, use, authorize, approve, refer to or file any such Issuer Free Writing Prospectus or file any such proposed amendment or supplement to which the Placement Agents reasonably objects.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Notice to the Placement Agents.</w:t>
      </w:r>
      <w:r>
        <w:rPr>
          <w:rFonts w:ascii="Times New Roman" w:hAnsi="Times New Roman"/>
          <w:color w:val="000000"/>
          <w:sz w:val="24"/>
        </w:rPr>
        <w:t>  During the Prospectus Delivery Period, the Company will advise counsel to the Placement Agents promptly, and confirm such advice in writing, (i)   when any amendment to the Registration Statement has been filed or becomes effective; (ii)  when any supplement to the Pricing Disclosure Package, the Prospectus, any Issuer Free Writing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the initiation or threatening of any proceeding for that purpose or pursuant to Section  8A of the Securities Act; (v)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(vi)  of the receipt by the Company of any notice of objection of the Commission to the use of the Registration Statement or any post</w:t>
        <w:noBreakHyphen/>
        <w:t>effective amendment thereto pursuant to Rule  401(g)(2) under the Securities Act;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its reasonable best efforts to obtain as soon as possible the withdrawal thereof.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20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Ongoing Compliance</w:t>
      </w:r>
      <w:r>
        <w:rPr>
          <w:rFonts w:ascii="Times New Roman" w:hAnsi="Times New Roman"/>
          <w:color w:val="000000"/>
          <w:sz w:val="24"/>
        </w:rPr>
        <w:t>.  (i)  If during the Prospectus Delivery Period (A)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(B)  it is necessary to amend or supplement the Prospectus to comply with applicable law, the Company will promptly notify the Placement Agents thereof and forthwith prepare and, subject to paragraph  (c) above, file with the Commission and furnish to counsel to the Placement Agents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(ii)  if at any time prior to the Closing Date (A)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(B)  it is necessary to amend or supplement the Pricing Disclosure Package to comply with applicable law, the Company will promptly notify the Placement Agents thereof and forthwith prepare and, subject to paragraph  (c) above, file with the Commission (to the extent required) and furnish to counsel to the Placement Agents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Blue Sky Compliance.</w:t>
      </w:r>
      <w:r>
        <w:rPr>
          <w:rFonts w:ascii="Times New Roman" w:hAnsi="Times New Roman"/>
          <w:color w:val="000000"/>
          <w:sz w:val="24"/>
        </w:rPr>
        <w:t xml:space="preserve">  The Company will qualify the Shares for offer and sale under the securities or Blue Sky laws of such jurisdictions as the Placement Agents shall reasonably request and will continue such qualifications in effect so long as required for distribution of the Shares; </w:t>
      </w:r>
      <w:r>
        <w:rPr>
          <w:rFonts w:ascii="Times New Roman" w:hAnsi="Times New Roman"/>
          <w:color w:val="000000"/>
          <w:sz w:val="24"/>
          <w:u w:val="single"/>
        </w:rPr>
        <w:t>provided</w:t>
      </w:r>
      <w:r>
        <w:rPr>
          <w:rFonts w:ascii="Times New Roman" w:hAnsi="Times New Roman"/>
          <w:color w:val="000000"/>
          <w:sz w:val="24"/>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21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Earning Statement</w:t>
      </w:r>
      <w:r>
        <w:rPr>
          <w:rFonts w:ascii="Times New Roman" w:hAnsi="Times New Roman"/>
          <w:color w:val="000000"/>
          <w:sz w:val="24"/>
        </w:rPr>
        <w:t xml:space="preserve">. The Company will make generally available to its security holders and the Placement Agents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hAnsi="Times New Roman"/>
          <w:color w:val="000000"/>
          <w:sz w:val="24"/>
          <w:u w:val="single"/>
        </w:rPr>
        <w:t>provided</w:t>
      </w:r>
      <w:r>
        <w:rPr>
          <w:rFonts w:ascii="Times New Roman" w:hAnsi="Times New Roman"/>
          <w:color w:val="000000"/>
          <w:sz w:val="24"/>
        </w:rPr>
        <w:t xml:space="preserve"> that the Company will be deemed to comply with such requirement by furnishing such earnings statements on EDGAR.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Use of Proceeds.</w:t>
      </w:r>
      <w:r>
        <w:rPr>
          <w:rFonts w:ascii="Times New Roman" w:hAnsi="Times New Roman"/>
          <w:color w:val="000000"/>
          <w:sz w:val="24"/>
        </w:rPr>
        <w:t>  The Company will apply the net proceeds from the sale of the Shares as described in each of the Registration Statement, the Pricing Disclosure Package and the Prospectus under the heading “Use of Proceeds.”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No Stabilization.</w:t>
      </w:r>
      <w:r>
        <w:rPr>
          <w:rFonts w:ascii="Times New Roman" w:hAnsi="Times New Roman"/>
          <w:color w:val="000000"/>
          <w:sz w:val="24"/>
        </w:rPr>
        <w:t xml:space="preserve">  The Company will not take, </w:t>
      </w:r>
      <w:r>
        <w:rPr>
          <w:rFonts w:ascii="Times New Roman" w:hAnsi="Times New Roman"/>
          <w:color w:val="000000"/>
          <w:sz w:val="20"/>
        </w:rPr>
        <w:t>directly or indirectly, any action designed to or that could reasonably be expected to cause or result in any stabilization or manipulation of the price of the Shares and will not take any action prohibited by Regulation M under the Exchange Act and/or any provision of the Corporations Act in connection with the distribution of the Shares pursuant to this Agreement and the Purchase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 xml:space="preserve">Exchange Listing.  </w:t>
      </w:r>
      <w:r>
        <w:rPr>
          <w:rFonts w:ascii="Times New Roman" w:hAnsi="Times New Roman"/>
          <w:color w:val="000000"/>
          <w:sz w:val="24"/>
        </w:rPr>
        <w:t>The Company will use its best efforts to cause the Shares to be listed and maintain such listing on the Nasdaq Stock Market (the “Nasdaq”).</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(o)</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(p)</w:t>
      </w:r>
      <w:r>
        <w:rPr>
          <w:rFonts w:ascii="Times New Roman" w:hAnsi="Times New Roman"/>
          <w:color w:val="000000"/>
          <w:sz w:val="20"/>
        </w:rPr>
        <w:t xml:space="preserve">       </w:t>
      </w:r>
      <w:r>
        <w:rPr>
          <w:rFonts w:ascii="Times New Roman" w:hAnsi="Times New Roman"/>
          <w:i/>
          <w:color w:val="000000"/>
          <w:sz w:val="24"/>
        </w:rPr>
        <w:t>Tax Indemnity</w:t>
      </w:r>
      <w:r>
        <w:rPr>
          <w:rFonts w:ascii="Times New Roman" w:hAnsi="Times New Roman"/>
          <w:color w:val="000000"/>
          <w:sz w:val="24"/>
        </w:rPr>
        <w:t>.  The Company will indemnify and hold harmless the Placement Agents against (i) any documentary, stamp, registration or similar issuance tax, including any interest and penalties, on the sale of the Shares by the Company to the Purchasers and on the execution and delivery of this Agreement and the Purchase Agreements; and (ii) any income tax, taxes on net income, capital gains or franchise taxes, withholding, and goods and services tax (including interest, penalties and any additions thereto) imposed on either Placement Agent by Australia or any political subdivision or taxing authority thereof or therein, in connection with (A) the sales of the Shares by the Company to the Purchasers and (B) excluding in relation to taxes on net income of the Placement Agent on payments by the Company to the Placement Agent under this Agreement, on the execution and delivery of this Agreement and the Purchase Agreements, except to the extent any such taxes result from such Placement Agent acting at or through an Australian permanent establishment. All payments to be made by the Company hereunder shall be made without withholding or deduction for or on account of any present or future Australian taxes, duties or governmental shares whatsoever unless the Company is compelled by law to deduct or withhold such taxes, duties or charges. In that event, except for (A) any net income, capital gains or franchise taxes imposed on the Placement Agents by any taxing authority as a result of any present or former connection (other than any connection resulting from the transactions contemplated by this Agreement) between the Placement Agents and the jurisdiction imposing such withholding or deductions, (B) any tax which would not be required to be deducted or withheld by the Company if a Placement Agent had provided it with any of its name, address, Australian business number (ABN), Australian tax file number, registration number or similar details or evidence of any relevant tax exemption or similar details, or (C) any withholding or deduction on account of the Company receiving a direction under section 255 of the Australian Tax Act, section 260-5 of Schedule 1 of the Taxation Administration Act 1953 (Cth) or any similar law, the Company shall pay such additional amounts as may be necessary in order to ensure that the net amounts received after such withholding or deductions shall equal the amounts that would have been received if no withholding or deduction has been made.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22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u w:val="single"/>
        </w:rPr>
        <w:t>Conditions of Placement Agents’ Obligations.</w:t>
      </w:r>
      <w:r>
        <w:rPr>
          <w:rFonts w:ascii="Times New Roman" w:hAnsi="Times New Roman"/>
          <w:color w:val="000000"/>
          <w:sz w:val="24"/>
        </w:rPr>
        <w:t>  The obligation of each Placement Agent as provided herein is subject to the performance by the Company of its covenants and other obligations hereunder and to the following additional conditions: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Registration Compliance; No Stop Order</w:t>
      </w:r>
      <w:r>
        <w:rPr>
          <w:rFonts w:ascii="Times New Roman" w:hAnsi="Times New Roman"/>
          <w:color w:val="000000"/>
          <w:sz w:val="24"/>
        </w:rPr>
        <w:t xml:space="preserve">. No order suspending the effectiveness of the Registration Statement shall be in effect, and no proceeding for such purpose, pursuant to Rule  401(g)(2) or pursuant to Section  8A under the Securities Act shall be pending before or, to the knowledge of the Company,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w:t>
      </w:r>
      <w:r>
        <w:rPr>
          <w:rFonts w:ascii="Times New Roman" w:hAnsi="Times New Roman"/>
          <w:color w:val="000000"/>
          <w:sz w:val="24"/>
          <w:u w:val="single"/>
        </w:rPr>
        <w:t>Section  3(a)</w:t>
      </w:r>
      <w:r>
        <w:rPr>
          <w:rFonts w:ascii="Times New Roman" w:hAnsi="Times New Roman"/>
          <w:color w:val="000000"/>
          <w:sz w:val="24"/>
        </w:rPr>
        <w:t xml:space="preserve"> hereof, and all requests by the Commission for additional information shall have been complied with to the reasonable satisfaction of the Placement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Representations and Warranties.</w:t>
      </w:r>
      <w:r>
        <w:rPr>
          <w:rFonts w:ascii="Times New Roman" w:hAnsi="Times New Roman"/>
          <w:color w:val="000000"/>
          <w:sz w:val="24"/>
        </w:rPr>
        <w:t>  The representations and warranties of the Company contained herein shall be true and correct on the date hereof and on and as of the Closing Date; and the statements of the Company and its officers made in any certificates delivered pursuant to this Agreement shall be true and correct on and as of the Closing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 Material Adverse Change.</w:t>
      </w:r>
      <w:r>
        <w:rPr>
          <w:rFonts w:ascii="Times New Roman" w:hAnsi="Times New Roman"/>
          <w:color w:val="000000"/>
          <w:sz w:val="24"/>
        </w:rPr>
        <w:t>  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judgment of the Placement Agents makes it impracticable or inadvisable to proceed with the offering, sale or delivery of the Shares on the Closing Date on the terms and in the manner contemplated by this Agreement, the Purchase Agreements, the Pricing Disclosure Package and the Prospectus.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Officer’s Certificate.</w:t>
      </w:r>
      <w:r>
        <w:rPr>
          <w:rFonts w:ascii="Times New Roman" w:hAnsi="Times New Roman"/>
          <w:color w:val="000000"/>
          <w:sz w:val="24"/>
        </w:rPr>
        <w:t>  The Placement Agents shall have received on and as of the Closing Date a certificate of the chief financial officer or chief accounting officer of the Company and one additional senior executive officer of the Company who is satisfactory to the Placement Agents (i) confirming that such officers have carefully reviewed the Registration Statement, the Pricing Disclosure Package and the Prospectus and, to the knowledge of such officers, the representations set forth in Sections 3(b) and 3(e)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and (iii) to the effect set forth in paragraphs (a) and (c)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23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Comfort Letters.</w:t>
      </w:r>
      <w:r>
        <w:rPr>
          <w:rFonts w:ascii="Times New Roman" w:hAnsi="Times New Roman"/>
          <w:color w:val="000000"/>
          <w:sz w:val="24"/>
        </w:rPr>
        <w:t xml:space="preserve">  On the date of this Agreement and on the Closing Date Raymond Chabot Grant Thornton LLP shall have furnished to the Placement Agents, at the request of the Company, letters, dated the respective dates of delivery thereof and addressed to the Placement Agents, in form and substance reasonably satisfactory to the Placement Agents, containing statements and information of the type customarily included in accountants’ “comfort letters” to underwriters with respect to the financial statements and certain financial information contained or incorporated by reference in the Registration Statement, the Pricing Disclosure Package and the Prospectus; </w:t>
      </w:r>
      <w:r>
        <w:rPr>
          <w:rFonts w:ascii="Times New Roman" w:hAnsi="Times New Roman"/>
          <w:color w:val="000000"/>
          <w:sz w:val="24"/>
          <w:u w:val="single"/>
        </w:rPr>
        <w:t>provided</w:t>
      </w:r>
      <w:r>
        <w:rPr>
          <w:rFonts w:ascii="Times New Roman" w:hAnsi="Times New Roman"/>
          <w:color w:val="000000"/>
          <w:sz w:val="24"/>
        </w:rPr>
        <w:t>, that, unless the Placement Agent agree otherwise, the letter delivered on the Closing Date shall use a “cut-off” date no earlier than December 2, 2025.</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Opinion and 10b-5 Statement of Counsel for the Company.</w:t>
      </w:r>
      <w:r>
        <w:rPr>
          <w:rFonts w:ascii="Times New Roman" w:hAnsi="Times New Roman"/>
          <w:color w:val="000000"/>
          <w:sz w:val="24"/>
        </w:rPr>
        <w:t>  (i) Davis Polk &amp; Wardwell LLP, counsel for the Company, shall have furnished to the Placement Agents, at the request of the Company, their written opinion and 10b-5 statement, dated the Closing Date and addressed to the Placement Agents, in form and substance reasonably satisfactory to the Placement Agents; and (ii) Allens, an Australian counsel for the Company, shall have furnished to you their written opinion, dated the Closing Date, and addressed to the Placement Agents, in form and substance reasonably satisfactory to the Placement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Opinion and 10b-5 Statement of Counsel for the Placement Agents.</w:t>
      </w:r>
      <w:r>
        <w:rPr>
          <w:rFonts w:ascii="Times New Roman" w:hAnsi="Times New Roman"/>
          <w:color w:val="000000"/>
          <w:sz w:val="24"/>
        </w:rPr>
        <w:t>  The Placement Agents shall have received on and as of the Closing Date (i) an opinion and 10b-5 statement of Latham &amp; Watkins LLP, counsel for the Placement Agents, with respect to such matters as the Placement Agents may reasonably request, and such counsel shall have received such documents and information as they may reasonably request to enable them to pass upon such matters and (ii) an opinion of King &amp; Wood Mallesons, Australian counsel for the Placement Agents, with respect to such matters as the Placement Agents may reasonably request, and such counsel shall have received such documents and information as they may reasonably request to enable them to pass upon such matters.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No Legal Impediment to Issuance.</w:t>
      </w:r>
      <w:r>
        <w:rPr>
          <w:rFonts w:ascii="Times New Roman" w:hAnsi="Times New Roman"/>
          <w:color w:val="000000"/>
          <w:sz w:val="24"/>
        </w:rPr>
        <w:t>  No action shall have been taken and no statute, rule, regulation or order shall have been enacted, adopted or issued by any federal, state or foreign governmental or regulatory authority that would, as of the Closing Date prevent the issuance or sale of the Shares pursuant to this Agreement and the Purchase Agreements; and no injunction or order of any federal, state or foreign court shall have been issued that would, as of the Closing Date prevent the issuance or sale of the Shares pursuant to this Agreement and the Purchase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Good Standing</w:t>
      </w:r>
      <w:r>
        <w:rPr>
          <w:rFonts w:ascii="Times New Roman" w:hAnsi="Times New Roman"/>
          <w:color w:val="000000"/>
          <w:sz w:val="24"/>
        </w:rPr>
        <w:t>. The Placement Agents shall have received on and of the Closing Date copies of an extract of the public records of the Company produced by ASIC and a search of the insolvency notices website maintained by ASIC which displays no results in respect of the Company, in each case dated as of the business day in Sydney, Australia, that corresponds to the date of the Closing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Exchange Listing.</w:t>
      </w:r>
      <w:r>
        <w:rPr>
          <w:rFonts w:ascii="Times New Roman" w:hAnsi="Times New Roman"/>
          <w:color w:val="000000"/>
          <w:sz w:val="24"/>
        </w:rPr>
        <w:t>  An application for the listing of the Shares shall have been submitted to Nasdaq.</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i/>
          <w:color w:val="000000"/>
          <w:sz w:val="24"/>
        </w:rPr>
        <w:t>Additional Documents</w:t>
      </w:r>
      <w:r>
        <w:rPr>
          <w:rFonts w:ascii="Times New Roman" w:hAnsi="Times New Roman"/>
          <w:color w:val="000000"/>
          <w:sz w:val="24"/>
        </w:rPr>
        <w:t>. On or prior to the Closing Date the Company shall have furnished to the Placement Agents such further certificates and documents as the Placement Agents may reasonably request.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i/>
          <w:color w:val="000000"/>
          <w:sz w:val="24"/>
        </w:rPr>
        <w:t>Purchase Agreements.</w:t>
      </w:r>
      <w:r>
        <w:rPr>
          <w:rFonts w:ascii="Times New Roman" w:hAnsi="Times New Roman"/>
          <w:color w:val="000000"/>
          <w:sz w:val="24"/>
        </w:rPr>
        <w:t>  The Company and the other parties thereto shall have executed and delivered each of the Purchase Agreements, and the Placement Agents shall have received original copies thereof, duly executed by the Company and the other parties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All opinions, letters, certificates and evidence mentioned above or elsewhere in this Agreement shall be deemed to be in compliance with the provisions hereof only if they are in form and substance reasonably satisfactory to counsel for the Placement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7.</w:t>
      </w:r>
      <w:r>
        <w:rPr>
          <w:rFonts w:ascii="Times New Roman" w:hAnsi="Times New Roman"/>
          <w:color w:val="000000"/>
          <w:sz w:val="20"/>
        </w:rPr>
        <w:t>          </w:t>
      </w:r>
      <w:r>
        <w:rPr>
          <w:rFonts w:ascii="Times New Roman" w:hAnsi="Times New Roman"/>
          <w:color w:val="000000"/>
          <w:sz w:val="24"/>
          <w:u w:val="single"/>
        </w:rPr>
        <w:t>Indemnification and Contribution</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Indemnification of the Placement Agents.</w:t>
      </w:r>
      <w:r>
        <w:rPr>
          <w:rFonts w:ascii="Times New Roman" w:hAnsi="Times New Roman"/>
          <w:color w:val="000000"/>
          <w:sz w:val="24"/>
        </w:rPr>
        <w:t>  The Company agrees to indemnify and hold harmless each Placement Agent, its affiliates, directors, officers, employees and each person, if any, who controls such Placement Agent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such Placement Agent acting as a Placement Agent in connection with the Share Purchases or that arise in connection with such Placement Agent’s engagement pursuant to this Agreement, (ii) any untrue statement or alleged untrue statement of a material fact contained in the Registration Statement or caused by any omission or alleged omission to state therein a material fact required to be stated therein, not misleading, or (iii) any untrue statement or alleged untrue statement of a material fact contained in the Prospectus (or any amendment or supplement thereto), any Preliminary Prospectus, any Issuer Free Writing Prospectus,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(x) such losses, claims, damages or liabilities arise out of, or are based upon, any untrue statement or omission or alleged untrue statement or omission made in reliance upon and in conformity with any information relating to any Placement Agent furnished to the Company in writing by such Placement Agent expressly for use therein, it being understood and agreed that the only such information furnished by any Placement Agent consists of the information described as such in subsection (b) below and (y) such losses, claims, damages or liabilities arise out of, or are based upon, with respect to clause (i) above, have resulting from a Placement Agent’s gross negligence, fraud, willful misconduct or bad faith in performing the services that are the subject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25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Indemnification of the Company.</w:t>
      </w:r>
      <w:r>
        <w:rPr>
          <w:rFonts w:ascii="Times New Roman" w:hAnsi="Times New Roman"/>
          <w:color w:val="000000"/>
          <w:sz w:val="24"/>
        </w:rPr>
        <w:t>  Each Placement Agent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Placement Agent furnished to the Company in writing by such Placement Agent expressly for use in the Registration Statement, the Prospectus (or any amendment or supplement thereto), any Preliminary Prospectus, any Issuer Free Writing Prospectus, any road show or any Pricing Disclosure Package (including any Pricing Disclosure Package that has been subsequently amended), it being understood and agreed that there has been no such information furnished to the Company in writing by or on behalf of any Placement Agent.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Notice and Procedures.</w:t>
      </w:r>
      <w:r>
        <w:rPr>
          <w:rFonts w:ascii="Times New Roman" w:hAnsi="Times New Roman"/>
          <w:color w:val="000000"/>
          <w:sz w:val="24"/>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hAnsi="Times New Roman"/>
          <w:color w:val="000000"/>
          <w:sz w:val="24"/>
          <w:u w:val="single"/>
        </w:rPr>
        <w:t>provided</w:t>
      </w:r>
      <w:r>
        <w:rPr>
          <w:rFonts w:ascii="Times New Roman" w:hAnsi="Times New Roman"/>
          <w:color w:val="000000"/>
          <w:sz w:val="24"/>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Placement Agent, its affiliates, directors and officers and any control persons of such Placement Agent shall be designated in writing by the Placement Agents and any such separate firm for the Company, its directors, its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26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Contribution.</w:t>
      </w:r>
      <w:r>
        <w:rPr>
          <w:rFonts w:ascii="Times New Roman" w:hAnsi="Times New Roman"/>
          <w:color w:val="000000"/>
          <w:sz w:val="24"/>
        </w:rPr>
        <w:t>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Placement Agents, on the other, from the Share Purchases or (ii) if the allocation provided by clause (i) is not permitted by applicable law, in such proportion as is appropriate to reflect not only the relative benefits referred to in clause (i) but also the relative fault of the Company, on the one hand, and the Placement Agents, on the other, in connection with the statements or omissions that resulted in such losses, claims, damages or liabilities, as well as any other relevant equitable considerations.  The relative benefits received by the Company, on the one hand, and the Placement Agents, on the other, shall be deemed to be in the same respective proportions as the net proceeds (before deducting expenses) received by the Company from the sale of the Shares pursuant to this Agreement and the Purchase Agreements and any compensation received by the Placement Agents in connection therewith, in each case as set forth in the table on the cover of the Prospectus, bear to the aggregate offering price of the Shares.  The relative fault of the Company, on the one hand, and the Placement Agents, on the other, shall be determined by reference to, among other things, whether the untrue or alleged untrue statement of a material fact or the omission or alleged omission to state a material fact relates to information supplied by the Company or by the Placement Agents and the parties’ relative intent, knowledge, access to information and opportunity to correct or prevent such statement or omission.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27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Limitation on Liability.</w:t>
      </w:r>
      <w:r>
        <w:rPr>
          <w:rFonts w:ascii="Times New Roman" w:hAnsi="Times New Roman"/>
          <w:color w:val="000000"/>
          <w:sz w:val="24"/>
        </w:rPr>
        <w:t xml:space="preserve">  The Company and the Placement Agents agree that it would not be just and equitable if contribution pursuant to this Section 7 were determined by </w:t>
      </w:r>
      <w:r>
        <w:rPr>
          <w:rFonts w:ascii="Times New Roman" w:hAnsi="Times New Roman"/>
          <w:color w:val="000000"/>
          <w:sz w:val="24"/>
          <w:u w:val="single"/>
        </w:rPr>
        <w:t>pro</w:t>
      </w:r>
      <w:r>
        <w:rPr>
          <w:rFonts w:ascii="Times New Roman" w:hAnsi="Times New Roman"/>
          <w:color w:val="000000"/>
          <w:sz w:val="24"/>
        </w:rPr>
        <w:t> </w:t>
      </w:r>
      <w:r>
        <w:rPr>
          <w:rFonts w:ascii="Times New Roman" w:hAnsi="Times New Roman"/>
          <w:color w:val="000000"/>
          <w:sz w:val="24"/>
          <w:u w:val="single"/>
        </w:rPr>
        <w:t>rata</w:t>
      </w:r>
      <w:r>
        <w:rPr>
          <w:rFonts w:ascii="Times New Roman" w:hAnsi="Times New Roman"/>
          <w:color w:val="000000"/>
          <w:sz w:val="24"/>
        </w:rPr>
        <w:t xml:space="preserve"> allocation (even if the Placement Agents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 Placement Agent be required to contribute any amount in excess of the amount by which the total discounts and commissions received by such Placement Agent with respect to the offering of the Shares pursuant to this Agreement and the Purchase Agreements exceeds the amount of any damages that such Placement Agent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Non-Exclusive Remedies.</w:t>
      </w:r>
      <w:r>
        <w:rPr>
          <w:rFonts w:ascii="Times New Roman" w:hAnsi="Times New Roman"/>
          <w:color w:val="000000"/>
          <w:sz w:val="24"/>
        </w:rPr>
        <w:t>  The remedies provided for in this Section 7 are not exclusive and shall not limit any rights or remedies which may otherwise be available to any Indemnified Person at law or in equity.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8.</w:t>
      </w:r>
      <w:r>
        <w:rPr>
          <w:rFonts w:ascii="Times New Roman" w:hAnsi="Times New Roman"/>
          <w:color w:val="000000"/>
          <w:sz w:val="20"/>
        </w:rPr>
        <w:t xml:space="preserve">           </w:t>
      </w:r>
      <w:r>
        <w:rPr>
          <w:rFonts w:ascii="Times New Roman" w:hAnsi="Times New Roman"/>
          <w:color w:val="000000"/>
          <w:sz w:val="24"/>
          <w:u w:val="single"/>
        </w:rPr>
        <w:t>Effectiveness of Agreement</w:t>
      </w:r>
      <w:r>
        <w:rPr>
          <w:rFonts w:ascii="Times New Roman" w:hAnsi="Times New Roman"/>
          <w:color w:val="000000"/>
          <w:sz w:val="24"/>
        </w:rPr>
        <w:t>.  This Agreement shall become effective as of the date first written above.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9.</w:t>
      </w:r>
      <w:r>
        <w:rPr>
          <w:rFonts w:ascii="Times New Roman" w:hAnsi="Times New Roman"/>
          <w:color w:val="000000"/>
          <w:sz w:val="20"/>
        </w:rPr>
        <w:t xml:space="preserve">       </w:t>
      </w:r>
      <w:r>
        <w:rPr>
          <w:rFonts w:ascii="Times New Roman" w:hAnsi="Times New Roman"/>
          <w:color w:val="000000"/>
          <w:sz w:val="24"/>
          <w:u w:val="single"/>
        </w:rPr>
        <w:t>Termination</w:t>
      </w:r>
      <w:r>
        <w:rPr>
          <w:rFonts w:ascii="Times New Roman" w:hAnsi="Times New Roman"/>
          <w:color w:val="000000"/>
          <w:sz w:val="24"/>
        </w:rPr>
        <w:t>.  This Agreement may be terminated in the absolute discretion of the Placement Agents, by notice to the Company, if after the execution and delivery of this Agreement and on or prior to the Closing Date (i) trading generally shall have been suspended or materially limited on or by any of the New York Stock Exchange or The Nasdaq Global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Placement Agents, is material and adverse and makes it impracticable or inadvisable to proceed with the offering, sale or delivery of the Shares on the Closing Date on the terms and in the manner contemplated by this Agreement, the Purchase Agreements, the Pricing Disclosure Package and the Prospectus.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the issue to the Purchasers of the Shares, as contemplated by the Purchase Agreements, is not carried out because any Purchaser or the Company, as the case may be, shall be unable to comply with any of the terms of the Purchase Agreements, the Placement Agents shall be under no obligation or liability to the Company under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28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11.</w:t>
      </w:r>
      <w:r>
        <w:rPr>
          <w:rFonts w:ascii="Times New Roman" w:hAnsi="Times New Roman"/>
          <w:color w:val="000000"/>
          <w:sz w:val="20"/>
        </w:rPr>
        <w:t xml:space="preserve">      </w:t>
      </w:r>
      <w:r>
        <w:rPr>
          <w:rFonts w:ascii="Times New Roman" w:hAnsi="Times New Roman"/>
          <w:color w:val="000000"/>
          <w:sz w:val="24"/>
          <w:u w:val="single"/>
        </w:rPr>
        <w:t>Payment of Expenses</w:t>
      </w:r>
      <w:r>
        <w:rPr>
          <w:rFonts w:ascii="Times New Roman" w:hAnsi="Times New Roman"/>
          <w:i/>
          <w:color w:val="000000"/>
          <w:sz w:val="24"/>
        </w:rPr>
        <w:t>.</w:t>
      </w:r>
      <w:r>
        <w:rPr>
          <w:rFonts w:ascii="Times New Roman" w:hAnsi="Times New Roman"/>
          <w:color w:val="000000"/>
          <w:sz w:val="24"/>
        </w:rPr>
        <w:t>  (a)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any exhibits, amendments and supplements thereto) and the distribution thereof; (iii)  the costs of reproducing and distributing this Agreement; (iv) the fees and expenses of the Company’s counsel and independent accountants; (v) the fees and expenses incurred in connection with the registration or qualification and determination of eligibility for investment of the Shares under the laws of such jurisdictions as the Placement Agents may designate and the preparation, printing and distribution of a Blue Sky Memorandum (including the related fees and expenses of counsel for the Placement Agents not to exceed $15,000);  (vi) the cost of preparing stock certificates; (vii)  the fees and expenses of any transfer agent and any registrar; (viii) all expenses incurred by the Company in connection with any “road show” presentation to potential investors; and (ix) all expenses and application fees related to the listing of the Shares on Nasdaq.</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If this Agreement is terminated pursuant to Section 9, the Company agrees to reimburse the Placement Agents for all out-of-pocket costs and expenses (including the fees and expenses of their counsel) reasonably incurred by the Placement Agents in connection with this Agreement and the transactions contemplated hereby.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u w:val="single"/>
        </w:rPr>
        <w:t>Persons Entitled to Benefit of Agreement</w:t>
      </w:r>
      <w:r>
        <w:rPr>
          <w:rFonts w:ascii="Times New Roman" w:hAnsi="Times New Roman"/>
          <w:color w:val="000000"/>
          <w:sz w:val="24"/>
        </w:rPr>
        <w:t>.  This Agreement shall inure to the benefit of and be binding upon the parties hereto and their respective successors and the officers and directors and any controlling persons referred to in Section 7 hereof.  Nothing in this Agreement is intended or shall be construed to give any other person any legal or equitable right, remedy or claim under or in respect of this Agreement or any provision contained herein.  No Purchaser shall be deemed to be a successor to this Agreement merely by reason of the purchaser of Shares pursuant to a Purchase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13.</w:t>
      </w:r>
      <w:r>
        <w:rPr>
          <w:rFonts w:ascii="Times New Roman" w:hAnsi="Times New Roman"/>
          <w:color w:val="000000"/>
          <w:sz w:val="20"/>
        </w:rPr>
        <w:t xml:space="preserve">       </w:t>
      </w:r>
      <w:r>
        <w:rPr>
          <w:rFonts w:ascii="Times New Roman" w:hAnsi="Times New Roman"/>
          <w:color w:val="000000"/>
          <w:sz w:val="24"/>
          <w:u w:val="single"/>
        </w:rPr>
        <w:t>Survival</w:t>
      </w:r>
      <w:r>
        <w:rPr>
          <w:rFonts w:ascii="Times New Roman" w:hAnsi="Times New Roman"/>
          <w:color w:val="000000"/>
          <w:sz w:val="24"/>
        </w:rPr>
        <w:t>.  The respective indemnities, rights of contribution, representations, warranties and agreements of the Company and the Placement Agents contained in this Agreement or made by or on behalf of the Company or the Placement Agents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Placement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14.</w:t>
      </w:r>
      <w:r>
        <w:rPr>
          <w:rFonts w:ascii="Times New Roman" w:hAnsi="Times New Roman"/>
          <w:color w:val="000000"/>
          <w:sz w:val="20"/>
        </w:rPr>
        <w:t xml:space="preserve">       </w:t>
      </w:r>
      <w:r>
        <w:rPr>
          <w:rFonts w:ascii="Times New Roman" w:hAnsi="Times New Roman"/>
          <w:color w:val="000000"/>
          <w:sz w:val="24"/>
          <w:u w:val="single"/>
        </w:rPr>
        <w:t>Certain Defined Terms</w:t>
      </w:r>
      <w:r>
        <w:rPr>
          <w:rFonts w:ascii="Times New Roman" w:hAnsi="Times New Roman"/>
          <w:color w:val="000000"/>
          <w:sz w:val="24"/>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u w:val="single"/>
        </w:rPr>
        <w:t>Compliance with USA Patriot Act</w:t>
      </w:r>
      <w:r>
        <w:rPr>
          <w:rFonts w:ascii="Times New Roman" w:hAnsi="Times New Roman"/>
          <w:color w:val="000000"/>
          <w:sz w:val="24"/>
        </w:rPr>
        <w:t>.  In accordance with the requirements of the USA Patriot Act (Title III of Pub. L. 107-56 (signed into law October 26, 2001)), the Placement Agents are required to obtain, verify and record information that identifies their respective clients, including the Company, which information may include the name and address of their respective clients, as well as other information that will allow the Placement Agents to properly identify their respective clients.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29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16.</w:t>
      </w:r>
      <w:r>
        <w:rPr>
          <w:rFonts w:ascii="Times New Roman" w:hAnsi="Times New Roman"/>
          <w:color w:val="000000"/>
          <w:sz w:val="20"/>
        </w:rPr>
        <w:t xml:space="preserve">       </w:t>
      </w:r>
      <w:r>
        <w:rPr>
          <w:rFonts w:ascii="Times New Roman" w:hAnsi="Times New Roman"/>
          <w:color w:val="000000"/>
          <w:sz w:val="24"/>
          <w:u w:val="single"/>
        </w:rPr>
        <w:t>Miscellaneous</w:t>
      </w:r>
      <w:r>
        <w:rPr>
          <w:rFonts w:ascii="Times New Roman" w:hAnsi="Times New Roman"/>
          <w:color w:val="000000"/>
          <w:sz w:val="24"/>
        </w:rPr>
        <w:t xml:space="preserve">. (a)    </w:t>
      </w:r>
      <w:r>
        <w:rPr>
          <w:rFonts w:ascii="Times New Roman" w:hAnsi="Times New Roman"/>
          <w:i/>
          <w:color w:val="000000"/>
          <w:sz w:val="24"/>
        </w:rPr>
        <w:t>Notices.</w:t>
      </w:r>
      <w:r>
        <w:rPr>
          <w:rFonts w:ascii="Times New Roman" w:hAnsi="Times New Roman"/>
          <w:color w:val="000000"/>
          <w:sz w:val="24"/>
        </w:rPr>
        <w:t>  All notices and other communications hereunder shall be in writing and shall be deemed to have been duly given if mailed or transmitted and confirmed by any standard form of telecommunication.  Notices to the Placement Agents shall be given to the Placement Agents at Citigroup Global Markets Inc., 388 Greenwich Street, New York, New York 10013, Attention: General Counsel (fax: (646) 291-1496); Goldman Sachs &amp; Co. LLC, 200 West Street, New York, New York 10282-2198; Attention: Registration Department; and J.P. Morgan Securities LLC, 270 Park Avenue, New York, New York 10017, Attention: Equity Syndicate Desk (fax: (212) 622-8358). Notices to the Company shall be given to it at IREN Limited, Level 6, 55 Market Street Sydney, 2000 NSW Australia, Attention: LegalNotices@iren.com.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Governing Law.</w:t>
      </w:r>
      <w:r>
        <w:rPr>
          <w:rFonts w:ascii="Times New Roman" w:hAnsi="Times New Roman"/>
          <w:color w:val="000000"/>
          <w:sz w:val="24"/>
        </w:rPr>
        <w:t>  This Agreement and any claim, controversy or dispute arising under or related to this Agreement shall be governed by and construed in accordance with the laws of the State of New York.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Judgment Currency</w:t>
      </w:r>
      <w:r>
        <w:rPr>
          <w:rFonts w:ascii="Times New Roman" w:hAnsi="Times New Roman"/>
          <w:color w:val="000000"/>
          <w:sz w:val="24"/>
        </w:rPr>
        <w:t>.  The Company agrees to indemnify each Placement Agent, its directors, officers, affiliates and each person, if any, who controls such Placement Agent within the meaning of Section 15 of the Securities Act or Section 20 of the Exchange Act, against any loss incurred by such Placement Agent as a result of any judgment or order being given or made for any amount due hereunder and such judgment or order being expressed and paid in a currency (the “judgment currency”)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Waiver of Immunity</w:t>
      </w:r>
      <w:r>
        <w:rPr>
          <w:rFonts w:ascii="Times New Roman" w:hAnsi="Times New Roman"/>
          <w:color w:val="000000"/>
          <w:sz w:val="24"/>
        </w:rPr>
        <w:t>.  To the extent that the Company has or hereafter may acquire any immunity (sovereign or otherwise) from jurisdiction of any court of (i) Australia,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30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Submission to Jurisdiction</w:t>
      </w:r>
      <w:r>
        <w:rPr>
          <w:rFonts w:ascii="Times New Roman" w:hAnsi="Times New Roman"/>
          <w:color w:val="000000"/>
          <w:sz w:val="24"/>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 The Company irrevocably appoints Cogency Global Inc., located 122 E. 42nd Street, 18th Floor, New York, New York 10168, as its authorized agent in the Borough of Manhattan in The City of New York upon which process may be served in any such suit or proceeding, and agrees that service of process upon such authorized agent, and written notice of such service to the Company by the person serving the same to the address provided in this Section 16, shall be deemed in every respect effective service of process upon the Company in any such suit or proceeding. The Company hereby represents and warrants that such authorized agent has accepted such appointment and has agreed to act as such authorized agent for service of process. The Company further agrees to take any and all action as may be necessary to maintain such designation and appointment of such authorized agent in full force and effect for a period of seven years from the date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Waiver of Jury Trial.</w:t>
      </w:r>
      <w:r>
        <w:rPr>
          <w:rFonts w:ascii="Times New Roman" w:hAnsi="Times New Roman"/>
          <w:color w:val="000000"/>
          <w:sz w:val="24"/>
        </w:rPr>
        <w:t>  Each of the parties hereto hereby waives any right to trial by jury in any suit or proceeding arising out of or relating to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Recognition of the U.S. Special Resolution Regimes</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4"/>
        </w:rPr>
      </w:pPr>
      <w:r>
        <w:rPr>
          <w:rFonts w:ascii="Times New Roman" w:hAnsi="Times New Roman"/>
          <w:color w:val="000000"/>
          <w:sz w:val="24"/>
        </w:rPr>
        <w:t>(i) In the event that any Placement Agent that is a Covered Entity becomes subject to a proceeding under a U.S. Special Resolution Regime, the transfer from such Placement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4"/>
        </w:rPr>
      </w:pPr>
      <w:r>
        <w:rPr>
          <w:rFonts w:ascii="Times New Roman" w:hAnsi="Times New Roman"/>
          <w:color w:val="000000"/>
          <w:sz w:val="24"/>
        </w:rPr>
        <w:t>(ii) In the event that any Placement Agent that is a Covered Entity or a BHC Act Affiliate of such Placement Agent becomes subject to a proceeding under a U.S. Special Resolution Regime, Default Rights under this Agreement that may be exercised against such Placement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4"/>
        </w:rPr>
      </w:pPr>
      <w:r>
        <w:rPr>
          <w:rFonts w:ascii="Times New Roman" w:hAnsi="Times New Roman"/>
          <w:color w:val="000000"/>
          <w:sz w:val="24"/>
        </w:rPr>
        <w:t>As used in this Section 16(g):</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4"/>
        </w:rPr>
        <w:t>BHC Act Affiliate” has the meaning assigned to the term “affiliate” in, and shall be interpreted in accordance with, 12 U.S.C. § 1841(k).</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4"/>
        </w:rPr>
        <w:t>Covered Entity” means any of the following:</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(i) a “covered entity” as that term is defined in, and interpreted in accordance with, 12 C.F.R. § 252.82(b);</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(ii) a “covered bank” as that term is defined in, and interpreted in accordance with, 12 C.F.R. § 47.3(b); or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31 </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(iii) a “covered FSI” as that term is defined in, and interpreted in accordance with, 12 C.F.R. § 382.2(b).</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4"/>
        </w:rPr>
        <w:t>Default Right” has the meaning assigned to that term in, and shall be interpreted in accordance with, 12 C.F.R. §§ 252.81, 47.2 or 382.1, as applicable.</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4"/>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Counterparts.</w:t>
      </w:r>
      <w:r>
        <w:rPr>
          <w:rFonts w:ascii="Times New Roman" w:hAnsi="Times New Roman"/>
          <w:color w:val="000000"/>
          <w:sz w:val="24"/>
        </w:rPr>
        <w:t>  This Agreement may be signed electronically and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Amendments or Waivers.</w:t>
      </w:r>
      <w:r>
        <w:rPr>
          <w:rFonts w:ascii="Times New Roman" w:hAnsi="Times New Roman"/>
          <w:color w:val="000000"/>
          <w:sz w:val="24"/>
        </w:rPr>
        <w:t>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Headings.</w:t>
      </w:r>
      <w:r>
        <w:rPr>
          <w:rFonts w:ascii="Times New Roman" w:hAnsi="Times New Roman"/>
          <w:color w:val="000000"/>
          <w:sz w:val="24"/>
        </w:rPr>
        <w:t>  The headings herein are included for convenience of reference only and are not intended to be part of, or to affect the meaning or interpretation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32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4"/>
        </w:rPr>
      </w:pPr>
      <w:r>
        <w:rPr>
          <w:rFonts w:ascii="Times New Roman" w:hAnsi="Times New Roman"/>
          <w:color w:val="000000"/>
          <w:sz w:val="24"/>
        </w:rPr>
        <w:t>Each person executing this document on behalf of a party states that they have no notice of revocation or suspension of their authority.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97bf1b13a65c41528ad64c947cc70967"/>
      <w:bookmarkStart w:id="5" w:name="z97bf1b13a65c41528ad64c947cc70967"/>
      <w:bookmarkEnd w:id="5"/>
    </w:p>
    <w:tbl>
      <w:tblPr>
        <w:tblW w:w="8785" w:type="dxa"/>
        <w:jc w:val="left"/>
        <w:tblInd w:w="0" w:type="dxa"/>
        <w:tblLayout w:type="fixed"/>
        <w:tblCellMar>
          <w:top w:w="0" w:type="dxa"/>
          <w:left w:w="0" w:type="dxa"/>
          <w:bottom w:w="0" w:type="dxa"/>
          <w:right w:w="0" w:type="dxa"/>
        </w:tblCellMar>
      </w:tblPr>
      <w:tblGrid>
        <w:gridCol w:w="7085"/>
        <w:gridCol w:w="60"/>
        <w:gridCol w:w="1640"/>
      </w:tblGrid>
      <w:tr>
        <w:trPr/>
        <w:tc>
          <w:tcPr>
            <w:tcW w:w="7085"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4"/>
              </w:rPr>
              <w:t>Executed</w:t>
            </w:r>
            <w:r>
              <w:rPr>
                <w:rFonts w:ascii="Times New Roman" w:hAnsi="Times New Roman"/>
                <w:sz w:val="24"/>
              </w:rPr>
              <w:t xml:space="preserve"> in accordance with section 127 of the Corporations Act 2001 by</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IREN Limited (ACN 629 842 799)</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IREN LIMITED</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IREN LIMITED</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sz w:val="24"/>
              </w:rPr>
            </w:pPr>
            <w:r>
              <w:rPr>
                <w:rFonts w:ascii="Times New Roman" w:hAnsi="Times New Roman"/>
                <w:sz w:val="24"/>
              </w:rPr>
              <w:t>/s/ Michael Alfred</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bottom w:val="single" w:sz="2" w:space="0" w:color="000000"/>
            </w:tcBorders>
            <w:tcMar>
              <w:bottom w:w="28" w:type="dxa"/>
            </w:tcMar>
            <w:vAlign w:val="center"/>
          </w:tcPr>
          <w:p>
            <w:pPr>
              <w:pStyle w:val="TableContents"/>
              <w:bidi w:val="0"/>
              <w:spacing w:before="0" w:after="283"/>
              <w:jc w:val="left"/>
              <w:rPr>
                <w:sz w:val="24"/>
              </w:rPr>
            </w:pPr>
            <w:r>
              <w:rPr>
                <w:sz w:val="24"/>
              </w:rPr>
              <w:t>Michael Alfred</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sz w:val="24"/>
              </w:rPr>
            </w:pPr>
            <w:r>
              <w:rPr>
                <w:sz w:val="24"/>
              </w:rPr>
              <w:t>Print Name</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sz w:val="24"/>
              </w:rPr>
            </w:pPr>
            <w:r>
              <w:rPr>
                <w:rFonts w:ascii="Times New Roman" w:hAnsi="Times New Roman"/>
                <w:sz w:val="24"/>
              </w:rPr>
              <w:t>/s/ Sunita Parasuraman</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Director</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sz w:val="24"/>
              </w:rPr>
            </w:pPr>
            <w:r>
              <w:rPr>
                <w:rFonts w:ascii="Times New Roman" w:hAnsi="Times New Roman"/>
                <w:sz w:val="24"/>
              </w:rPr>
              <w:t>Sunita Parasuraman</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Print Name</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Placement Agency Agreement</w:t>
      </w:r>
      <w:r>
        <w:rPr>
          <w:rFonts w:ascii="Times New Roman" w:hAnsi="Times New Roman"/>
          <w:color w:val="000000"/>
          <w:sz w:val="20"/>
        </w:rPr>
        <w:t>]</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Accepted: As of the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b07bccdcc8b1454c9eecaba33a02cf77"/>
      <w:bookmarkStart w:id="7" w:name="zb07bccdcc8b1454c9eecaba33a02cf77"/>
      <w:bookmarkEnd w:id="7"/>
    </w:p>
    <w:tbl>
      <w:tblPr>
        <w:tblW w:w="4218" w:type="dxa"/>
        <w:jc w:val="left"/>
        <w:tblInd w:w="0" w:type="dxa"/>
        <w:tblLayout w:type="fixed"/>
        <w:tblCellMar>
          <w:top w:w="0" w:type="dxa"/>
          <w:left w:w="0" w:type="dxa"/>
          <w:bottom w:w="0" w:type="dxa"/>
          <w:right w:w="0" w:type="dxa"/>
        </w:tblCellMar>
      </w:tblPr>
      <w:tblGrid>
        <w:gridCol w:w="683"/>
        <w:gridCol w:w="3341"/>
        <w:gridCol w:w="134"/>
        <w:gridCol w:w="60"/>
      </w:tblGrid>
      <w:tr>
        <w:trPr/>
        <w:tc>
          <w:tcPr>
            <w:tcW w:w="4158"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CITIGROUP GLOBAL MARKETS INC.</w:t>
            </w:r>
          </w:p>
        </w:tc>
        <w:tc>
          <w:tcPr>
            <w:tcW w:w="60" w:type="dxa"/>
            <w:tcBorders/>
            <w:vAlign w:val="center"/>
          </w:tcPr>
          <w:p>
            <w:pPr>
              <w:pStyle w:val="TableContents"/>
              <w:bidi w:val="0"/>
              <w:spacing w:before="0" w:after="283"/>
              <w:jc w:val="left"/>
              <w:rPr/>
            </w:pPr>
            <w:r>
              <w:rPr/>
              <w:t> </w:t>
            </w:r>
          </w:p>
        </w:tc>
      </w:tr>
      <w:tr>
        <w:trPr/>
        <w:tc>
          <w:tcPr>
            <w:tcW w:w="415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8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3341" w:type="dxa"/>
            <w:tcBorders>
              <w:bottom w:val="single" w:sz="2" w:space="0" w:color="000000"/>
            </w:tcBorders>
            <w:tcMar>
              <w:bottom w:w="28" w:type="dxa"/>
            </w:tcMar>
            <w:vAlign w:val="center"/>
          </w:tcPr>
          <w:p>
            <w:pPr>
              <w:pStyle w:val="TableContents"/>
              <w:bidi w:val="0"/>
              <w:spacing w:before="0" w:after="283"/>
              <w:jc w:val="left"/>
              <w:rPr>
                <w:sz w:val="24"/>
              </w:rPr>
            </w:pPr>
            <w:r>
              <w:rPr>
                <w:sz w:val="24"/>
              </w:rPr>
              <w:t>/s/ Mark Garcia</w:t>
            </w:r>
          </w:p>
        </w:tc>
        <w:tc>
          <w:tcPr>
            <w:tcW w:w="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58" w:type="dxa"/>
            <w:gridSpan w:val="3"/>
            <w:tcBorders/>
            <w:vAlign w:val="center"/>
          </w:tcPr>
          <w:p>
            <w:pPr>
              <w:pStyle w:val="TableContents"/>
              <w:bidi w:val="0"/>
              <w:spacing w:before="0" w:after="0"/>
              <w:ind w:left="540" w:right="0" w:hanging="0"/>
              <w:jc w:val="left"/>
              <w:rPr>
                <w:rFonts w:ascii="Times New Roman" w:hAnsi="Times New Roman"/>
                <w:sz w:val="24"/>
              </w:rPr>
            </w:pPr>
            <w:r>
              <w:rPr>
                <w:rFonts w:ascii="Times New Roman" w:hAnsi="Times New Roman"/>
                <w:sz w:val="24"/>
              </w:rPr>
              <w:t>Authorized Signatory</w:t>
            </w:r>
          </w:p>
        </w:tc>
        <w:tc>
          <w:tcPr>
            <w:tcW w:w="60" w:type="dxa"/>
            <w:tcBorders/>
            <w:vAlign w:val="center"/>
          </w:tcPr>
          <w:p>
            <w:pPr>
              <w:pStyle w:val="TableContents"/>
              <w:bidi w:val="0"/>
              <w:spacing w:before="0" w:after="283"/>
              <w:jc w:val="left"/>
              <w:rPr/>
            </w:pPr>
            <w:r>
              <w:rPr/>
              <w:t> </w:t>
            </w:r>
          </w:p>
        </w:tc>
      </w:tr>
    </w:tbl>
    <w:tbl>
      <w:tblPr>
        <w:tblW w:w="3544" w:type="dxa"/>
        <w:jc w:val="left"/>
        <w:tblInd w:w="0" w:type="dxa"/>
        <w:tblLayout w:type="fixed"/>
        <w:tblCellMar>
          <w:top w:w="0" w:type="dxa"/>
          <w:left w:w="0" w:type="dxa"/>
          <w:bottom w:w="0" w:type="dxa"/>
          <w:right w:w="0" w:type="dxa"/>
        </w:tblCellMar>
      </w:tblPr>
      <w:tblGrid>
        <w:gridCol w:w="530"/>
        <w:gridCol w:w="2867"/>
        <w:gridCol w:w="87"/>
        <w:gridCol w:w="60"/>
      </w:tblGrid>
      <w:tr>
        <w:trPr/>
        <w:tc>
          <w:tcPr>
            <w:tcW w:w="34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84"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GOLDMAN SACHS &amp; CO. LLC</w:t>
            </w:r>
          </w:p>
        </w:tc>
        <w:tc>
          <w:tcPr>
            <w:tcW w:w="60" w:type="dxa"/>
            <w:tcBorders/>
            <w:vAlign w:val="center"/>
          </w:tcPr>
          <w:p>
            <w:pPr>
              <w:pStyle w:val="TableContents"/>
              <w:bidi w:val="0"/>
              <w:spacing w:before="0" w:after="283"/>
              <w:jc w:val="left"/>
              <w:rPr/>
            </w:pPr>
            <w:r>
              <w:rPr/>
              <w:t> </w:t>
            </w:r>
          </w:p>
        </w:tc>
      </w:tr>
      <w:tr>
        <w:trPr/>
        <w:tc>
          <w:tcPr>
            <w:tcW w:w="34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2867" w:type="dxa"/>
            <w:tcBorders>
              <w:bottom w:val="single" w:sz="2" w:space="0" w:color="000000"/>
            </w:tcBorders>
            <w:tcMar>
              <w:bottom w:w="28" w:type="dxa"/>
            </w:tcMar>
            <w:vAlign w:val="center"/>
          </w:tcPr>
          <w:p>
            <w:pPr>
              <w:pStyle w:val="TableContents"/>
              <w:bidi w:val="0"/>
              <w:spacing w:before="0" w:after="283"/>
              <w:jc w:val="left"/>
              <w:rPr>
                <w:sz w:val="24"/>
              </w:rPr>
            </w:pPr>
            <w:r>
              <w:rPr>
                <w:sz w:val="24"/>
              </w:rPr>
              <w:t>/s/ Jan Debeuckelaer</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84" w:type="dxa"/>
            <w:gridSpan w:val="3"/>
            <w:tcBorders/>
            <w:vAlign w:val="center"/>
          </w:tcPr>
          <w:p>
            <w:pPr>
              <w:pStyle w:val="TableContents"/>
              <w:bidi w:val="0"/>
              <w:spacing w:before="0" w:after="0"/>
              <w:ind w:left="0" w:right="0" w:firstLine="540"/>
              <w:jc w:val="left"/>
              <w:rPr>
                <w:rFonts w:ascii="Times New Roman" w:hAnsi="Times New Roman"/>
                <w:sz w:val="24"/>
              </w:rPr>
            </w:pPr>
            <w:r>
              <w:rPr>
                <w:rFonts w:ascii="Times New Roman" w:hAnsi="Times New Roman"/>
                <w:sz w:val="24"/>
              </w:rPr>
              <w:t>Authorized Signatory</w:t>
            </w:r>
          </w:p>
        </w:tc>
        <w:tc>
          <w:tcPr>
            <w:tcW w:w="60" w:type="dxa"/>
            <w:tcBorders/>
            <w:vAlign w:val="center"/>
          </w:tcPr>
          <w:p>
            <w:pPr>
              <w:pStyle w:val="TableContents"/>
              <w:bidi w:val="0"/>
              <w:spacing w:before="0" w:after="283"/>
              <w:jc w:val="left"/>
              <w:rPr/>
            </w:pPr>
            <w:r>
              <w:rPr/>
              <w:t> </w:t>
            </w:r>
          </w:p>
        </w:tc>
      </w:tr>
      <w:tr>
        <w:trPr/>
        <w:tc>
          <w:tcPr>
            <w:tcW w:w="34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84"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J.P. MORGAN SECURITIES LLC</w:t>
            </w:r>
          </w:p>
        </w:tc>
        <w:tc>
          <w:tcPr>
            <w:tcW w:w="60" w:type="dxa"/>
            <w:tcBorders/>
            <w:vAlign w:val="center"/>
          </w:tcPr>
          <w:p>
            <w:pPr>
              <w:pStyle w:val="TableContents"/>
              <w:bidi w:val="0"/>
              <w:spacing w:before="0" w:after="283"/>
              <w:jc w:val="left"/>
              <w:rPr/>
            </w:pPr>
            <w:r>
              <w:rPr/>
              <w:t> </w:t>
            </w:r>
          </w:p>
        </w:tc>
      </w:tr>
      <w:tr>
        <w:trPr/>
        <w:tc>
          <w:tcPr>
            <w:tcW w:w="34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By </w:t>
            </w:r>
          </w:p>
        </w:tc>
        <w:tc>
          <w:tcPr>
            <w:tcW w:w="2867" w:type="dxa"/>
            <w:tcBorders>
              <w:bottom w:val="single" w:sz="2" w:space="0" w:color="000000"/>
            </w:tcBorders>
            <w:tcMar>
              <w:bottom w:w="28" w:type="dxa"/>
            </w:tcMar>
            <w:vAlign w:val="center"/>
          </w:tcPr>
          <w:p>
            <w:pPr>
              <w:pStyle w:val="TableContents"/>
              <w:bidi w:val="0"/>
              <w:spacing w:before="0" w:after="283"/>
              <w:jc w:val="left"/>
              <w:rPr>
                <w:rFonts w:ascii="Times New Roman" w:hAnsi="Times New Roman"/>
                <w:sz w:val="24"/>
              </w:rPr>
            </w:pPr>
            <w:r>
              <w:rPr>
                <w:rFonts w:ascii="Times New Roman" w:hAnsi="Times New Roman"/>
                <w:sz w:val="24"/>
              </w:rPr>
              <w:t>/s/ Laurel Zhang</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84" w:type="dxa"/>
            <w:gridSpan w:val="3"/>
            <w:tcBorders/>
            <w:vAlign w:val="center"/>
          </w:tcPr>
          <w:p>
            <w:pPr>
              <w:pStyle w:val="TableContents"/>
              <w:bidi w:val="0"/>
              <w:spacing w:before="0" w:after="0"/>
              <w:ind w:left="0" w:right="0" w:firstLine="540"/>
              <w:jc w:val="left"/>
              <w:rPr>
                <w:rFonts w:ascii="Times New Roman" w:hAnsi="Times New Roman"/>
                <w:sz w:val="24"/>
              </w:rPr>
            </w:pPr>
            <w:r>
              <w:rPr>
                <w:rFonts w:ascii="Times New Roman" w:hAnsi="Times New Roman"/>
                <w:sz w:val="24"/>
              </w:rPr>
              <w:t>Authorized Signatory</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Placement Agency Agreement</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Permitted Free Writing Prospectuses</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color w:val="000000"/>
          <w:sz w:val="24"/>
        </w:rPr>
      </w:pPr>
      <w:r>
        <w:rPr>
          <w:rFonts w:ascii="Times New Roman" w:hAnsi="Times New Roman"/>
          <w:color w:val="000000"/>
          <w:sz w:val="24"/>
        </w:rPr>
        <w:t>Pricing Term Sheet</w:t>
      </w:r>
    </w:p>
    <w:p>
      <w:pPr>
        <w:pStyle w:val="TextBody"/>
        <w:bidi w:val="0"/>
        <w:spacing w:before="0" w:after="0"/>
        <w:ind w:left="720" w:right="0" w:hanging="72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Pricing Term Sheet</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Issuer Free Writing Prospectus</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Filed Pursuant to Rule 433</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Registration Statement No. 333-284369</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Relating to the</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Preliminary Prospectus Supplement</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Dated December 1, 2025</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(To Prospectus Dated August 28, 2025)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PRICING TERM SHEET</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December 2, 2025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IREN Limited</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39,699,102 Ordinary Shares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4"/>
        </w:rPr>
      </w:pPr>
      <w:r>
        <w:rPr>
          <w:rFonts w:ascii="Times New Roman" w:hAnsi="Times New Roman"/>
          <w:i/>
          <w:color w:val="000000"/>
          <w:sz w:val="24"/>
        </w:rPr>
        <w:t>The information in this pricing term sheet supplements IREN Limited’s preliminary prospectus supplement, dated December 1, 2025 (the “Preliminary Prospectus Supplement”), relating to a registered direct offering of ordinary shares (the “Offering”), and supersedes the information in the Preliminary Prospectus Supplement to the extent inconsistent with the information in the Preliminary Prospectus Supplement. Terms used, but not defined, in this pricing term sheet have the respective meanings set forth in the Preliminary Prospectus Supplement. As used in this pricing term sheet, “we,” “our” and “us” refer to IREN Limited and not to its subsidiaries.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65aad84466364b218b088d07d2cf3696"/>
      <w:bookmarkStart w:id="9" w:name="z65aad84466364b218b088d07d2cf3696"/>
      <w:bookmarkEnd w:id="9"/>
    </w:p>
    <w:tbl>
      <w:tblPr>
        <w:tblW w:w="10205" w:type="dxa"/>
        <w:jc w:val="left"/>
        <w:tblInd w:w="0" w:type="dxa"/>
        <w:tblLayout w:type="fixed"/>
        <w:tblCellMar>
          <w:top w:w="0" w:type="dxa"/>
          <w:left w:w="0" w:type="dxa"/>
          <w:bottom w:w="0" w:type="dxa"/>
          <w:right w:w="0" w:type="dxa"/>
        </w:tblCellMar>
      </w:tblPr>
      <w:tblGrid>
        <w:gridCol w:w="1654"/>
        <w:gridCol w:w="60"/>
        <w:gridCol w:w="8491"/>
      </w:tblGrid>
      <w:tr>
        <w:trPr/>
        <w:tc>
          <w:tcPr>
            <w:tcW w:w="1654" w:type="dxa"/>
            <w:tcBorders/>
            <w:vAlign w:val="center"/>
          </w:tcPr>
          <w:p>
            <w:pPr>
              <w:pStyle w:val="TableContents"/>
              <w:bidi w:val="0"/>
              <w:spacing w:before="0" w:after="0"/>
              <w:ind w:left="180" w:right="0" w:hanging="180"/>
              <w:jc w:val="left"/>
              <w:rPr>
                <w:sz w:val="24"/>
              </w:rPr>
            </w:pPr>
            <w:r>
              <w:rPr>
                <w:sz w:val="24"/>
              </w:rPr>
              <w:t>Issuer</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IREN Limited.</w:t>
            </w:r>
          </w:p>
        </w:tc>
      </w:tr>
      <w:tr>
        <w:trPr/>
        <w:tc>
          <w:tcPr>
            <w:tcW w:w="1654" w:type="dxa"/>
            <w:tcBorders/>
            <w:vAlign w:val="center"/>
          </w:tcPr>
          <w:p>
            <w:pPr>
              <w:pStyle w:val="TableContents"/>
              <w:bidi w:val="0"/>
              <w:spacing w:before="0" w:after="0"/>
              <w:ind w:left="180" w:right="0" w:hanging="180"/>
              <w:jc w:val="left"/>
              <w:rPr/>
            </w:pPr>
            <w:r>
              <w:rPr/>
              <w:t> </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pPr>
            <w:r>
              <w:rPr/>
              <w:t> </w:t>
            </w:r>
          </w:p>
        </w:tc>
      </w:tr>
      <w:tr>
        <w:trPr/>
        <w:tc>
          <w:tcPr>
            <w:tcW w:w="1654" w:type="dxa"/>
            <w:tcBorders/>
            <w:vAlign w:val="center"/>
          </w:tcPr>
          <w:p>
            <w:pPr>
              <w:pStyle w:val="TableContents"/>
              <w:bidi w:val="0"/>
              <w:spacing w:before="0" w:after="0"/>
              <w:ind w:left="180" w:right="0" w:hanging="180"/>
              <w:jc w:val="left"/>
              <w:rPr>
                <w:sz w:val="24"/>
              </w:rPr>
            </w:pPr>
            <w:r>
              <w:rPr>
                <w:sz w:val="24"/>
              </w:rPr>
              <w:t>Securities Offered</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39,699,102 ordinary shares, no par value, of IREN Limited (the “Ordinary Shares”).</w:t>
            </w:r>
          </w:p>
        </w:tc>
      </w:tr>
      <w:tr>
        <w:trPr/>
        <w:tc>
          <w:tcPr>
            <w:tcW w:w="1654" w:type="dxa"/>
            <w:tcBorders/>
            <w:vAlign w:val="center"/>
          </w:tcPr>
          <w:p>
            <w:pPr>
              <w:pStyle w:val="TableContents"/>
              <w:bidi w:val="0"/>
              <w:spacing w:before="0" w:after="0"/>
              <w:ind w:left="180" w:right="0" w:hanging="180"/>
              <w:jc w:val="left"/>
              <w:rPr/>
            </w:pPr>
            <w:r>
              <w:rPr/>
              <w:t> </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pPr>
            <w:r>
              <w:rPr/>
              <w:t> </w:t>
            </w:r>
          </w:p>
        </w:tc>
      </w:tr>
      <w:tr>
        <w:trPr/>
        <w:tc>
          <w:tcPr>
            <w:tcW w:w="1654" w:type="dxa"/>
            <w:tcBorders/>
            <w:vAlign w:val="center"/>
          </w:tcPr>
          <w:p>
            <w:pPr>
              <w:pStyle w:val="TableContents"/>
              <w:bidi w:val="0"/>
              <w:spacing w:before="0" w:after="0"/>
              <w:ind w:left="180" w:right="0" w:hanging="180"/>
              <w:jc w:val="both"/>
              <w:rPr>
                <w:rFonts w:ascii="Times New Roman" w:hAnsi="Times New Roman"/>
                <w:sz w:val="24"/>
              </w:rPr>
            </w:pPr>
            <w:r>
              <w:rPr>
                <w:rFonts w:ascii="Times New Roman" w:hAnsi="Times New Roman"/>
                <w:sz w:val="24"/>
              </w:rPr>
              <w:t>Ticker / Exchange for Ordinary Shares</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IREN / Nasdaq Global Select Market (“NASDAQ”).</w:t>
            </w:r>
          </w:p>
        </w:tc>
      </w:tr>
      <w:tr>
        <w:trPr/>
        <w:tc>
          <w:tcPr>
            <w:tcW w:w="165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pPr>
            <w:r>
              <w:rPr/>
              <w:t> </w:t>
            </w:r>
          </w:p>
        </w:tc>
      </w:tr>
      <w:tr>
        <w:trPr/>
        <w:tc>
          <w:tcPr>
            <w:tcW w:w="1654" w:type="dxa"/>
            <w:tcBorders/>
            <w:vAlign w:val="center"/>
          </w:tcPr>
          <w:p>
            <w:pPr>
              <w:pStyle w:val="TableContents"/>
              <w:bidi w:val="0"/>
              <w:spacing w:before="0" w:after="0"/>
              <w:ind w:left="180" w:right="0" w:hanging="180"/>
              <w:jc w:val="both"/>
              <w:rPr>
                <w:rFonts w:ascii="Times New Roman" w:hAnsi="Times New Roman"/>
                <w:sz w:val="24"/>
              </w:rPr>
            </w:pPr>
            <w:r>
              <w:rPr>
                <w:rFonts w:ascii="Times New Roman" w:hAnsi="Times New Roman"/>
                <w:sz w:val="24"/>
              </w:rPr>
              <w:t>Last Reported Sale Price per Ordinary Share on NASDAQ on December 2, 2025</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$41.12.</w:t>
            </w:r>
          </w:p>
        </w:tc>
      </w:tr>
      <w:tr>
        <w:trPr/>
        <w:tc>
          <w:tcPr>
            <w:tcW w:w="1654"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283"/>
              <w:jc w:val="left"/>
              <w:rPr/>
            </w:pPr>
            <w:r>
              <w:rPr/>
            </w:r>
          </w:p>
        </w:tc>
      </w:tr>
      <w:tr>
        <w:trPr/>
        <w:tc>
          <w:tcPr>
            <w:tcW w:w="1654" w:type="dxa"/>
            <w:tcBorders/>
            <w:vAlign w:val="center"/>
          </w:tcPr>
          <w:p>
            <w:pPr>
              <w:pStyle w:val="TableContents"/>
              <w:bidi w:val="0"/>
              <w:spacing w:before="0" w:after="0"/>
              <w:ind w:left="180" w:right="0" w:hanging="180"/>
              <w:jc w:val="both"/>
              <w:rPr>
                <w:rFonts w:ascii="Times New Roman" w:hAnsi="Times New Roman"/>
                <w:sz w:val="24"/>
              </w:rPr>
            </w:pPr>
            <w:r>
              <w:rPr>
                <w:rFonts w:ascii="Times New Roman" w:hAnsi="Times New Roman"/>
                <w:sz w:val="24"/>
              </w:rPr>
              <w:t>Offering Price per Ordinary Share</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$41.12.</w:t>
            </w:r>
          </w:p>
        </w:tc>
      </w:tr>
      <w:tr>
        <w:trPr/>
        <w:tc>
          <w:tcPr>
            <w:tcW w:w="1654" w:type="dxa"/>
            <w:tcBorders/>
            <w:vAlign w:val="center"/>
          </w:tcPr>
          <w:p>
            <w:pPr>
              <w:pStyle w:val="TableContents"/>
              <w:bidi w:val="0"/>
              <w:spacing w:before="0" w:after="0"/>
              <w:ind w:left="180" w:right="0" w:hanging="180"/>
              <w:jc w:val="left"/>
              <w:rPr/>
            </w:pPr>
            <w:r>
              <w:rPr/>
              <w:t> </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283"/>
              <w:jc w:val="left"/>
              <w:rPr/>
            </w:pPr>
            <w:r>
              <w:rPr/>
              <w:t> </w:t>
            </w:r>
          </w:p>
        </w:tc>
      </w:tr>
      <w:tr>
        <w:trPr/>
        <w:tc>
          <w:tcPr>
            <w:tcW w:w="1654" w:type="dxa"/>
            <w:tcBorders/>
            <w:vAlign w:val="center"/>
          </w:tcPr>
          <w:p>
            <w:pPr>
              <w:pStyle w:val="TableContents"/>
              <w:bidi w:val="0"/>
              <w:spacing w:before="0" w:after="0"/>
              <w:ind w:left="180" w:right="0" w:hanging="180"/>
              <w:jc w:val="left"/>
              <w:rPr>
                <w:sz w:val="24"/>
              </w:rPr>
            </w:pPr>
            <w:r>
              <w:rPr>
                <w:sz w:val="24"/>
              </w:rPr>
              <w:t>Trade Date</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December 3, 2025.</w:t>
            </w:r>
          </w:p>
        </w:tc>
      </w:tr>
      <w:tr>
        <w:trPr/>
        <w:tc>
          <w:tcPr>
            <w:tcW w:w="1654" w:type="dxa"/>
            <w:tcBorders/>
            <w:vAlign w:val="center"/>
          </w:tcPr>
          <w:p>
            <w:pPr>
              <w:pStyle w:val="TableContents"/>
              <w:bidi w:val="0"/>
              <w:spacing w:before="0" w:after="0"/>
              <w:ind w:left="180" w:right="0" w:hanging="180"/>
              <w:jc w:val="left"/>
              <w:rPr/>
            </w:pPr>
            <w:r>
              <w:rPr/>
              <w:t> </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283"/>
              <w:jc w:val="left"/>
              <w:rPr/>
            </w:pPr>
            <w:r>
              <w:rPr/>
              <w:t> </w:t>
            </w:r>
          </w:p>
        </w:tc>
      </w:tr>
      <w:tr>
        <w:trPr/>
        <w:tc>
          <w:tcPr>
            <w:tcW w:w="1654" w:type="dxa"/>
            <w:tcBorders/>
            <w:vAlign w:val="center"/>
          </w:tcPr>
          <w:p>
            <w:pPr>
              <w:pStyle w:val="TableContents"/>
              <w:bidi w:val="0"/>
              <w:spacing w:before="0" w:after="0"/>
              <w:ind w:left="180" w:right="0" w:hanging="180"/>
              <w:jc w:val="left"/>
              <w:rPr>
                <w:sz w:val="24"/>
              </w:rPr>
            </w:pPr>
            <w:r>
              <w:rPr>
                <w:sz w:val="24"/>
              </w:rPr>
              <w:t>Settlement Date</w:t>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December 8, 2025, which is the third business day after the Trade Date (this settlement cycle being referred to as “T+3”). Under Rule 15c6-1 under the Securities Exchange Act of 1934, as amended, trades in the secondary market generally must settle in one business day, unless the parties to the trade expressly agree otherwise. Accordingly, purchasers who wish to trade the Ordinary Shares issued in this placement before the business day before the Settlement Date must, because the Ordinary Shares issued in this placement will initially will settle T+3, specify an alternate settlement cycle at the time of such trade to prevent a failed settlement. Those purchasers should consult their advisors.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 w:name="z6d646e11bd354977b846be459a4fda4a"/>
      <w:bookmarkStart w:id="11" w:name="z6d646e11bd354977b846be459a4fda4a"/>
      <w:bookmarkEnd w:id="11"/>
    </w:p>
    <w:tbl>
      <w:tblPr>
        <w:tblW w:w="10205" w:type="dxa"/>
        <w:jc w:val="left"/>
        <w:tblInd w:w="0" w:type="dxa"/>
        <w:tblLayout w:type="fixed"/>
        <w:tblCellMar>
          <w:top w:w="0" w:type="dxa"/>
          <w:left w:w="0" w:type="dxa"/>
          <w:bottom w:w="0" w:type="dxa"/>
          <w:right w:w="0" w:type="dxa"/>
        </w:tblCellMar>
      </w:tblPr>
      <w:tblGrid>
        <w:gridCol w:w="1255"/>
        <w:gridCol w:w="60"/>
        <w:gridCol w:w="8890"/>
      </w:tblGrid>
      <w:tr>
        <w:trPr/>
        <w:tc>
          <w:tcPr>
            <w:tcW w:w="1255" w:type="dxa"/>
            <w:tcBorders/>
            <w:vAlign w:val="center"/>
          </w:tcPr>
          <w:p>
            <w:pPr>
              <w:pStyle w:val="TableContents"/>
              <w:bidi w:val="0"/>
              <w:spacing w:before="0" w:after="0"/>
              <w:ind w:left="180" w:right="0" w:hanging="180"/>
              <w:jc w:val="left"/>
              <w:rPr>
                <w:rFonts w:ascii="Times New Roman" w:hAnsi="Times New Roman"/>
                <w:sz w:val="24"/>
              </w:rPr>
            </w:pPr>
            <w:r>
              <w:rPr>
                <w:rFonts w:ascii="Times New Roman" w:hAnsi="Times New Roman"/>
                <w:sz w:val="24"/>
              </w:rPr>
              <w:t>Concurrent Notes Offering; Repurchase of Existing Convertible Notes</w:t>
            </w:r>
          </w:p>
        </w:tc>
        <w:tc>
          <w:tcPr>
            <w:tcW w:w="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On December 2, 2025, we announced the pricing of our previously announced private offering (the “Concurrent Notes Offering”) of $1,000,000,000 aggregate principal amount of 0.25% convertible senior notes due 2032 (the “2032 Notes”) and $1,000,000,000 aggregate principal amount of 1.00% convertible senior notes due 2033 (the “2033 Notes” and, together with the 2032 Notes, the “Notes”). The issuance and sale of the Notes are scheduled to settle on December 8, 2025, subject to customary closing conditions. We granted the initial purchasers of the Concurrent Notes Offering options to purchase, for settlement within a period of 13 days from, and including, the date the Notes are first issued, up to an additional $150,000,000 principal amount of 2032 Notes and up to an additional $150,000,000 principal amount of 2033 Notes. The Concurrent Notes Offering is being made pursuant to a confidential offering memorandum only to qualified institutional buyers (as defined in Rule 144A under the Securities Act of 1933, as amended (the “Securities Act”)) in transactions that are exempt from the registration and prospectus-delivery requirements of the Securities Act. This pricing term sheet does not constitute an offer to sell, or the solicitation of an offer to buy, any securities being offered in the Concurrent Notes Offering. See “The Concurrent Offering” in the Preliminary Prospectus Supplement.</w:t>
            </w:r>
          </w:p>
        </w:tc>
      </w:tr>
      <w:tr>
        <w:trPr/>
        <w:tc>
          <w:tcPr>
            <w:tcW w:w="12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w:t>
            </w:r>
          </w:p>
        </w:tc>
      </w:tr>
      <w:tr>
        <w:trPr/>
        <w:tc>
          <w:tcPr>
            <w:tcW w:w="12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2032 Notes will accrue interest at a rate of 0.25% per annum, and the 2033 Notes will accrue interest at a rate of 1.00% per annum, in each case payable semi-annually in arrears on June 1 and December 1 of each year, beginning on June 1, 2026, to noteholders of record as of the close of business on the immediately preceding May 15 or November 15, respectively.</w:t>
            </w:r>
          </w:p>
        </w:tc>
      </w:tr>
      <w:tr>
        <w:trPr/>
        <w:tc>
          <w:tcPr>
            <w:tcW w:w="1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24"/>
              </w:rPr>
            </w:pPr>
            <w:r>
              <w:rPr>
                <w:sz w:val="24"/>
              </w:rPr>
              <w:t>The initial conversion rate of the 2032 Notes is 19.4553 Ordinary Shares per $1,000 principal amount of 2032 Notes, which represents an initial conversion price of approximately $51.40 per Ordinary Share. The initial conversion rate of the 2033 Notes is 19.4553 Ordinary Shares per $1,000 principal amount of 2033 Notes, which represents an initial conversion price of approximately $51.40 per Ordinary Share. The conversion rate and conversion price of either series of Notes will be subject to adjustment upon the occurrence of certain events.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 w:name="zce6fca424bab42c2bcfaf31e5b0a7eba"/>
      <w:bookmarkStart w:id="13" w:name="zce6fca424bab42c2bcfaf31e5b0a7eba"/>
      <w:bookmarkEnd w:id="13"/>
    </w:p>
    <w:tbl>
      <w:tblPr>
        <w:tblW w:w="10205" w:type="dxa"/>
        <w:jc w:val="left"/>
        <w:tblInd w:w="0" w:type="dxa"/>
        <w:tblLayout w:type="fixed"/>
        <w:tblCellMar>
          <w:top w:w="0" w:type="dxa"/>
          <w:left w:w="0" w:type="dxa"/>
          <w:bottom w:w="0" w:type="dxa"/>
          <w:right w:w="0" w:type="dxa"/>
        </w:tblCellMar>
      </w:tblPr>
      <w:tblGrid>
        <w:gridCol w:w="1304"/>
        <w:gridCol w:w="60"/>
        <w:gridCol w:w="8841"/>
      </w:tblGrid>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We estimate that the net proceeds to us from the Concurrent Notes Offering, if it is consummated, will be approximately $1,973.8 million (or approximately $2,270.0 million if the initial purchasers of the Concurrent Notes Offering fully exercise their option to purchase additional Notes), after deducting the initial purchasers’ discounts and commissions.</w:t>
            </w:r>
          </w:p>
        </w:tc>
      </w:tr>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pPr>
            <w:r>
              <w:rPr/>
              <w:t> </w:t>
            </w:r>
          </w:p>
        </w:tc>
      </w:tr>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In addition, concurrently with the pricing of the Notes, we entered into one or more separate, privately negotiated transactions with a limited number of holders of our 3.25% Convertible Senior Notes due 2030 (the “Existing 2030 Convertible Notes”) and our 3.50% Convertible Senior Notes due 2029 (the “Existing 2029 Convertible Notes”) (collectively, the “Repurchase”) to repurchase (i) approximately $227.7 million principal amount of our Existing 2030 Convertible Notes for approximately $608.2 million, which includes accrued and unpaid interest and (ii) $316.6 million principal amount of our Existing 2029 Convertible Notes for approximately $1,024.2 million, which includes accrued and unpaid interest.</w:t>
            </w:r>
          </w:p>
        </w:tc>
      </w:tr>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pPr>
            <w:r>
              <w:rPr/>
              <w:t> </w:t>
            </w:r>
          </w:p>
        </w:tc>
      </w:tr>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completion of the Offering is not contingent on the completion of the Concurrent Notes Offering or the Repurchase, and the completion of the Concurrent Notes Offering is not contingent on the completion of the Offering or the Repurchase.</w:t>
            </w:r>
          </w:p>
        </w:tc>
      </w:tr>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pPr>
            <w:r>
              <w:rPr/>
              <w:t> </w:t>
            </w:r>
          </w:p>
        </w:tc>
      </w:tr>
      <w:tr>
        <w:trPr/>
        <w:tc>
          <w:tcPr>
            <w:tcW w:w="1304" w:type="dxa"/>
            <w:tcBorders/>
            <w:vAlign w:val="center"/>
          </w:tcPr>
          <w:p>
            <w:pPr>
              <w:pStyle w:val="TableContents"/>
              <w:bidi w:val="0"/>
              <w:spacing w:before="0" w:after="0"/>
              <w:jc w:val="left"/>
              <w:rPr>
                <w:sz w:val="24"/>
              </w:rPr>
            </w:pPr>
            <w:r>
              <w:rPr>
                <w:sz w:val="24"/>
              </w:rPr>
              <w:t>Use of Proceeds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We estimate that the proceeds to us from the Offering will be approximately $1,631.5 million, after deducting our estimated offering expenses. We intend to use the proceeds from the Offering, together with the net proceeds from the Concurrent Notes Offering, if it is consummated, (i) to fund the $174.8 million cost of entering into the new capped call transactions relating to the Notes, (ii) to repurchase approximately $227.7 million principal amount of our Existing 2030 Convertible Notes for approximately $608.2 million, which includes accrued and unpaid interest; (iii) to repurchase approximately $316.6 million principal amount of our Existing 2029 Convertible Notes for approximately $1,024.2 million, which includes accrued and unpaid interest; and (iv) for general corporate purposes and working capital. See “Use of Proceeds” in the Preliminary Prospectus Supplement.</w:t>
            </w:r>
          </w:p>
        </w:tc>
      </w:tr>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pPr>
            <w:r>
              <w:rPr/>
              <w:t> </w:t>
            </w:r>
          </w:p>
        </w:tc>
      </w:tr>
      <w:tr>
        <w:trPr/>
        <w:tc>
          <w:tcPr>
            <w:tcW w:w="1304" w:type="dxa"/>
            <w:tcBorders/>
            <w:vAlign w:val="center"/>
          </w:tcPr>
          <w:p>
            <w:pPr>
              <w:pStyle w:val="TableContents"/>
              <w:bidi w:val="0"/>
              <w:spacing w:before="0" w:after="0"/>
              <w:jc w:val="left"/>
              <w:rPr>
                <w:sz w:val="24"/>
              </w:rPr>
            </w:pPr>
            <w:r>
              <w:rPr>
                <w:sz w:val="24"/>
              </w:rPr>
              <w:t>Placement Agents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Citigroup Global Markets Inc.</w:t>
            </w:r>
          </w:p>
        </w:tc>
      </w:tr>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Goldman Sachs &amp; Co. LLC</w:t>
            </w:r>
          </w:p>
        </w:tc>
      </w:tr>
      <w:tr>
        <w:trPr/>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J.P. Morgan Securities LLC</w:t>
            </w:r>
          </w:p>
        </w:tc>
      </w:tr>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left"/>
              <w:rPr/>
            </w:pPr>
            <w:r>
              <w:rPr/>
              <w:t> </w:t>
            </w:r>
          </w:p>
        </w:tc>
      </w:tr>
      <w:tr>
        <w:trPr/>
        <w:tc>
          <w:tcPr>
            <w:tcW w:w="1304" w:type="dxa"/>
            <w:tcBorders/>
            <w:vAlign w:val="center"/>
          </w:tcPr>
          <w:p>
            <w:pPr>
              <w:pStyle w:val="TableContents"/>
              <w:bidi w:val="0"/>
              <w:spacing w:before="0" w:after="0"/>
              <w:ind w:left="180" w:right="0" w:hanging="180"/>
              <w:jc w:val="left"/>
              <w:rPr>
                <w:sz w:val="24"/>
              </w:rPr>
            </w:pPr>
            <w:r>
              <w:rPr>
                <w:sz w:val="24"/>
              </w:rPr>
              <w:t>CUSIP / ISIN Numbers for the Ordinary Shares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Q4982L109 / AU0000185993.</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We have filed a registration statement (including a prospectus) and the Preliminary Prospectus Supplement with the SEC for the Offering to which this communication relates. Before you invest, you should read the Preliminary Prospectus Supplement and the prospectus in that registration statement and other documents we have filed with the SEC for more complete information about us and the Offering. You may get these documents free by visiting EDGAR on the SEC website at www.sec.gov. Alternatively, we, the placement agents or any dealer participating in the offering will arrange to send you the Preliminary Prospectus Supplement (or, when available, the final prospectus supplement) and the accompanying prospectus upon request to Citigroup Global Markets Inc., c/o Broadridge Financial Solutions, 1155 Long Island Avenue, Edgewood, New York 11717 or by telephone at 1-800-831-9146; Goldman Sachs &amp; Co. LLC, Attention: Prospectus Department, 200 West Street, New York, New York 10282, telephone: 1-866-471-2526, facsimile: 212-902-9316 or by emailing prospectus-ny@ny.email.gs.com; or J.P. Morgan Securities LLC, Attention: c/o Broadridge Financial Solutions, 1155 Long Island Avenue, Edgewood, New York 11717 or by emailing prospectus-eq_fi@jpmchase.com or postsalemanualrequests@broadridge.com.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The information in this pricing term sheet is not a complete description of the Ordinary Shares. You should rely only on the information contained or incorporated by reference in the Preliminary Prospectus Supplement and the accompanying prospectus, as supplemented by this pricing term sheet, in making an investment decision with respect to the Ordinary Shares.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Exhibit C</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Purchase Agreements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u w:val="single"/>
        </w:rPr>
      </w:pPr>
      <w:r>
        <w:rPr>
          <w:rFonts w:ascii="Times New Roman" w:hAnsi="Times New Roman"/>
          <w:b/>
          <w:color w:val="000000"/>
          <w:sz w:val="24"/>
          <w:u w:val="single"/>
        </w:rPr>
        <w:t>SHARE PURCHASE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This Share Purchase Agreement (this “</w:t>
      </w:r>
      <w:r>
        <w:rPr>
          <w:rFonts w:ascii="Times New Roman" w:hAnsi="Times New Roman"/>
          <w:color w:val="000000"/>
          <w:sz w:val="24"/>
          <w:u w:val="single"/>
        </w:rPr>
        <w:t>Agreement</w:t>
      </w:r>
      <w:r>
        <w:rPr>
          <w:rFonts w:ascii="Times New Roman" w:hAnsi="Times New Roman"/>
          <w:color w:val="000000"/>
          <w:sz w:val="24"/>
        </w:rPr>
        <w:t>”) is made and entered into as of December 2,  2025 by and among IREN Limited (ACN 629 842 799), a corporation incorporated under the laws of Australia (the “</w:t>
      </w:r>
      <w:r>
        <w:rPr>
          <w:rFonts w:ascii="Times New Roman" w:hAnsi="Times New Roman"/>
          <w:color w:val="000000"/>
          <w:sz w:val="24"/>
          <w:u w:val="single"/>
        </w:rPr>
        <w:t>Company</w:t>
      </w:r>
      <w:r>
        <w:rPr>
          <w:rFonts w:ascii="Times New Roman" w:hAnsi="Times New Roman"/>
          <w:color w:val="000000"/>
          <w:sz w:val="24"/>
        </w:rPr>
        <w:t>”), and each of the entities (each, a “</w:t>
      </w:r>
      <w:r>
        <w:rPr>
          <w:rFonts w:ascii="Times New Roman" w:hAnsi="Times New Roman"/>
          <w:color w:val="000000"/>
          <w:sz w:val="24"/>
          <w:u w:val="single"/>
        </w:rPr>
        <w:t>Purchaser</w:t>
      </w:r>
      <w:r>
        <w:rPr>
          <w:rFonts w:ascii="Times New Roman" w:hAnsi="Times New Roman"/>
          <w:color w:val="000000"/>
          <w:sz w:val="24"/>
        </w:rPr>
        <w:t>” and, collectively, the “</w:t>
      </w:r>
      <w:r>
        <w:rPr>
          <w:rFonts w:ascii="Times New Roman" w:hAnsi="Times New Roman"/>
          <w:color w:val="000000"/>
          <w:sz w:val="24"/>
          <w:u w:val="single"/>
        </w:rPr>
        <w:t>Purchasers</w:t>
      </w:r>
      <w:r>
        <w:rPr>
          <w:rFonts w:ascii="Times New Roman" w:hAnsi="Times New Roman"/>
          <w:color w:val="000000"/>
          <w:sz w:val="24"/>
        </w:rPr>
        <w:t>”) listed on Schedules  “A” attached to this Agreement (collectively, “</w:t>
      </w:r>
      <w:r>
        <w:rPr>
          <w:rFonts w:ascii="Times New Roman" w:hAnsi="Times New Roman"/>
          <w:color w:val="000000"/>
          <w:sz w:val="24"/>
          <w:u w:val="single"/>
        </w:rPr>
        <w:t>Schedule  A</w:t>
      </w:r>
      <w:r>
        <w:rPr>
          <w:rFonts w:ascii="Times New Roman" w:hAnsi="Times New Roman"/>
          <w:color w:val="000000"/>
          <w:sz w:val="24"/>
        </w:rPr>
        <w:t xml:space="preserve">”; the </w:t>
      </w:r>
      <w:r>
        <w:rPr>
          <w:rFonts w:ascii="Times New Roman" w:hAnsi="Times New Roman"/>
          <w:color w:val="000000"/>
          <w:sz w:val="24"/>
          <w:u w:val="single"/>
        </w:rPr>
        <w:t>Schedule  A</w:t>
      </w:r>
      <w:r>
        <w:rPr>
          <w:rFonts w:ascii="Times New Roman" w:hAnsi="Times New Roman"/>
          <w:color w:val="000000"/>
          <w:sz w:val="24"/>
        </w:rPr>
        <w:t xml:space="preserve"> pertaining to each individual Purchaser is referred to herein as the “</w:t>
      </w:r>
      <w:r>
        <w:rPr>
          <w:rFonts w:ascii="Times New Roman" w:hAnsi="Times New Roman"/>
          <w:color w:val="000000"/>
          <w:sz w:val="24"/>
          <w:u w:val="single"/>
        </w:rPr>
        <w:t>applicable Schedule  A</w:t>
      </w:r>
      <w:r>
        <w:rPr>
          <w:rFonts w:ascii="Times New Roman" w:hAnsi="Times New Roman"/>
          <w:color w:val="000000"/>
          <w:sz w:val="24"/>
        </w:rPr>
        <w:t xml:space="preserve">,” and the accounts, if any, on behalf of which any Purchaser may be acting, as specified on the applicable </w:t>
      </w:r>
      <w:r>
        <w:rPr>
          <w:rFonts w:ascii="Times New Roman" w:hAnsi="Times New Roman"/>
          <w:color w:val="000000"/>
          <w:sz w:val="24"/>
          <w:u w:val="single"/>
        </w:rPr>
        <w:t>Schedule  A</w:t>
      </w:r>
      <w:r>
        <w:rPr>
          <w:rFonts w:ascii="Times New Roman" w:hAnsi="Times New Roman"/>
          <w:color w:val="000000"/>
          <w:sz w:val="24"/>
        </w:rPr>
        <w:t>, for whom the Purchaser holds contractual and investment authority, are referred to herein as the “</w:t>
      </w:r>
      <w:r>
        <w:rPr>
          <w:rFonts w:ascii="Times New Roman" w:hAnsi="Times New Roman"/>
          <w:color w:val="000000"/>
          <w:sz w:val="24"/>
          <w:u w:val="single"/>
        </w:rPr>
        <w:t>Represented Accounts</w:t>
      </w:r>
      <w:r>
        <w:rPr>
          <w:rFonts w:ascii="Times New Roman" w:hAnsi="Times New Roman"/>
          <w:color w:val="000000"/>
          <w:sz w:val="24"/>
        </w:rPr>
        <w:t>”). The Company and the Purchasers are sometimes collectively referred to in this Agreement as the “</w:t>
      </w:r>
      <w:r>
        <w:rPr>
          <w:rFonts w:ascii="Times New Roman" w:hAnsi="Times New Roman"/>
          <w:color w:val="000000"/>
          <w:sz w:val="24"/>
          <w:u w:val="single"/>
        </w:rPr>
        <w:t>Parties</w:t>
      </w:r>
      <w:r>
        <w:rPr>
          <w:rFonts w:ascii="Times New Roman" w:hAnsi="Times New Roman"/>
          <w:color w:val="000000"/>
          <w:sz w:val="24"/>
        </w:rPr>
        <w:t>” and individually as a “</w:t>
      </w:r>
      <w:r>
        <w:rPr>
          <w:rFonts w:ascii="Times New Roman" w:hAnsi="Times New Roman"/>
          <w:color w:val="000000"/>
          <w:sz w:val="24"/>
          <w:u w:val="single"/>
        </w:rPr>
        <w:t>Party</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WHEREAS, the Company has authorized the sale and issuance of ordinary shares of the Company, no par value (the “</w:t>
      </w:r>
      <w:r>
        <w:rPr>
          <w:rFonts w:ascii="Times New Roman" w:hAnsi="Times New Roman"/>
          <w:color w:val="000000"/>
          <w:sz w:val="24"/>
          <w:u w:val="single"/>
        </w:rPr>
        <w:t>Ordinary shares</w:t>
      </w:r>
      <w:r>
        <w:rPr>
          <w:rFonts w:ascii="Times New Roman" w:hAnsi="Times New Roman"/>
          <w:color w:val="000000"/>
          <w:sz w:val="24"/>
        </w:rPr>
        <w:t>”), on the terms and subject to the conditions set forth in this Agreement and the Registration Statement (as defined below). The Ordinary shares to be sold hereunder at the Closing (as defined below) shall be referred to herein as the “</w:t>
      </w:r>
      <w:r>
        <w:rPr>
          <w:rFonts w:ascii="Times New Roman" w:hAnsi="Times New Roman"/>
          <w:color w:val="000000"/>
          <w:sz w:val="24"/>
          <w:u w:val="single"/>
        </w:rPr>
        <w:t>Shares</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WHEREAS, each Purchaser for its own account or on behalf of a Represented Account, severally, wishes to purchase Shares in the amounts and for the cash payment (the “</w:t>
      </w:r>
      <w:r>
        <w:rPr>
          <w:rFonts w:ascii="Times New Roman" w:hAnsi="Times New Roman"/>
          <w:color w:val="000000"/>
          <w:sz w:val="24"/>
          <w:u w:val="single"/>
        </w:rPr>
        <w:t>Cash Payment</w:t>
      </w:r>
      <w:r>
        <w:rPr>
          <w:rFonts w:ascii="Times New Roman" w:hAnsi="Times New Roman"/>
          <w:color w:val="000000"/>
          <w:sz w:val="24"/>
        </w:rPr>
        <w:t xml:space="preserve">”) set forth on such Purchaser’s applicable </w:t>
      </w:r>
      <w:r>
        <w:rPr>
          <w:rFonts w:ascii="Times New Roman" w:hAnsi="Times New Roman"/>
          <w:color w:val="000000"/>
          <w:sz w:val="24"/>
          <w:u w:val="single"/>
        </w:rPr>
        <w:t>Schedule  A</w:t>
      </w:r>
      <w:r>
        <w:rPr>
          <w:rFonts w:ascii="Times New Roman" w:hAnsi="Times New Roman"/>
          <w:color w:val="000000"/>
          <w:sz w:val="24"/>
        </w:rPr>
        <w:t xml:space="preserve"> upon the terms and conditions set forth in this Agreement and the Registration Statement;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WHEREAS, the Company wishes to issue and sell to each Purchaser, for its account or its Represented Account, the Shares set forth on such Purchaser’s applicable </w:t>
      </w:r>
      <w:r>
        <w:rPr>
          <w:rFonts w:ascii="Times New Roman" w:hAnsi="Times New Roman"/>
          <w:color w:val="000000"/>
          <w:sz w:val="24"/>
          <w:u w:val="single"/>
        </w:rPr>
        <w:t>Schedule  A</w:t>
      </w:r>
      <w:r>
        <w:rPr>
          <w:rFonts w:ascii="Times New Roman" w:hAnsi="Times New Roman"/>
          <w:color w:val="000000"/>
          <w:sz w:val="24"/>
        </w:rPr>
        <w:t xml:space="preserve"> for the Cash Payment set forth therein upon the terms and conditions set forth in this Agreement and the Registration Statement.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NOW, THEREFORE, in consideration of the mutual covenants, agreements and understandings herein contained, the Parties agree as follows: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4"/>
        </w:rPr>
        <w:t>SECTION  1.</w:t>
      </w:r>
      <w:r>
        <w:rPr>
          <w:rFonts w:ascii="Times New Roman" w:hAnsi="Times New Roman"/>
          <w:color w:val="000000"/>
          <w:sz w:val="20"/>
        </w:rPr>
        <w:t xml:space="preserve">   </w:t>
      </w:r>
      <w:r>
        <w:rPr>
          <w:rFonts w:ascii="Times New Roman" w:hAnsi="Times New Roman"/>
          <w:color w:val="000000"/>
          <w:sz w:val="24"/>
          <w:u w:val="single"/>
        </w:rPr>
        <w:t xml:space="preserve">Sale and </w:t>
      </w:r>
      <w:r>
        <w:rPr>
          <w:rFonts w:ascii="Times New Roman" w:hAnsi="Times New Roman"/>
          <w:color w:val="000000"/>
          <w:sz w:val="20"/>
        </w:rPr>
        <w:t>Registration</w:t>
      </w:r>
      <w:r>
        <w:rPr>
          <w:rFonts w:ascii="Times New Roman" w:hAnsi="Times New Roman"/>
          <w:color w:val="000000"/>
          <w:sz w:val="24"/>
          <w:u w:val="single"/>
        </w:rPr>
        <w:t xml:space="preserve"> of the Shares</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1.1</w:t>
      </w:r>
      <w:r>
        <w:rPr>
          <w:rFonts w:ascii="Times New Roman" w:hAnsi="Times New Roman"/>
          <w:color w:val="000000"/>
          <w:sz w:val="20"/>
        </w:rPr>
        <w:t xml:space="preserve">         </w:t>
      </w:r>
      <w:r>
        <w:rPr>
          <w:rFonts w:ascii="Times New Roman" w:hAnsi="Times New Roman"/>
          <w:color w:val="000000"/>
          <w:sz w:val="24"/>
          <w:u w:val="single"/>
        </w:rPr>
        <w:t>The Sale</w:t>
      </w:r>
      <w:r>
        <w:rPr>
          <w:rFonts w:ascii="Times New Roman" w:hAnsi="Times New Roman"/>
          <w:color w:val="000000"/>
          <w:sz w:val="24"/>
        </w:rPr>
        <w:t xml:space="preserve">. Subject to the terms and conditions set forth in this Agreement, on the Closing Date (as defined below), the Company shall sell to each Purchaser, severally, and each Purchaser hereby agrees, severally, to purchase from the Company on the Closing Date (as defined below) for its own account or on behalf of a Represented Account, the number of Shares set forth on such Purchaser’s applicable </w:t>
      </w:r>
      <w:r>
        <w:rPr>
          <w:rFonts w:ascii="Times New Roman" w:hAnsi="Times New Roman"/>
          <w:color w:val="000000"/>
          <w:sz w:val="24"/>
          <w:u w:val="single"/>
        </w:rPr>
        <w:t>Schedule  A</w:t>
      </w:r>
      <w:r>
        <w:rPr>
          <w:rFonts w:ascii="Times New Roman" w:hAnsi="Times New Roman"/>
          <w:color w:val="000000"/>
          <w:sz w:val="24"/>
        </w:rPr>
        <w:t xml:space="preserve"> at a purchase price per Share equal to the closing price of the Ordinary shares as reported by NASDAQ (as defined below) on December 2, 2025. The aggregate Cash Payment for the Shares purchased by each Purchaser is set forth on such Purchaser’s applicable </w:t>
      </w:r>
      <w:r>
        <w:rPr>
          <w:rFonts w:ascii="Times New Roman" w:hAnsi="Times New Roman"/>
          <w:color w:val="000000"/>
          <w:sz w:val="24"/>
          <w:u w:val="single"/>
        </w:rPr>
        <w:t>Schedule  A</w:t>
      </w:r>
      <w:r>
        <w:rPr>
          <w:rFonts w:ascii="Times New Roman" w:hAnsi="Times New Roman"/>
          <w:color w:val="000000"/>
          <w:sz w:val="24"/>
        </w:rPr>
        <w:t>. For the avoidance of doubt, other Purchasers have entered into substantially similar agreements with the Company on the date hereof to acquire Shares and it is understood that none of any Purchaser’s purchases of its allocable Shares hereunder shall be dependent upon any other Purchasers’ purchases of their respective allocable Shares under such other agreements.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u w:val="single"/>
        </w:rPr>
        <w:t>Announcement of the Purchase</w:t>
      </w:r>
      <w:r>
        <w:rPr>
          <w:rFonts w:ascii="Times New Roman" w:hAnsi="Times New Roman"/>
          <w:color w:val="000000"/>
          <w:sz w:val="24"/>
        </w:rPr>
        <w:t>. The Company shall, by 9:00 a.m., New York City time, on the first (1st) Business Day (as defined below) immediately following the date hereof, issue one or more press releases or file with the Securities and Exchange Commission (the “</w:t>
      </w:r>
      <w:r>
        <w:rPr>
          <w:rFonts w:ascii="Times New Roman" w:hAnsi="Times New Roman"/>
          <w:color w:val="000000"/>
          <w:sz w:val="24"/>
          <w:u w:val="single"/>
        </w:rPr>
        <w:t>Commission</w:t>
      </w:r>
      <w:r>
        <w:rPr>
          <w:rFonts w:ascii="Times New Roman" w:hAnsi="Times New Roman"/>
          <w:color w:val="000000"/>
          <w:sz w:val="24"/>
        </w:rPr>
        <w:t>”) a Current Report on Form 8-K and/or a Quarterly Report on Form 10-Q (collectively, the “</w:t>
      </w:r>
      <w:r>
        <w:rPr>
          <w:rFonts w:ascii="Times New Roman" w:hAnsi="Times New Roman"/>
          <w:color w:val="000000"/>
          <w:sz w:val="24"/>
          <w:u w:val="single"/>
        </w:rPr>
        <w:t>Disclosure Document</w:t>
      </w:r>
      <w:r>
        <w:rPr>
          <w:rFonts w:ascii="Times New Roman" w:hAnsi="Times New Roman"/>
          <w:color w:val="000000"/>
          <w:sz w:val="24"/>
        </w:rPr>
        <w:t>”) disclosing, to the extent not previously publicly disclosed, all material terms of the transactions contemplated hereby (the “</w:t>
      </w:r>
      <w:r>
        <w:rPr>
          <w:rFonts w:ascii="Times New Roman" w:hAnsi="Times New Roman"/>
          <w:color w:val="000000"/>
          <w:sz w:val="24"/>
          <w:u w:val="single"/>
        </w:rPr>
        <w:t>Transaction</w:t>
      </w:r>
      <w:r>
        <w:rPr>
          <w:rFonts w:ascii="Times New Roman" w:hAnsi="Times New Roman"/>
          <w:color w:val="000000"/>
          <w:sz w:val="24"/>
        </w:rPr>
        <w:t>”) and any other material, nonpublic information that the Company or any Agent (as defined below) or any of their respective officers, directors or employees has provided to the Purchasers at any time prior to the filing of the Disclosure Document. Immediately following the issuance or filing, as applicable, of the Disclosure Document, to the Company’s knowledge, the Purchasers will not be in possession of any material, non-public information received from the Company or any Agent or any of their respective officers, directors, or employees. Notwithstanding the foregoing, the Company shall not publicly disclose the name of the Purchaser, any of its Represented Accounts, or their respective affiliates and investment advisors, or include the name of the Purchaser, any of its Represented Accounts, or their respective affiliates and investment advisors in any press release or in any filing with the Commission or any regulatory agency or trading market, without the prior written consent of the Purchaser, except as required by any applicable law, rule or regulation, including any listing exchange, or to the extent requested by the Staff of the Commission, any representative of the NASDAQ Capital Market (“</w:t>
      </w:r>
      <w:r>
        <w:rPr>
          <w:rFonts w:ascii="Times New Roman" w:hAnsi="Times New Roman"/>
          <w:color w:val="000000"/>
          <w:sz w:val="24"/>
          <w:u w:val="single"/>
        </w:rPr>
        <w:t>NASDAQ</w:t>
      </w:r>
      <w:r>
        <w:rPr>
          <w:rFonts w:ascii="Times New Roman" w:hAnsi="Times New Roman"/>
          <w:color w:val="000000"/>
          <w:sz w:val="24"/>
        </w:rPr>
        <w:t>”) or any other regulatory agency, in which case the Company shall, to the extent practicable, provide the Purchaser with prior written notice of such disclosure. As used in this Agreement, “</w:t>
      </w:r>
      <w:r>
        <w:rPr>
          <w:rFonts w:ascii="Times New Roman" w:hAnsi="Times New Roman"/>
          <w:color w:val="000000"/>
          <w:sz w:val="24"/>
          <w:u w:val="single"/>
        </w:rPr>
        <w:t>Business Day</w:t>
      </w:r>
      <w:r>
        <w:rPr>
          <w:rFonts w:ascii="Times New Roman" w:hAnsi="Times New Roman"/>
          <w:color w:val="000000"/>
          <w:sz w:val="24"/>
        </w:rPr>
        <w:t>” means any day other than a Saturday, a Sunday or a day on which the Federal Reserve Bank of New York is authorized or required by law or executive order to close or be closed.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1.3</w:t>
      </w:r>
      <w:r>
        <w:rPr>
          <w:rFonts w:ascii="Times New Roman" w:hAnsi="Times New Roman"/>
          <w:color w:val="000000"/>
          <w:sz w:val="20"/>
        </w:rPr>
        <w:t xml:space="preserve">        </w:t>
      </w:r>
      <w:r>
        <w:rPr>
          <w:rFonts w:ascii="Times New Roman" w:hAnsi="Times New Roman"/>
          <w:color w:val="000000"/>
          <w:sz w:val="24"/>
          <w:u w:val="single"/>
        </w:rPr>
        <w:t>Exchange Listing</w:t>
      </w:r>
      <w:r>
        <w:rPr>
          <w:rFonts w:ascii="Times New Roman" w:hAnsi="Times New Roman"/>
          <w:color w:val="000000"/>
          <w:sz w:val="24"/>
        </w:rPr>
        <w:t>. The Company shall submit a Notice of Listing of Additional Shares to The Nasdaq Stock Market covering the Shares prior to the Closing (as defined below).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1.4</w:t>
      </w:r>
      <w:r>
        <w:rPr>
          <w:rFonts w:ascii="Times New Roman" w:hAnsi="Times New Roman"/>
          <w:color w:val="000000"/>
          <w:sz w:val="20"/>
        </w:rPr>
        <w:t xml:space="preserve">         </w:t>
      </w:r>
      <w:r>
        <w:rPr>
          <w:rFonts w:ascii="Times New Roman" w:hAnsi="Times New Roman"/>
          <w:color w:val="000000"/>
          <w:sz w:val="24"/>
          <w:u w:val="single"/>
        </w:rPr>
        <w:t>Closing</w:t>
      </w:r>
      <w:r>
        <w:rPr>
          <w:rFonts w:ascii="Times New Roman" w:hAnsi="Times New Roman"/>
          <w:color w:val="000000"/>
          <w:sz w:val="24"/>
        </w:rPr>
        <w:t>. The closing of the transactions contemplated hereunder with respect to a Purchaser (the “</w:t>
      </w:r>
      <w:r>
        <w:rPr>
          <w:rFonts w:ascii="Times New Roman" w:hAnsi="Times New Roman"/>
          <w:color w:val="000000"/>
          <w:sz w:val="24"/>
          <w:u w:val="single"/>
        </w:rPr>
        <w:t>Closing</w:t>
      </w:r>
      <w:r>
        <w:rPr>
          <w:rFonts w:ascii="Times New Roman" w:hAnsi="Times New Roman"/>
          <w:color w:val="000000"/>
          <w:sz w:val="24"/>
        </w:rPr>
        <w:t>”) will take place on December 8, 2025, or such other date, if any, as is mutually agreed to by the Parties (the “</w:t>
      </w:r>
      <w:r>
        <w:rPr>
          <w:rFonts w:ascii="Times New Roman" w:hAnsi="Times New Roman"/>
          <w:color w:val="000000"/>
          <w:sz w:val="24"/>
          <w:u w:val="single"/>
        </w:rPr>
        <w:t>Closing Date</w:t>
      </w:r>
      <w:r>
        <w:rPr>
          <w:rFonts w:ascii="Times New Roman" w:hAnsi="Times New Roman"/>
          <w:color w:val="000000"/>
          <w:sz w:val="24"/>
        </w:rPr>
        <w:t>”). Under Rule 15c6-1 of the Exchange Act (as defined below), trades in the secondary market generally are required to settle in one Business Day unless the parties to a trade expressly agree otherwise. Accordingly, Purchasers who wish to trade Shares on the date hereof or on any subsequent date that is prior to the trading day preceding the Closing Date, by virtue of the fact that the Shares initially will settle in T+3, must specify alternative settlement arrangements to prevent a failed settlement. Those Purchasers should consult their advisors. On the Closing Date, and subject to the conditions contained in this Section  1.4:</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w:t>
      </w:r>
      <w:r>
        <w:rPr>
          <w:rFonts w:ascii="Times New Roman" w:hAnsi="Times New Roman"/>
          <w:color w:val="000000"/>
          <w:sz w:val="24"/>
        </w:rPr>
        <w:t>each Purchaser shall (i) submit, through the Depository Trust Company (“</w:t>
      </w:r>
      <w:r>
        <w:rPr>
          <w:rFonts w:ascii="Times New Roman" w:hAnsi="Times New Roman"/>
          <w:color w:val="000000"/>
          <w:sz w:val="24"/>
          <w:u w:val="single"/>
        </w:rPr>
        <w:t>DTC’s</w:t>
      </w:r>
      <w:r>
        <w:rPr>
          <w:rFonts w:ascii="Times New Roman" w:hAnsi="Times New Roman"/>
          <w:color w:val="000000"/>
          <w:sz w:val="24"/>
        </w:rPr>
        <w:t>”) Deposit and Withdrawal at Custodian (“</w:t>
      </w:r>
      <w:r>
        <w:rPr>
          <w:rFonts w:ascii="Times New Roman" w:hAnsi="Times New Roman"/>
          <w:color w:val="000000"/>
          <w:sz w:val="24"/>
          <w:u w:val="single"/>
        </w:rPr>
        <w:t>DWAC</w:t>
      </w:r>
      <w:r>
        <w:rPr>
          <w:rFonts w:ascii="Times New Roman" w:hAnsi="Times New Roman"/>
          <w:color w:val="000000"/>
          <w:sz w:val="24"/>
        </w:rPr>
        <w:t>”) program, a deposit instruction to Computershare Trust Company, N.A., acting as transfer agent and DTC custodian for the Ordinary shares (the “</w:t>
      </w:r>
      <w:r>
        <w:rPr>
          <w:rFonts w:ascii="Times New Roman" w:hAnsi="Times New Roman"/>
          <w:color w:val="000000"/>
          <w:sz w:val="24"/>
          <w:u w:val="single"/>
        </w:rPr>
        <w:t>Transfer Agent</w:t>
      </w:r>
      <w:r>
        <w:rPr>
          <w:rFonts w:ascii="Times New Roman" w:hAnsi="Times New Roman"/>
          <w:color w:val="000000"/>
          <w:sz w:val="24"/>
        </w:rPr>
        <w:t xml:space="preserve">”), for the applicable number of Shares, (ii)  deliver to the Company the applicable Cash Payment by wire transfer of immediately available funds to the account of the Company set forth on </w:t>
      </w:r>
      <w:r>
        <w:rPr>
          <w:rFonts w:ascii="Times New Roman" w:hAnsi="Times New Roman"/>
          <w:color w:val="000000"/>
          <w:sz w:val="24"/>
          <w:u w:val="single"/>
        </w:rPr>
        <w:t>Exhibit A</w:t>
      </w:r>
      <w:r>
        <w:rPr>
          <w:rFonts w:ascii="Times New Roman" w:hAnsi="Times New Roman"/>
          <w:color w:val="000000"/>
          <w:sz w:val="24"/>
        </w:rPr>
        <w:t xml:space="preserve"> or as otherwise advised by the Company to such Purchaser prior to the Closing and (iii) comply with the Instructions and Purchase Procedures attached hereto as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Company will deliver to each Purchaser or Represented Account the number of Shares set forth on such Purchaser’s applicable </w:t>
      </w:r>
      <w:r>
        <w:rPr>
          <w:rFonts w:ascii="Times New Roman" w:hAnsi="Times New Roman"/>
          <w:color w:val="000000"/>
          <w:sz w:val="24"/>
          <w:u w:val="single"/>
        </w:rPr>
        <w:t>Schedule  A</w:t>
      </w:r>
      <w:r>
        <w:rPr>
          <w:rFonts w:ascii="Times New Roman" w:hAnsi="Times New Roman"/>
          <w:color w:val="000000"/>
          <w:sz w:val="24"/>
        </w:rPr>
        <w:t xml:space="preserve"> via book-entry delivery pursuant to DWAC instructions specified on the applicable </w:t>
      </w:r>
      <w:r>
        <w:rPr>
          <w:rFonts w:ascii="Times New Roman" w:hAnsi="Times New Roman"/>
          <w:color w:val="000000"/>
          <w:sz w:val="24"/>
          <w:u w:val="single"/>
        </w:rPr>
        <w:t>Schedule  A</w:t>
      </w:r>
      <w:r>
        <w:rPr>
          <w:rFonts w:ascii="Times New Roman" w:hAnsi="Times New Roman"/>
          <w:color w:val="000000"/>
          <w:sz w:val="24"/>
        </w:rPr>
        <w:t>, with any transfer taxes payable in connection with the delivery of Shares duly paid by the Company;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w:t>
      </w:r>
      <w:r>
        <w:rPr>
          <w:rFonts w:ascii="Times New Roman" w:hAnsi="Times New Roman"/>
          <w:color w:val="000000"/>
          <w:sz w:val="24"/>
        </w:rPr>
        <w:t>as a condition to Closing, (i) all of the representations and warranties of the Company in Section  2 hereof shall be true and correct as of the Closing Date and the Company shall have complied in all material respects with all its agreements contained herein; and (ii) all of the representations and warranties of the Purchaser in Section  3 hereof shall be true and correct as of the Closing Date and the Purchaser shall have complied in all material respects with all its agreements contained herein.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u w:val="single"/>
        </w:rPr>
        <w:t>Registration of the Shares</w:t>
      </w:r>
      <w:r>
        <w:rPr>
          <w:rFonts w:ascii="Times New Roman" w:hAnsi="Times New Roman"/>
          <w:color w:val="000000"/>
          <w:sz w:val="24"/>
        </w:rPr>
        <w:t>. The Company has registered the sale of the Shares pursuant to the Company’s Registration Statement on Form S-3 (File No. 333-284369) filed with the Commission on August 28, 2025 (such registration statement, including the base prospectus contained therein, as supplemented by the prospectus supplement relating to the offer and sale of the Shares, dated December 2, 2025, is referred to herein as the “</w:t>
      </w:r>
      <w:r>
        <w:rPr>
          <w:rFonts w:ascii="Times New Roman" w:hAnsi="Times New Roman"/>
          <w:color w:val="000000"/>
          <w:sz w:val="24"/>
          <w:u w:val="single"/>
        </w:rPr>
        <w:t>Registration Statement</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SECTION  2.</w:t>
      </w:r>
      <w:r>
        <w:rPr>
          <w:rFonts w:ascii="Times New Roman" w:hAnsi="Times New Roman"/>
          <w:color w:val="000000"/>
          <w:sz w:val="20"/>
        </w:rPr>
        <w:t xml:space="preserve">   </w:t>
      </w:r>
      <w:r>
        <w:rPr>
          <w:rFonts w:ascii="Times New Roman" w:hAnsi="Times New Roman"/>
          <w:color w:val="000000"/>
          <w:sz w:val="24"/>
          <w:u w:val="single"/>
        </w:rPr>
        <w:t>Representations and Warranties of the Company</w:t>
      </w:r>
      <w:r>
        <w:rPr>
          <w:rFonts w:ascii="Times New Roman" w:hAnsi="Times New Roman"/>
          <w:color w:val="000000"/>
          <w:sz w:val="24"/>
        </w:rPr>
        <w:t>. The Company hereby represents and warrants to each Purchaser that as of the date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u w:val="single"/>
        </w:rPr>
        <w:t>Organization</w:t>
      </w:r>
      <w:r>
        <w:rPr>
          <w:rFonts w:ascii="Times New Roman" w:hAnsi="Times New Roman"/>
          <w:color w:val="000000"/>
          <w:sz w:val="24"/>
        </w:rPr>
        <w:t>. The Company is a corporation duly organized, validly existing and in good standing under the laws of Australia.</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2.2</w:t>
      </w:r>
      <w:r>
        <w:rPr>
          <w:rFonts w:ascii="Times New Roman" w:hAnsi="Times New Roman"/>
          <w:color w:val="000000"/>
          <w:sz w:val="20"/>
        </w:rPr>
        <w:t xml:space="preserve">       </w:t>
      </w:r>
      <w:r>
        <w:rPr>
          <w:rFonts w:ascii="Times New Roman" w:hAnsi="Times New Roman"/>
          <w:color w:val="000000"/>
          <w:sz w:val="24"/>
          <w:u w:val="single"/>
        </w:rPr>
        <w:t>Authorization</w:t>
      </w:r>
      <w:r>
        <w:rPr>
          <w:rFonts w:ascii="Times New Roman" w:hAnsi="Times New Roman"/>
          <w:color w:val="000000"/>
          <w:sz w:val="24"/>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This Agreement has been duly authorized, executed and delivered by the Company and, assuming due execution and delivery by the Purchaser, constitutes a valid and binding obligation of the Company, enforceable against the Company in accordance with its terms, except as such enforceability may be limited by (i) bankruptcy, insolvency, fraudulent conveyance, fraudulent transfer, reorganization, moratorium or other similar laws relating to or affecting rights or remedies of creditors generally; and (ii) the application of general principles of equity.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2.3</w:t>
      </w:r>
      <w:r>
        <w:rPr>
          <w:rFonts w:ascii="Times New Roman" w:hAnsi="Times New Roman"/>
          <w:color w:val="000000"/>
          <w:sz w:val="20"/>
        </w:rPr>
        <w:t xml:space="preserve">      </w:t>
      </w:r>
      <w:r>
        <w:rPr>
          <w:rFonts w:ascii="Times New Roman" w:hAnsi="Times New Roman"/>
          <w:color w:val="000000"/>
          <w:sz w:val="24"/>
          <w:u w:val="single"/>
        </w:rPr>
        <w:t>Validity and Registration of Shares</w:t>
      </w:r>
      <w:r>
        <w:rPr>
          <w:rFonts w:ascii="Times New Roman" w:hAnsi="Times New Roman"/>
          <w:color w:val="000000"/>
          <w:sz w:val="24"/>
        </w:rPr>
        <w:t>. The Shares to be issued and sold hereunder have been duly authorized by the Company and, when issued and delivered and paid for as provided herein, will be duly and validly issued, will be issued as part of CUSIP Q4982L109, will be fully paid and nonassessable and will conform in all material respects to the descriptions thereof in the Registration Statement, will be free of any security interests and will rank equally in all respects with existing Ordinary Shares (other than B Class Shares), and the issuance of the Shares is not subject to any preemptive or similar rights. The sale of the Shares to be issued and sold to the Purchasers on the Closing Date pursuant to this Agreement will have been registered under the Securities Act of 1933, as amended (the “</w:t>
      </w:r>
      <w:r>
        <w:rPr>
          <w:rFonts w:ascii="Times New Roman" w:hAnsi="Times New Roman"/>
          <w:color w:val="000000"/>
          <w:sz w:val="24"/>
          <w:u w:val="single"/>
        </w:rPr>
        <w:t>Securities Act</w:t>
      </w:r>
      <w:r>
        <w:rPr>
          <w:rFonts w:ascii="Times New Roman" w:hAnsi="Times New Roman"/>
          <w:color w:val="000000"/>
          <w:sz w:val="24"/>
        </w:rPr>
        <w:t>”), pursuant to the Registration Statement, and book entries representing such Shares will not contain a restrictive legend.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2.4</w:t>
      </w:r>
      <w:r>
        <w:rPr>
          <w:rFonts w:ascii="Times New Roman" w:hAnsi="Times New Roman"/>
          <w:color w:val="000000"/>
          <w:sz w:val="20"/>
        </w:rPr>
        <w:t xml:space="preserve">        </w:t>
      </w:r>
      <w:r>
        <w:rPr>
          <w:rFonts w:ascii="Times New Roman" w:hAnsi="Times New Roman"/>
          <w:color w:val="000000"/>
          <w:sz w:val="24"/>
          <w:u w:val="single"/>
        </w:rPr>
        <w:t>SEC Filings</w:t>
      </w:r>
      <w:r>
        <w:rPr>
          <w:rFonts w:ascii="Times New Roman" w:hAnsi="Times New Roman"/>
          <w:color w:val="000000"/>
          <w:sz w:val="24"/>
        </w:rPr>
        <w:t>. The Company has filed all reports, schedules, forms, statements and other documents required to be filed by it with the Commission under Sections  13, 14(a) and 15(d) of the Securities Exchange Act of 1934, as amended (the “</w:t>
      </w:r>
      <w:r>
        <w:rPr>
          <w:rFonts w:ascii="Times New Roman" w:hAnsi="Times New Roman"/>
          <w:color w:val="000000"/>
          <w:sz w:val="24"/>
          <w:u w:val="single"/>
        </w:rPr>
        <w:t>Exchange Act</w:t>
      </w:r>
      <w:r>
        <w:rPr>
          <w:rFonts w:ascii="Times New Roman" w:hAnsi="Times New Roman"/>
          <w:color w:val="000000"/>
          <w:sz w:val="24"/>
        </w:rPr>
        <w:t>”), in the two years preceding the date hereof on a timely basis, except where the failure to file on a timely basis would not reasonably be expected to affect the Company’s ability to sell and issue the Shares and to carry out and perform all of its obligations under this Agreement. As of their respective filing dates (or, if amended prior to the date of this Agreement, when amended), such documents filed with the SEC pursuant to the Exchange Act (the “</w:t>
      </w:r>
      <w:r>
        <w:rPr>
          <w:rFonts w:ascii="Times New Roman" w:hAnsi="Times New Roman"/>
          <w:color w:val="000000"/>
          <w:sz w:val="24"/>
          <w:u w:val="single"/>
        </w:rPr>
        <w:t>SEC Documents</w:t>
      </w:r>
      <w:r>
        <w:rPr>
          <w:rFonts w:ascii="Times New Roman" w:hAnsi="Times New Roman"/>
          <w:color w:val="000000"/>
          <w:sz w:val="24"/>
        </w:rPr>
        <w:t>”) complied in all material respects with the requirements of the Exchange Act and the rules and regulations of the Commission promulgated thereunder. The Company is eligible to register its Ordinary shares for sale using Form S-3 promulgated under the Securities Act. The Company has made available to each Purchaser or their representatives, or each Purchaser has had access through the Commission’s EDGAR website to, true and complete copies of the SEC Documents. No stop order suspending the effectiveness of the Registration Statement has been issued under the Securities Act and no proceedings for that purpose have been instituted or are pending or, to the Company’s knowledge, are threatened by the Commission.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2.5</w:t>
      </w:r>
      <w:r>
        <w:rPr>
          <w:rFonts w:ascii="Times New Roman" w:hAnsi="Times New Roman"/>
          <w:color w:val="000000"/>
          <w:sz w:val="20"/>
        </w:rPr>
        <w:t xml:space="preserve">       </w:t>
      </w:r>
      <w:r>
        <w:rPr>
          <w:rFonts w:ascii="Times New Roman" w:hAnsi="Times New Roman"/>
          <w:color w:val="000000"/>
          <w:sz w:val="24"/>
          <w:u w:val="single"/>
        </w:rPr>
        <w:t>Non-Contravention</w:t>
      </w:r>
      <w:r>
        <w:rPr>
          <w:rFonts w:ascii="Times New Roman" w:hAnsi="Times New Roman"/>
          <w:color w:val="000000"/>
          <w:sz w:val="24"/>
        </w:rPr>
        <w:t>. The execution, delivery and performance by the Company of this Agreement, the issuance and sale of the Shares and the consummation by the Company of the transactions contemplated by this Agreement will not (i) conflict with or result in a breach or violation of any of the terms or provisions of, or constitute a default under, result in the termination of any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right or assets of the Company or any of its subsidiaries is subject, (ii) result in any violation of the provisions of the constitution, charter, by-laws or similar organizational documents of the Company or any of its subsidiaries or (iii) result in the violation of any law or statute or any judgment, order, rule or regulation of any court or arbitrator or governmental or regulatory authority applicable to the Company, except, in the case of clauses (i) and (iii) above, for any such conflict, breach, violation, default, termination that would not, individually or in the aggregate, have a material adverse effect on the business, properties, management, financial position or results of operations of the Company and its subsidiaries taken as a whole or materially impair the ability of the Company to perform its obligations under this Agreement (a “</w:t>
      </w:r>
      <w:r>
        <w:rPr>
          <w:rFonts w:ascii="Times New Roman" w:hAnsi="Times New Roman"/>
          <w:color w:val="000000"/>
          <w:sz w:val="24"/>
          <w:u w:val="single"/>
        </w:rPr>
        <w:t>Material Adverse Effect</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u w:val="single"/>
        </w:rPr>
        <w:t>No Consents or Approvals</w:t>
      </w:r>
      <w:r>
        <w:rPr>
          <w:rFonts w:ascii="Times New Roman" w:hAnsi="Times New Roman"/>
          <w:color w:val="000000"/>
          <w:sz w:val="24"/>
        </w:rPr>
        <w:t>. No consent, approval, authorization, order, registration or qualification of or with any court or arbitrator or governmental or regulatory authority is required for the execution, delivery and performance by the Company of this Agreement, the issuance and sale of the Shares and the consummation by the Company of the transactions contemplated by this Agreement, except for (i) such consents, approvals, authorizations, orders, and registrations or qualifications as have been, or prior to the Closing Date, will be, obtained or made, (ii) the registration of the Shares under the Securities Act and those that may be required under the Exchange Act, applicable state securities laws, or by NASDAQ or the Financial Industry Regulatory Authority, Inc., and (iii)  any consent, approval, authorization, order, registration or qualification of or with any court or arbitrator or governmental or regulatory authority that would not, individually or in the aggregate, have a Material Adverse Effect if not obtained or made.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SECTION  3.</w:t>
      </w:r>
      <w:r>
        <w:rPr>
          <w:rFonts w:ascii="Times New Roman" w:hAnsi="Times New Roman"/>
          <w:color w:val="000000"/>
          <w:sz w:val="20"/>
        </w:rPr>
        <w:t xml:space="preserve">   </w:t>
      </w:r>
      <w:r>
        <w:rPr>
          <w:rFonts w:ascii="Times New Roman" w:hAnsi="Times New Roman"/>
          <w:color w:val="000000"/>
          <w:sz w:val="24"/>
          <w:u w:val="single"/>
        </w:rPr>
        <w:t>Representations and Warranties of the Purchasers</w:t>
      </w:r>
      <w:r>
        <w:rPr>
          <w:rFonts w:ascii="Times New Roman" w:hAnsi="Times New Roman"/>
          <w:color w:val="000000"/>
          <w:sz w:val="24"/>
        </w:rPr>
        <w:t>. Each Purchaser, severally with respect to itself and its Represented Accounts (if any) and not jointly with other Purchasers, hereby represents and warrants to the Company that the following statements are true and correct as of the date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3.1</w:t>
      </w:r>
      <w:r>
        <w:rPr>
          <w:rFonts w:ascii="Times New Roman" w:hAnsi="Times New Roman"/>
          <w:color w:val="000000"/>
          <w:sz w:val="20"/>
        </w:rPr>
        <w:t xml:space="preserve">        </w:t>
      </w:r>
      <w:r>
        <w:rPr>
          <w:rFonts w:ascii="Times New Roman" w:hAnsi="Times New Roman"/>
          <w:color w:val="000000"/>
          <w:sz w:val="24"/>
          <w:u w:val="single"/>
        </w:rPr>
        <w:t>Organization</w:t>
      </w:r>
      <w:r>
        <w:rPr>
          <w:rFonts w:ascii="Times New Roman" w:hAnsi="Times New Roman"/>
          <w:color w:val="000000"/>
          <w:sz w:val="24"/>
        </w:rPr>
        <w:t>. Such Purchaser is an entity duly organized, validly existing and in good standing under the laws of the jurisdiction of its organization.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3.2</w:t>
      </w:r>
      <w:r>
        <w:rPr>
          <w:rFonts w:ascii="Times New Roman" w:hAnsi="Times New Roman"/>
          <w:color w:val="000000"/>
          <w:sz w:val="20"/>
        </w:rPr>
        <w:t xml:space="preserve">      </w:t>
      </w:r>
      <w:r>
        <w:rPr>
          <w:rFonts w:ascii="Times New Roman" w:hAnsi="Times New Roman"/>
          <w:color w:val="000000"/>
          <w:sz w:val="24"/>
          <w:u w:val="single"/>
        </w:rPr>
        <w:t>Authorization</w:t>
      </w:r>
      <w:r>
        <w:rPr>
          <w:rFonts w:ascii="Times New Roman" w:hAnsi="Times New Roman"/>
          <w:color w:val="000000"/>
          <w:sz w:val="24"/>
        </w:rPr>
        <w:t>. Such Purchaser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This Agreement has been duly authorized, executed and delivered by the Purchaser and constitutes a valid and binding obligation of the Purchaser, enforceable against the Purchaser in accordance with its terms, except as such enforceability may be limited by applicable (i) bankruptcy, insolvency, fraudulent conveyance, fraudulent transfer, reorganization, moratorium or other similar laws relating to or affecting rights or remedies of creditors generally; and (ii) the application of general principles of equity.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3.3</w:t>
      </w:r>
      <w:r>
        <w:rPr>
          <w:rFonts w:ascii="Times New Roman" w:hAnsi="Times New Roman"/>
          <w:color w:val="000000"/>
          <w:sz w:val="20"/>
        </w:rPr>
        <w:t xml:space="preserve">         </w:t>
      </w:r>
      <w:r>
        <w:rPr>
          <w:rFonts w:ascii="Times New Roman" w:hAnsi="Times New Roman"/>
          <w:color w:val="000000"/>
          <w:sz w:val="24"/>
          <w:u w:val="single"/>
        </w:rPr>
        <w:t>Investment</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w:t>
      </w:r>
      <w:r>
        <w:rPr>
          <w:rFonts w:ascii="Times New Roman" w:hAnsi="Times New Roman"/>
          <w:color w:val="000000"/>
          <w:sz w:val="24"/>
        </w:rPr>
        <w:t>Such Purchaser is knowledgeable, sophisticated and experienced in business and financial matters and has previously invested in securities similar to the Shares. Such Purchaser is able to bear the economic risk of its investment in the Shares and is presently able to afford the complete loss of such investment and has been afforded access to information about the Company and its affiliates and their financial condition, results of operations, business, property and management sufficient to enable such Purchaser to evaluate its investment in the Shares.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w:t>
      </w:r>
      <w:r>
        <w:rPr>
          <w:rFonts w:ascii="Times New Roman" w:hAnsi="Times New Roman"/>
          <w:color w:val="000000"/>
          <w:sz w:val="24"/>
        </w:rPr>
        <w:t>Such Purchaser (i) has received a copy of the Registration Statement, (ii) understands and accepts that the Shares to be acquired pursuant to this Agreement involve risk, including those described or incorporated by reference in the Registration Statement and (iii) has made an independent decision to purchase the Shares based on the information available to such Purchaser. Such Purchaser acknowledges that it has independently made its own analysis and decision to purchase the Shares and without reliance upon the Company or use the Company, its affiliates or any of its agents or financial advisors, including Citigroup Global Markets Inc., Goldman Sachs &amp; Co. LLC and J.P. Morgan Securities LLC, each in their capacity as a placement agent in connection with the transactions contemplated hereby (an “</w:t>
      </w:r>
      <w:r>
        <w:rPr>
          <w:rFonts w:ascii="Times New Roman" w:hAnsi="Times New Roman"/>
          <w:color w:val="000000"/>
          <w:sz w:val="24"/>
          <w:u w:val="single"/>
        </w:rPr>
        <w:t>Agent</w:t>
      </w:r>
      <w:r>
        <w:rPr>
          <w:rFonts w:ascii="Times New Roman" w:hAnsi="Times New Roman"/>
          <w:color w:val="000000"/>
          <w:sz w:val="24"/>
        </w:rPr>
        <w:t>”), and based on such information as it has deemed appropriate in its independent judgment. Such Purchaser has not relied on any information (in any form, whether written or oral, including any representation or warranty of the Company) furnished by the Company or its affiliates, any Agent or on the Company’s behalf in making that decision (other than, with respect to the Company, filings made by the Company with the Commission). Such Purchaser further acknowledges that (i) such Purchaser had a sufficient amount of time to consider whether to participate in the Transaction and that neither the Company nor any Agent has placed any pressure on it to respond to the opportunity to participate in the Transaction, (ii) the terms of the Transaction are the result of bilateral negotiations between the parties, and such Purchaser was given a meaningful opportunity to negotiate the terms of the Transaction, (iii) it has consulted its own tax and legal advisors and (iv) it has not relied on the Company or its affiliates or any Agent or the Company’s representatives for any tax advice related to the Transaction.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Neither the Company, any Agent nor their respective affiliates, officers, employees, agents or controlling persons have provided any investment advice or rendered any opinion to such Purchaser as to whether the purchase of the Shares is prudent or suitable.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3.4</w:t>
      </w:r>
      <w:r>
        <w:rPr>
          <w:rFonts w:ascii="Times New Roman" w:hAnsi="Times New Roman"/>
          <w:color w:val="000000"/>
          <w:sz w:val="20"/>
        </w:rPr>
        <w:t xml:space="preserve">        </w:t>
      </w:r>
      <w:r>
        <w:rPr>
          <w:rFonts w:ascii="Times New Roman" w:hAnsi="Times New Roman"/>
          <w:color w:val="000000"/>
          <w:sz w:val="24"/>
          <w:u w:val="single"/>
        </w:rPr>
        <w:t>Non-Contravention</w:t>
      </w:r>
      <w:r>
        <w:rPr>
          <w:rFonts w:ascii="Times New Roman" w:hAnsi="Times New Roman"/>
          <w:color w:val="000000"/>
          <w:sz w:val="24"/>
        </w:rPr>
        <w:t>. The execution, delivery and performance by the Purchaser of this Agreement, the purchase of the Shares and the consummation by the Purchaser of the transactions contemplated by this Agreement will not (i) conflict with or result in a breach or violation of any of the terms or provisions of, or constitute a default under, result in the termination of any right or asset of the Purchaser or any of its subsidiaries pursuant to, any indenture, mortgage, deed of trust, loan agreement or other agreement or instrument to which the Purchaser or any of its subsidiaries is a party or by which the Purchaser or any of its subsidiaries is bound or to which any of the property, right or assets of the Purchaser or any of its subsidiaries is subject, (ii) result in any violation of the provisions of the charter or by-laws or similar organizational documents of the Purchaser or any of its subsidiaries or (iii) result in the violation of any law or statute or any judgment, order, rule or regulation of any court or arbitrator or governmental or regulatory authority applicable to the Purchaser that, would, individually or in the aggregate, have, or would reasonably be expected to have, a material adverse effect on the ability of such Purchaser to carry out its obligations hereunder.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3.5</w:t>
      </w:r>
      <w:r>
        <w:rPr>
          <w:rFonts w:ascii="Times New Roman" w:hAnsi="Times New Roman"/>
          <w:color w:val="000000"/>
          <w:sz w:val="20"/>
        </w:rPr>
        <w:t xml:space="preserve">     </w:t>
      </w:r>
      <w:r>
        <w:rPr>
          <w:rFonts w:ascii="Times New Roman" w:hAnsi="Times New Roman"/>
          <w:color w:val="000000"/>
          <w:sz w:val="24"/>
          <w:u w:val="single"/>
        </w:rPr>
        <w:t>Compliance with Laws</w:t>
      </w:r>
      <w:r>
        <w:rPr>
          <w:rFonts w:ascii="Times New Roman" w:hAnsi="Times New Roman"/>
          <w:color w:val="000000"/>
          <w:sz w:val="24"/>
        </w:rPr>
        <w:t>. Each Purchaser will comply with all applicable laws and regulations in effect in any jurisdiction in which the Purchaser purchases (or acquires pursuant to the transaction described herein or sells) Shares and will obtain any consent, approval or permission required for such purchases, acquisitions or sales under the laws and regulations of any jurisdiction to which the Purchaser is subject or in which the Purchaser makes such purchases, acquisitions or sales, and the Company shall have no responsibility therefor. The operations of the Purchaser have been conducted in material compliance with the rules and regulations administered or conducted by the U.S. Department of Treasury Office of Foreign Assets Control (“</w:t>
      </w:r>
      <w:r>
        <w:rPr>
          <w:rFonts w:ascii="Times New Roman" w:hAnsi="Times New Roman"/>
          <w:color w:val="000000"/>
          <w:sz w:val="24"/>
          <w:u w:val="single"/>
        </w:rPr>
        <w:t>OFAC</w:t>
      </w:r>
      <w:r>
        <w:rPr>
          <w:rFonts w:ascii="Times New Roman" w:hAnsi="Times New Roman"/>
          <w:color w:val="000000"/>
          <w:sz w:val="24"/>
        </w:rPr>
        <w:t>”) applicable to the Purchaser. The Purchaser has performed due diligence necessary to reasonably determine that its beneficial owners are not named on the lists of denied parties or blocked persons administered by OFAC, resident in or organized under the laws of a country that is the subject of comprehensive economic sanctions and embargoes administered or conducted by OFAC (“</w:t>
      </w:r>
      <w:r>
        <w:rPr>
          <w:rFonts w:ascii="Times New Roman" w:hAnsi="Times New Roman"/>
          <w:color w:val="000000"/>
          <w:sz w:val="24"/>
          <w:u w:val="single"/>
        </w:rPr>
        <w:t>Sanctions</w:t>
      </w:r>
      <w:r>
        <w:rPr>
          <w:rFonts w:ascii="Times New Roman" w:hAnsi="Times New Roman"/>
          <w:color w:val="000000"/>
          <w:sz w:val="24"/>
        </w:rPr>
        <w:t>”), or otherwise the subject of Sanctions.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3.6</w:t>
      </w:r>
      <w:r>
        <w:rPr>
          <w:rFonts w:ascii="Times New Roman" w:hAnsi="Times New Roman"/>
          <w:color w:val="000000"/>
          <w:sz w:val="20"/>
        </w:rPr>
        <w:t xml:space="preserve">       </w:t>
      </w:r>
      <w:r>
        <w:rPr>
          <w:rFonts w:ascii="Times New Roman" w:hAnsi="Times New Roman"/>
          <w:color w:val="000000"/>
          <w:sz w:val="24"/>
          <w:u w:val="single"/>
        </w:rPr>
        <w:t>No Guarantees</w:t>
      </w:r>
      <w:r>
        <w:rPr>
          <w:rFonts w:ascii="Times New Roman" w:hAnsi="Times New Roman"/>
          <w:color w:val="000000"/>
          <w:sz w:val="24"/>
        </w:rPr>
        <w:t>. Each Purchaser confirms that neither the Company nor any Agent has (A) given any guarantee or representation as to the potential success, return, effect or benefit (either legal, regulatory, tax, financial accounting or otherwise) of an investment in the Shares or (B) made any representation to such Purchaser regarding the legality of an investment in the Shares under applicable investment guidelines, laws or regulations.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3.7</w:t>
      </w:r>
      <w:r>
        <w:rPr>
          <w:rFonts w:ascii="Times New Roman" w:hAnsi="Times New Roman"/>
          <w:color w:val="000000"/>
          <w:sz w:val="20"/>
        </w:rPr>
        <w:t xml:space="preserve">      </w:t>
      </w:r>
      <w:r>
        <w:rPr>
          <w:rFonts w:ascii="Times New Roman" w:hAnsi="Times New Roman"/>
          <w:color w:val="000000"/>
          <w:sz w:val="24"/>
          <w:u w:val="single"/>
        </w:rPr>
        <w:t>No Brokers or Finders</w:t>
      </w:r>
      <w:r>
        <w:rPr>
          <w:rFonts w:ascii="Times New Roman" w:hAnsi="Times New Roman"/>
          <w:color w:val="000000"/>
          <w:sz w:val="24"/>
        </w:rPr>
        <w:t>. None of such Purchaser nor any of its officers or directors or persons serving in a similar capacity has retained or authorized any agent, investment banker, financial advisor, broker, finder or other intermediary to act on behalf of such Purchaser or incurred any liability for any agent’s, banker’s, financial advisor’s, broker’s or finder’s fees or commissions in connection with the transactions contemplated by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3.8</w:t>
      </w:r>
      <w:r>
        <w:rPr>
          <w:rFonts w:ascii="Times New Roman" w:hAnsi="Times New Roman"/>
          <w:color w:val="000000"/>
          <w:sz w:val="20"/>
        </w:rPr>
        <w:t xml:space="preserve">        </w:t>
      </w:r>
      <w:r>
        <w:rPr>
          <w:rFonts w:ascii="Times New Roman" w:hAnsi="Times New Roman"/>
          <w:color w:val="000000"/>
          <w:sz w:val="24"/>
          <w:u w:val="single"/>
        </w:rPr>
        <w:t>Other Transactions.</w:t>
      </w:r>
      <w:r>
        <w:rPr>
          <w:rFonts w:ascii="Times New Roman" w:hAnsi="Times New Roman"/>
          <w:color w:val="000000"/>
          <w:sz w:val="24"/>
        </w:rPr>
        <w:t>  The Purchaser acknowledges and agrees that it has not transacted, and will not transact, in any securities of the Company, including, but not limited to, any hedging transactions (other than, to the extent applicable, any sale to the Company of the Company’s 3.25% Convertible Senior Notes due 2030 (the “</w:t>
      </w:r>
      <w:r>
        <w:rPr>
          <w:rFonts w:ascii="Times New Roman" w:hAnsi="Times New Roman"/>
          <w:color w:val="000000"/>
          <w:sz w:val="24"/>
          <w:u w:val="single"/>
        </w:rPr>
        <w:t>2030 Notes</w:t>
      </w:r>
      <w:r>
        <w:rPr>
          <w:rFonts w:ascii="Times New Roman" w:hAnsi="Times New Roman"/>
          <w:color w:val="000000"/>
          <w:sz w:val="24"/>
        </w:rPr>
        <w:t>”) and 3.50% Convertible Senior Notes due 2029 (the “</w:t>
      </w:r>
      <w:r>
        <w:rPr>
          <w:rFonts w:ascii="Times New Roman" w:hAnsi="Times New Roman"/>
          <w:color w:val="000000"/>
          <w:sz w:val="24"/>
          <w:u w:val="single"/>
        </w:rPr>
        <w:t>2029 Notes</w:t>
      </w:r>
      <w:r>
        <w:rPr>
          <w:rFonts w:ascii="Times New Roman" w:hAnsi="Times New Roman"/>
          <w:color w:val="000000"/>
          <w:sz w:val="24"/>
        </w:rPr>
        <w:t>”) held by the Purchaser (the 2030 Notes and the 2029 Notes collectively, the “</w:t>
      </w:r>
      <w:r>
        <w:rPr>
          <w:rFonts w:ascii="Times New Roman" w:hAnsi="Times New Roman"/>
          <w:color w:val="000000"/>
          <w:sz w:val="24"/>
          <w:u w:val="single"/>
        </w:rPr>
        <w:t>Notes</w:t>
      </w:r>
      <w:r>
        <w:rPr>
          <w:rFonts w:ascii="Times New Roman" w:hAnsi="Times New Roman"/>
          <w:color w:val="000000"/>
          <w:sz w:val="24"/>
        </w:rPr>
        <w:t>”) or the purchase from the Company by the Purchaser of any new notes due 2032 or new notes due 2033) from the time the Purchaser was first contacted by the Company or any Agent with respect to the Transaction until after the confidential information (as described in the confirmatory email received by the Purchaser from any Agent (the “</w:t>
      </w:r>
      <w:r>
        <w:rPr>
          <w:rFonts w:ascii="Times New Roman" w:hAnsi="Times New Roman"/>
          <w:color w:val="000000"/>
          <w:sz w:val="24"/>
          <w:u w:val="single"/>
        </w:rPr>
        <w:t>Wall Cross Email</w:t>
      </w:r>
      <w:r>
        <w:rPr>
          <w:rFonts w:ascii="Times New Roman" w:hAnsi="Times New Roman"/>
          <w:color w:val="000000"/>
          <w:sz w:val="24"/>
        </w:rPr>
        <w:t>”)) is made public or the Purchaser’s confidentiality obligations described in the Wall Cross Email have expired.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3.9</w:t>
      </w:r>
      <w:r>
        <w:rPr>
          <w:rFonts w:ascii="Times New Roman" w:hAnsi="Times New Roman"/>
          <w:color w:val="000000"/>
          <w:sz w:val="20"/>
        </w:rPr>
        <w:t xml:space="preserve">      </w:t>
      </w:r>
      <w:r>
        <w:rPr>
          <w:rFonts w:ascii="Times New Roman" w:hAnsi="Times New Roman"/>
          <w:color w:val="000000"/>
          <w:sz w:val="24"/>
          <w:u w:val="single"/>
        </w:rPr>
        <w:t>Affiliate Status</w:t>
      </w:r>
      <w:r>
        <w:rPr>
          <w:rFonts w:ascii="Times New Roman" w:hAnsi="Times New Roman"/>
          <w:color w:val="000000"/>
          <w:sz w:val="24"/>
        </w:rPr>
        <w:t>.  The Purchaser is not directly, or indirectly through one or more intermediaries, controlling or controlled by, or under direct or indirect common control with, the Company and is not, and has not been for the immediately preceding three months, an “affiliate” (within the meaning of Rule 144 under the Securities Act) (an “</w:t>
      </w:r>
      <w:r>
        <w:rPr>
          <w:rFonts w:ascii="Times New Roman" w:hAnsi="Times New Roman"/>
          <w:color w:val="000000"/>
          <w:sz w:val="24"/>
          <w:u w:val="single"/>
        </w:rPr>
        <w:t>Affiliate</w:t>
      </w:r>
      <w:r>
        <w:rPr>
          <w:rFonts w:ascii="Times New Roman" w:hAnsi="Times New Roman"/>
          <w:color w:val="000000"/>
          <w:sz w:val="24"/>
        </w:rPr>
        <w:t>”) of the Company. The Purchaser and its Affiliates collectively beneficially own and will beneficially own as of the Closing Date (but without giving effect to the Transaction) (i) less than 5% of the outstanding Ordinary shares and (ii) less than 5% of the aggregate number of votes that may be cast by holders of those outstanding securities of the Company that entitle the holders thereof to vote generally on all matters submitted to the Company’s stockholders for a vote (the “</w:t>
      </w:r>
      <w:r>
        <w:rPr>
          <w:rFonts w:ascii="Times New Roman" w:hAnsi="Times New Roman"/>
          <w:color w:val="000000"/>
          <w:sz w:val="24"/>
          <w:u w:val="single"/>
        </w:rPr>
        <w:t>Voting Power</w:t>
      </w:r>
      <w:r>
        <w:rPr>
          <w:rFonts w:ascii="Times New Roman" w:hAnsi="Times New Roman"/>
          <w:color w:val="000000"/>
          <w:sz w:val="24"/>
        </w:rPr>
        <w:t>”). Immediately after the receipt by the Purchaser of Shares in the Transaction, the aggregate number of Ordinary shares owned by the Purchaser and its Affiliates, together with the aggregate number of shares equal to the notional value of any “long” derivative transaction relating to such Ordinary shares to which the Purchaser or its Affiliate is a party (excluding derivative transactions relating to broad-based indices and any interest in the Notes), will not exceed 4.9% of the outstanding Ordinary shares. The Purchaser is not and will not be as of the Closing Date, a subsidiary, Affiliate or, to its knowledge, otherwise closely related to any director or officer of the Company or beneficial owner of 5% or more of the outstanding Ordinary shares or Voting Power (each such director, officer or beneficial owner, a “</w:t>
      </w:r>
      <w:r>
        <w:rPr>
          <w:rFonts w:ascii="Times New Roman" w:hAnsi="Times New Roman"/>
          <w:color w:val="000000"/>
          <w:sz w:val="24"/>
          <w:u w:val="single"/>
        </w:rPr>
        <w:t>Related Party</w:t>
      </w:r>
      <w:r>
        <w:rPr>
          <w:rFonts w:ascii="Times New Roman" w:hAnsi="Times New Roman"/>
          <w:color w:val="000000"/>
          <w:sz w:val="24"/>
        </w:rPr>
        <w:t>”) and, to the Purchaser’s knowledge, no Related Party beneficially owns or as of the Closing Date shall beneficially own 5% or more of the outstanding voting equity, or votes entitled to be cast by the outstanding voting equity, of the Purchaser.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3.10</w:t>
      </w:r>
      <w:r>
        <w:rPr>
          <w:rFonts w:ascii="Times New Roman" w:hAnsi="Times New Roman"/>
          <w:color w:val="000000"/>
          <w:sz w:val="20"/>
        </w:rPr>
        <w:t xml:space="preserve">      </w:t>
      </w:r>
      <w:r>
        <w:rPr>
          <w:rFonts w:ascii="Times New Roman" w:hAnsi="Times New Roman"/>
          <w:color w:val="000000"/>
          <w:sz w:val="24"/>
          <w:u w:val="single"/>
        </w:rPr>
        <w:t>Represented Accounts</w:t>
      </w:r>
      <w:r>
        <w:rPr>
          <w:rFonts w:ascii="Times New Roman" w:hAnsi="Times New Roman"/>
          <w:color w:val="000000"/>
          <w:sz w:val="24"/>
        </w:rPr>
        <w:t>. If a Purchaser is acting on behalf of a Represented Account hereunder, such Purchaser has (i) sole investment discretion with respect to each such Represented Account, (ii) full power to make the foregoing representations, warranties and covenants on behalf of such Represented Account and (iii) the contractual authority to enter into this Agreement and to carry out the transactions contemplated hereby with respect to such Represented Account.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3.11</w:t>
      </w:r>
      <w:r>
        <w:rPr>
          <w:rFonts w:ascii="Times New Roman" w:hAnsi="Times New Roman"/>
          <w:color w:val="000000"/>
          <w:sz w:val="20"/>
        </w:rPr>
        <w:t xml:space="preserve">    </w:t>
      </w:r>
      <w:r>
        <w:rPr>
          <w:rFonts w:ascii="Times New Roman" w:hAnsi="Times New Roman"/>
          <w:color w:val="000000"/>
          <w:sz w:val="24"/>
          <w:u w:val="single"/>
        </w:rPr>
        <w:t>Qualified Institutional Buyer</w:t>
      </w:r>
      <w:r>
        <w:rPr>
          <w:rFonts w:ascii="Times New Roman" w:hAnsi="Times New Roman"/>
          <w:color w:val="000000"/>
          <w:sz w:val="24"/>
        </w:rPr>
        <w:t>. Such Purchaser and each Represented Account for which it is acting are each (i) a qualified institutional buyer (as defined in Rule 144A under the Securities Act) and (ii) an accredited investor (as defined in Rule 501 of Regulation D under the Securities Act) and, in the case of (ii), either (x) an institutional account as defined in FINRA Rule 4512(c) or (y) a qualified purchaser, as defined in Section 2(a)(51)(A) of the Investment Company Act, as amended. Accordingly, such Purchaser acknowledges that the Transaction meets the exemptions from filing under FINRA Rules 5123(b)(1)(A), (B), (C) or (J).</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3.12</w:t>
      </w:r>
      <w:r>
        <w:rPr>
          <w:rFonts w:ascii="Times New Roman" w:hAnsi="Times New Roman"/>
          <w:color w:val="000000"/>
          <w:sz w:val="20"/>
        </w:rPr>
        <w:t xml:space="preserve">     </w:t>
      </w:r>
      <w:r>
        <w:rPr>
          <w:rFonts w:ascii="Times New Roman" w:hAnsi="Times New Roman"/>
          <w:color w:val="000000"/>
          <w:sz w:val="24"/>
          <w:u w:val="single"/>
        </w:rPr>
        <w:t>Australia</w:t>
      </w:r>
      <w:r>
        <w:rPr>
          <w:rFonts w:ascii="Times New Roman" w:hAnsi="Times New Roman"/>
          <w:color w:val="000000"/>
          <w:sz w:val="24"/>
        </w:rPr>
        <w:t>. Each Purchaser acknowledges that no prospectus, product, disclosure statement, offering memorandum or other form of disclosure document will be lodged with the Australian Securities and Investments Commission in connection with the offer of the Shares. In addition, by applying for the Shares, the Purchaser acknowledges and undertakes that, for a period of 12 months from the date of issue of the Shares, it is not permitted to make an offer for sale of any Shares to any person in Australia for which disclosure would be required in accordance with Part 6D.2 or 7.9 of the Corporations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SECTION  4.</w:t>
      </w:r>
      <w:r>
        <w:rPr>
          <w:rFonts w:ascii="Times New Roman" w:hAnsi="Times New Roman"/>
          <w:color w:val="000000"/>
          <w:sz w:val="20"/>
        </w:rPr>
        <w:t xml:space="preserve">   </w:t>
      </w: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4.1</w:t>
      </w:r>
      <w:r>
        <w:rPr>
          <w:rFonts w:ascii="Times New Roman" w:hAnsi="Times New Roman"/>
          <w:color w:val="000000"/>
          <w:sz w:val="20"/>
        </w:rPr>
        <w:t xml:space="preserve">        </w:t>
      </w:r>
      <w:r>
        <w:rPr>
          <w:rFonts w:ascii="Times New Roman" w:hAnsi="Times New Roman"/>
          <w:color w:val="000000"/>
          <w:sz w:val="24"/>
          <w:u w:val="single"/>
        </w:rPr>
        <w:t>Conditions of Termination</w:t>
      </w:r>
      <w:r>
        <w:rPr>
          <w:rFonts w:ascii="Times New Roman" w:hAnsi="Times New Roman"/>
          <w:color w:val="000000"/>
          <w:sz w:val="24"/>
        </w:rPr>
        <w:t>. Notwithstanding anything to the contrary contained herein, with respect to any individual Purchaser, this Agreement may be terminated (a)  at any time before the Closing by mutual written agreement of the Company and the respective Purchaser, (b) by either Party if (i) the Closing shall not have occurred on or before December 15, 2025 or (ii) any governmental authority of competent jurisdiction shall have issued or entered any governmental order or taken any other action permanently restraining, enjoining or otherwise prohibiting or making illegal the consummation of any of the transactions contemplated herein.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4.2</w:t>
      </w:r>
      <w:r>
        <w:rPr>
          <w:rFonts w:ascii="Times New Roman" w:hAnsi="Times New Roman"/>
          <w:color w:val="000000"/>
          <w:sz w:val="20"/>
        </w:rPr>
        <w:t xml:space="preserve">       </w:t>
      </w:r>
      <w:r>
        <w:rPr>
          <w:rFonts w:ascii="Times New Roman" w:hAnsi="Times New Roman"/>
          <w:color w:val="000000"/>
          <w:sz w:val="24"/>
          <w:u w:val="single"/>
        </w:rPr>
        <w:t>Effect of Termination</w:t>
      </w:r>
      <w:r>
        <w:rPr>
          <w:rFonts w:ascii="Times New Roman" w:hAnsi="Times New Roman"/>
          <w:color w:val="000000"/>
          <w:sz w:val="24"/>
        </w:rPr>
        <w:t>. In the event of termination pursuant to Section  4.1 hereof, this Agreement shall become null and void with respect to any individual Purchaser and have no effect (other than this Section  4.2 and Section  5, which shall survive termination) with no liability on the part of the Company or the respective Purchaser, or their directors, officers, agents or stockholders, with respect to this Agreement, except for the liability of any willful or intentional breach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SECTION  5.</w:t>
      </w:r>
      <w:r>
        <w:rPr>
          <w:rFonts w:ascii="Times New Roman" w:hAnsi="Times New Roman"/>
          <w:color w:val="000000"/>
          <w:sz w:val="20"/>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color w:val="000000"/>
          <w:sz w:val="24"/>
          <w:u w:val="single"/>
        </w:rPr>
        <w:t>Further Assurances</w:t>
      </w:r>
      <w:r>
        <w:rPr>
          <w:rFonts w:ascii="Times New Roman" w:hAnsi="Times New Roman"/>
          <w:color w:val="000000"/>
          <w:sz w:val="24"/>
        </w:rPr>
        <w:t>. In case at any time after the Closing any further action is necessary or desirable to carry out the purposes of this Agreement or the transactions contemplated hereby, each of the Parties will take such further action (including the execution and delivery of such further instruments and documents) as the other Party may reasonably request, at the requesting Party’s expense.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5.2</w:t>
      </w:r>
      <w:r>
        <w:rPr>
          <w:rFonts w:ascii="Times New Roman" w:hAnsi="Times New Roman"/>
          <w:color w:val="000000"/>
          <w:sz w:val="20"/>
        </w:rPr>
        <w:t xml:space="preserve">      </w:t>
      </w:r>
      <w:r>
        <w:rPr>
          <w:rFonts w:ascii="Times New Roman" w:hAnsi="Times New Roman"/>
          <w:color w:val="000000"/>
          <w:sz w:val="24"/>
          <w:u w:val="single"/>
        </w:rPr>
        <w:t>Assignability</w:t>
      </w:r>
      <w:r>
        <w:rPr>
          <w:rFonts w:ascii="Times New Roman" w:hAnsi="Times New Roman"/>
          <w:color w:val="000000"/>
          <w:sz w:val="24"/>
        </w:rPr>
        <w:t>. Neither this Agreement nor any right, remedy, obligation or liability arising hereunder or by reason hereof shall be assignable by either the Company or a Purchaser without the prior written consent of the other party.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5.3</w:t>
      </w:r>
      <w:r>
        <w:rPr>
          <w:rFonts w:ascii="Times New Roman" w:hAnsi="Times New Roman"/>
          <w:color w:val="000000"/>
          <w:sz w:val="20"/>
        </w:rPr>
        <w:t xml:space="preserve">       </w:t>
      </w:r>
      <w:r>
        <w:rPr>
          <w:rFonts w:ascii="Times New Roman" w:hAnsi="Times New Roman"/>
          <w:color w:val="000000"/>
          <w:sz w:val="24"/>
          <w:u w:val="single"/>
        </w:rPr>
        <w:t>Counterparts</w:t>
      </w:r>
      <w:r>
        <w:rPr>
          <w:rFonts w:ascii="Times New Roman" w:hAnsi="Times New Roman"/>
          <w:color w:val="000000"/>
          <w:sz w:val="24"/>
        </w:rPr>
        <w:t>. This Agreement may be executed simultaneously in counterparts (including by means of facsimile or other electronic transmission), any one of which need not contain the signatures of more than one Party, but all such counterparts taken together shall constitute one and the same agreement. The words “execution,” “signed,” “signature” and words of like import in this Agreement or in any other certificate, agreement or document related to this Agreement shall include images of manually executed signatures transmitted by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UCC.</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5.4</w:t>
      </w:r>
      <w:r>
        <w:rPr>
          <w:rFonts w:ascii="Times New Roman" w:hAnsi="Times New Roman"/>
          <w:color w:val="000000"/>
          <w:sz w:val="20"/>
        </w:rPr>
        <w:t xml:space="preserve">      </w:t>
      </w:r>
      <w:r>
        <w:rPr>
          <w:rFonts w:ascii="Times New Roman" w:hAnsi="Times New Roman"/>
          <w:color w:val="000000"/>
          <w:sz w:val="24"/>
          <w:u w:val="single"/>
        </w:rPr>
        <w:t>Descriptive Headings; Interpretation</w:t>
      </w:r>
      <w:r>
        <w:rPr>
          <w:rFonts w:ascii="Times New Roman" w:hAnsi="Times New Roman"/>
          <w:color w:val="000000"/>
          <w:sz w:val="24"/>
        </w:rPr>
        <w:t xml:space="preserve">. The headings and captions used in this Agreement are for reference purposes only and shall not affect in any way the meaning or interpretation of this Agreement. Any capitalized terms used in </w:t>
      </w:r>
      <w:r>
        <w:rPr>
          <w:rFonts w:ascii="Times New Roman" w:hAnsi="Times New Roman"/>
          <w:color w:val="000000"/>
          <w:sz w:val="24"/>
          <w:u w:val="single"/>
        </w:rPr>
        <w:t>Schedule  A</w:t>
      </w:r>
      <w:r>
        <w:rPr>
          <w:rFonts w:ascii="Times New Roman" w:hAnsi="Times New Roman"/>
          <w:color w:val="000000"/>
          <w:sz w:val="24"/>
        </w:rPr>
        <w:t xml:space="preserve"> and not otherwise defined therein shall have the meanings set forth in this Agreement. The use of the word “including” herein shall mean “including without limitation”. The Parties intend that each representation, warranty and covenant contained herein shall have independent significance.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5.5</w:t>
      </w:r>
      <w:r>
        <w:rPr>
          <w:rFonts w:ascii="Times New Roman" w:hAnsi="Times New Roman"/>
          <w:color w:val="000000"/>
          <w:sz w:val="20"/>
        </w:rPr>
        <w:t xml:space="preserve">        </w:t>
      </w:r>
      <w:r>
        <w:rPr>
          <w:rFonts w:ascii="Times New Roman" w:hAnsi="Times New Roman"/>
          <w:color w:val="000000"/>
          <w:sz w:val="24"/>
          <w:u w:val="single"/>
        </w:rPr>
        <w:t>Entire Agreement</w:t>
      </w:r>
      <w:r>
        <w:rPr>
          <w:rFonts w:ascii="Times New Roman" w:hAnsi="Times New Roman"/>
          <w:color w:val="000000"/>
          <w:sz w:val="24"/>
        </w:rPr>
        <w:t>. This Agreement and the agreements and documents referred to herein contain the entire agreement and understanding among the Parties with respect to the subject matter hereof and supersede all prior agreements and understandings, whether written or oral, relating to such subject matter in any way.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5.6</w:t>
      </w:r>
      <w:r>
        <w:rPr>
          <w:rFonts w:ascii="Times New Roman" w:hAnsi="Times New Roman"/>
          <w:color w:val="000000"/>
          <w:sz w:val="20"/>
        </w:rPr>
        <w:t xml:space="preserve">       </w:t>
      </w:r>
      <w:r>
        <w:rPr>
          <w:rFonts w:ascii="Times New Roman" w:hAnsi="Times New Roman"/>
          <w:color w:val="000000"/>
          <w:sz w:val="24"/>
          <w:u w:val="single"/>
        </w:rPr>
        <w:t>Amendment</w:t>
      </w:r>
      <w:r>
        <w:rPr>
          <w:rFonts w:ascii="Times New Roman" w:hAnsi="Times New Roman"/>
          <w:color w:val="000000"/>
          <w:sz w:val="24"/>
        </w:rPr>
        <w:t>. This Agreement may be amended, modified, discharged, terminated or supplemented but only in writing (including a writing evidenced by a facsimile transmission or other electronic transmission) signed by the Party against which enforcement is sought.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5.7</w:t>
      </w:r>
      <w:r>
        <w:rPr>
          <w:rFonts w:ascii="Times New Roman" w:hAnsi="Times New Roman"/>
          <w:color w:val="000000"/>
          <w:sz w:val="20"/>
        </w:rPr>
        <w:t xml:space="preserve">        </w:t>
      </w:r>
      <w:r>
        <w:rPr>
          <w:rFonts w:ascii="Times New Roman" w:hAnsi="Times New Roman"/>
          <w:color w:val="000000"/>
          <w:sz w:val="24"/>
          <w:u w:val="single"/>
        </w:rPr>
        <w:t>Expenses</w:t>
      </w:r>
      <w:r>
        <w:rPr>
          <w:rFonts w:ascii="Times New Roman" w:hAnsi="Times New Roman"/>
          <w:color w:val="000000"/>
          <w:sz w:val="24"/>
        </w:rPr>
        <w:t>. Each Party will bear its own fees and expenses in connection with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5.8</w:t>
      </w:r>
      <w:r>
        <w:rPr>
          <w:rFonts w:ascii="Times New Roman" w:hAnsi="Times New Roman"/>
          <w:color w:val="000000"/>
          <w:sz w:val="20"/>
        </w:rPr>
        <w:t xml:space="preserve">       </w:t>
      </w:r>
      <w:r>
        <w:rPr>
          <w:rFonts w:ascii="Times New Roman" w:hAnsi="Times New Roman"/>
          <w:color w:val="000000"/>
          <w:sz w:val="24"/>
          <w:u w:val="single"/>
        </w:rPr>
        <w:t>APPLICABLE LAW; WAIVER OF JURY TRIAL</w:t>
      </w:r>
      <w:r>
        <w:rPr>
          <w:rFonts w:ascii="Times New Roman" w:hAnsi="Times New Roman"/>
          <w:color w:val="000000"/>
          <w:sz w:val="24"/>
        </w:rPr>
        <w:t>. THIS AGREEMENT, AND ANY CLAIM, COUNTERCLAIM OR DISPUTE OF ANY KIND OR NATURE WHATSOEVER ARISING OUT OF OR IN ANY WAY RELATING TO THIS AGREEMENT, SHALL BE GOVERNED BY AND CONSTRUED AND ENFORCED IN ACCORDANCE WITH THE LAWS OF THE STATE OF NEW YORK. THE PARTIES AGREE TO WAIVE ANY RIGHT TO TRIAL BY JURY IN ANY DISPUTE ARISING FROM OR RELATED TO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5.9</w:t>
      </w:r>
      <w:r>
        <w:rPr>
          <w:rFonts w:ascii="Times New Roman" w:hAnsi="Times New Roman"/>
          <w:color w:val="000000"/>
          <w:sz w:val="20"/>
        </w:rPr>
        <w:t xml:space="preserve">        </w:t>
      </w:r>
      <w:r>
        <w:rPr>
          <w:rFonts w:ascii="Times New Roman" w:hAnsi="Times New Roman"/>
          <w:color w:val="000000"/>
          <w:sz w:val="24"/>
          <w:u w:val="single"/>
        </w:rPr>
        <w:t>Submission to Jurisdiction</w:t>
      </w:r>
      <w:r>
        <w:rPr>
          <w:rFonts w:ascii="Times New Roman" w:hAnsi="Times New Roman"/>
          <w:color w:val="000000"/>
          <w:sz w:val="24"/>
        </w:rPr>
        <w:t>. Each Party agrees that any suit, action or proceeding brought by it against the other Party arising out of or based upon this Agreement or the transactions contemplated hereby shall be instituted exclusively in federal court in The City of New York, New York, and waives any objection which it may now or hereafter have to the laying of venue of any such proceeding. Each Party agrees that final judgment in any such suit, action or proceeding brought in such court shall be conclusive and binding upon the Company and the Purchasers, as applicable, and may be enforced in any court to the jurisdiction of which the applicable Party, is subject by a suit upon such judgment.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5.10</w:t>
      </w:r>
      <w:r>
        <w:rPr>
          <w:rFonts w:ascii="Times New Roman" w:hAnsi="Times New Roman"/>
          <w:color w:val="000000"/>
          <w:sz w:val="20"/>
        </w:rPr>
        <w:t xml:space="preserve">     </w:t>
      </w:r>
      <w:r>
        <w:rPr>
          <w:rFonts w:ascii="Times New Roman" w:hAnsi="Times New Roman"/>
          <w:color w:val="000000"/>
          <w:sz w:val="24"/>
          <w:u w:val="single"/>
        </w:rPr>
        <w:t>Survival</w:t>
      </w:r>
      <w:r>
        <w:rPr>
          <w:rFonts w:ascii="Times New Roman" w:hAnsi="Times New Roman"/>
          <w:color w:val="000000"/>
          <w:sz w:val="24"/>
        </w:rPr>
        <w:t>. All authority herein conferred or agreed to be conferred in this Agreement shall survive the dissolution of such Purchaser and any representation, warranty, undertaking and obligation of such Purchaser hereunder shall be binding upon the trustees in bankruptcy, legal representatives, successors and assigns of such Purchaser.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5.11</w:t>
      </w:r>
      <w:r>
        <w:rPr>
          <w:rFonts w:ascii="Times New Roman" w:hAnsi="Times New Roman"/>
          <w:color w:val="000000"/>
          <w:sz w:val="20"/>
        </w:rPr>
        <w:t xml:space="preserve">     </w:t>
      </w:r>
      <w:r>
        <w:rPr>
          <w:rFonts w:ascii="Times New Roman" w:hAnsi="Times New Roman"/>
          <w:color w:val="000000"/>
          <w:sz w:val="24"/>
          <w:u w:val="single"/>
        </w:rPr>
        <w:t>Notices</w:t>
      </w:r>
      <w:r>
        <w:rPr>
          <w:rFonts w:ascii="Times New Roman" w:hAnsi="Times New Roman"/>
          <w:color w:val="000000"/>
          <w:sz w:val="24"/>
        </w:rPr>
        <w:t>. All notices, demands or other communications to be given or delivered under or by reason of the provisions of this Agreement shall be in writing and shall be sent to the Company and the Purchasers at the addresses set forth below: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to the Company:</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55 Market Street, Level 6</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Sydney NSW 2000</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Australia</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Attention: LegalNotices@iren.com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to the Purchasers:</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To the address or addresses set forth</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on </w:t>
      </w:r>
      <w:r>
        <w:rPr>
          <w:rFonts w:ascii="Times New Roman" w:hAnsi="Times New Roman"/>
          <w:color w:val="000000"/>
          <w:sz w:val="24"/>
          <w:u w:val="single"/>
        </w:rPr>
        <w:t>Schedule  A</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5.12</w:t>
      </w:r>
      <w:r>
        <w:rPr>
          <w:rFonts w:ascii="Times New Roman" w:hAnsi="Times New Roman"/>
          <w:color w:val="000000"/>
          <w:sz w:val="20"/>
        </w:rPr>
        <w:t xml:space="preserve">     </w:t>
      </w:r>
      <w:r>
        <w:rPr>
          <w:rFonts w:ascii="Times New Roman" w:hAnsi="Times New Roman"/>
          <w:color w:val="000000"/>
          <w:sz w:val="24"/>
          <w:u w:val="single"/>
        </w:rPr>
        <w:t>Notification of Changes</w:t>
      </w:r>
      <w:r>
        <w:rPr>
          <w:rFonts w:ascii="Times New Roman" w:hAnsi="Times New Roman"/>
          <w:color w:val="000000"/>
          <w:sz w:val="24"/>
        </w:rPr>
        <w:t>. Each Purchaser hereby covenants and agrees to notify the Company upon the occurrence of any event prior to the Closing Date that would cause any representation, warranty or covenant of such Purchaser contained in this Agreement to be false or incorrect.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5.13</w:t>
      </w:r>
      <w:r>
        <w:rPr>
          <w:rFonts w:ascii="Times New Roman" w:hAnsi="Times New Roman"/>
          <w:color w:val="000000"/>
          <w:sz w:val="20"/>
        </w:rPr>
        <w:t xml:space="preserve">     </w:t>
      </w:r>
      <w:r>
        <w:rPr>
          <w:rFonts w:ascii="Times New Roman" w:hAnsi="Times New Roman"/>
          <w:color w:val="000000"/>
          <w:sz w:val="24"/>
          <w:u w:val="single"/>
        </w:rPr>
        <w:t>No Construction Against Draftsperson</w:t>
      </w:r>
      <w:r>
        <w:rPr>
          <w:rFonts w:ascii="Times New Roman" w:hAnsi="Times New Roman"/>
          <w:color w:val="000000"/>
          <w:sz w:val="24"/>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5.14</w:t>
      </w:r>
      <w:r>
        <w:rPr>
          <w:rFonts w:ascii="Times New Roman" w:hAnsi="Times New Roman"/>
          <w:color w:val="000000"/>
          <w:sz w:val="20"/>
        </w:rPr>
        <w:t xml:space="preserve">     </w:t>
      </w:r>
      <w:r>
        <w:rPr>
          <w:rFonts w:ascii="Times New Roman" w:hAnsi="Times New Roman"/>
          <w:color w:val="000000"/>
          <w:sz w:val="24"/>
          <w:u w:val="single"/>
        </w:rPr>
        <w:t>Non-Reliance by Purchaser</w:t>
      </w:r>
      <w:r>
        <w:rPr>
          <w:rFonts w:ascii="Times New Roman" w:hAnsi="Times New Roman"/>
          <w:color w:val="000000"/>
          <w:sz w:val="24"/>
        </w:rPr>
        <w:t>. Each Purchaser acknowledges that (i) it has not relied on any statement or information provided by any Agent concerning the Company or the Transaction in making its decision to purchase Shares, (ii) any Agent has not acted as a financial advisor or fiduciary with respect to the Purchaser and (iii) any Agent is not responsible for the accuracy, completeness or adequacy of any information supplied to the Purchaser by any Agent on behalf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4"/>
        </w:rPr>
        <w:t>5.15</w:t>
      </w:r>
      <w:r>
        <w:rPr>
          <w:rFonts w:ascii="Times New Roman" w:hAnsi="Times New Roman"/>
          <w:color w:val="000000"/>
          <w:sz w:val="20"/>
        </w:rPr>
        <w:t xml:space="preserve">    </w:t>
      </w:r>
      <w:r>
        <w:rPr>
          <w:rFonts w:ascii="Times New Roman" w:hAnsi="Times New Roman"/>
          <w:color w:val="000000"/>
          <w:sz w:val="24"/>
          <w:u w:val="single"/>
        </w:rPr>
        <w:t>Reliance by Agent</w:t>
      </w:r>
      <w:r>
        <w:rPr>
          <w:rFonts w:ascii="Times New Roman" w:hAnsi="Times New Roman"/>
          <w:color w:val="000000"/>
          <w:sz w:val="24"/>
        </w:rPr>
        <w:t>. Any Agent and its officers, directors, employees, agents and affiliates (collectively, “</w:t>
      </w:r>
      <w:r>
        <w:rPr>
          <w:rFonts w:ascii="Times New Roman" w:hAnsi="Times New Roman"/>
          <w:color w:val="000000"/>
          <w:sz w:val="24"/>
          <w:u w:val="single"/>
        </w:rPr>
        <w:t>Agent Parties</w:t>
      </w:r>
      <w:r>
        <w:rPr>
          <w:rFonts w:ascii="Times New Roman" w:hAnsi="Times New Roman"/>
          <w:color w:val="000000"/>
          <w:sz w:val="24"/>
        </w:rPr>
        <w:t>”) may rely on each representation and warranty of the Company and of each Purchaser made herein or pursuant to the terms hereof with the same force and effect as if such representation or warranty were made directly to the Agent Parties. The Agent Parties shall be a third-party beneficiary of this Agreement to the extent provided in this Section  5.15. Each Purchaser agrees that any Agent shall not have any liability (whether direct or indirect, in contract or tort or otherwise) to any Purchaser for or in connection with the Transaction, except for any such liability for losses, claims, damages or liabilities (or fees or expenses relating thereto) incurred by a Purchaser that are finally judicially determined to have resulted from the bad faith or gross negligence of any Agent.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 on next page)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Each person executing this document on behalf of a party states that they have no notice of revocation or suspension of their authority.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514db7a1d34f49b2bbf94c1962c3b513"/>
      <w:bookmarkStart w:id="15" w:name="z514db7a1d34f49b2bbf94c1962c3b513"/>
      <w:bookmarkEnd w:id="15"/>
    </w:p>
    <w:tbl>
      <w:tblPr>
        <w:tblW w:w="7160" w:type="dxa"/>
        <w:jc w:val="left"/>
        <w:tblInd w:w="0" w:type="dxa"/>
        <w:tblLayout w:type="fixed"/>
        <w:tblCellMar>
          <w:top w:w="0" w:type="dxa"/>
          <w:left w:w="0" w:type="dxa"/>
          <w:bottom w:w="0" w:type="dxa"/>
          <w:right w:w="0" w:type="dxa"/>
        </w:tblCellMar>
      </w:tblPr>
      <w:tblGrid>
        <w:gridCol w:w="7100"/>
        <w:gridCol w:w="60"/>
      </w:tblGrid>
      <w:tr>
        <w:trPr/>
        <w:tc>
          <w:tcPr>
            <w:tcW w:w="710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Agreed and Accepted By:</w:t>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both"/>
              <w:rPr>
                <w:rFonts w:ascii="Times New Roman" w:hAnsi="Times New Roman"/>
                <w:sz w:val="24"/>
              </w:rPr>
            </w:pPr>
            <w:r>
              <w:rPr>
                <w:rFonts w:ascii="Times New Roman" w:hAnsi="Times New Roman"/>
                <w:b/>
                <w:sz w:val="24"/>
              </w:rPr>
              <w:t xml:space="preserve">Executed </w:t>
            </w:r>
            <w:r>
              <w:rPr>
                <w:rFonts w:ascii="Times New Roman" w:hAnsi="Times New Roman"/>
                <w:sz w:val="24"/>
              </w:rPr>
              <w:t xml:space="preserve">in accordance with section 127 of the </w:t>
            </w:r>
            <w:r>
              <w:rPr>
                <w:rFonts w:ascii="Times New Roman" w:hAnsi="Times New Roman"/>
                <w:i/>
                <w:sz w:val="24"/>
              </w:rPr>
              <w:t xml:space="preserve">Corporations Act 2001 </w:t>
            </w:r>
            <w:r>
              <w:rPr>
                <w:rFonts w:ascii="Times New Roman" w:hAnsi="Times New Roman"/>
                <w:sz w:val="24"/>
              </w:rPr>
              <w:t>by</w:t>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both"/>
              <w:rPr>
                <w:rFonts w:ascii="Times New Roman" w:hAnsi="Times New Roman"/>
                <w:b/>
                <w:sz w:val="24"/>
              </w:rPr>
            </w:pPr>
            <w:r>
              <w:rPr>
                <w:rFonts w:ascii="Times New Roman" w:hAnsi="Times New Roman"/>
                <w:b/>
                <w:sz w:val="24"/>
              </w:rPr>
              <w:t>IREN Limited (ACN 629 842 799)</w:t>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r>
      <w:tr>
        <w:trPr/>
        <w:tc>
          <w:tcPr>
            <w:tcW w:w="7100" w:type="dxa"/>
            <w:tcBorders>
              <w:bottom w:val="single" w:sz="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left"/>
              <w:rPr>
                <w:sz w:val="24"/>
              </w:rPr>
            </w:pPr>
            <w:r>
              <w:rPr>
                <w:sz w:val="24"/>
              </w:rPr>
              <w:t>Director</w:t>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7100" w:type="dxa"/>
            <w:tcBorders>
              <w:bottom w:val="single" w:sz="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left"/>
              <w:rPr>
                <w:sz w:val="24"/>
              </w:rPr>
            </w:pPr>
            <w:r>
              <w:rPr>
                <w:sz w:val="24"/>
              </w:rPr>
              <w:t>Print Name</w:t>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7100" w:type="dxa"/>
            <w:tcBorders>
              <w:bottom w:val="single" w:sz="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left"/>
              <w:rPr>
                <w:sz w:val="24"/>
              </w:rPr>
            </w:pPr>
            <w:r>
              <w:rPr>
                <w:sz w:val="24"/>
              </w:rPr>
              <w:t>Director</w:t>
            </w:r>
          </w:p>
        </w:tc>
        <w:tc>
          <w:tcPr>
            <w:tcW w:w="60" w:type="dxa"/>
            <w:tcBorders/>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7100" w:type="dxa"/>
            <w:tcBorders>
              <w:bottom w:val="single" w:sz="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Print Name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to Share Purchase Agreement]</w:t>
      </w:r>
    </w:p>
    <w:p>
      <w:pPr>
        <w:pStyle w:val="TextBody"/>
        <w:bidi w:val="0"/>
        <w:spacing w:before="0" w:after="0"/>
        <w:jc w:val="center"/>
        <w:rPr>
          <w:rFonts w:ascii="Times New Roman" w:hAnsi="Times New Roman"/>
          <w:i/>
          <w:sz w:val="20"/>
        </w:rPr>
      </w:pPr>
      <w:r>
        <w:rPr>
          <w:rFonts w:ascii="Times New Roman" w:hAnsi="Times New Roman"/>
          <w:i/>
          <w:sz w:val="2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1a5217f4f6e2460a89c6008a62efd2d9"/>
      <w:bookmarkStart w:id="17" w:name="z1a5217f4f6e2460a89c6008a62efd2d9"/>
      <w:bookmarkEnd w:id="17"/>
    </w:p>
    <w:tbl>
      <w:tblPr>
        <w:tblW w:w="880" w:type="dxa"/>
        <w:jc w:val="left"/>
        <w:tblInd w:w="0" w:type="dxa"/>
        <w:tblLayout w:type="fixed"/>
        <w:tblCellMar>
          <w:top w:w="0" w:type="dxa"/>
          <w:left w:w="0" w:type="dxa"/>
          <w:bottom w:w="0" w:type="dxa"/>
          <w:right w:w="0" w:type="dxa"/>
        </w:tblCellMar>
      </w:tblPr>
      <w:tblGrid>
        <w:gridCol w:w="60"/>
        <w:gridCol w:w="500"/>
        <w:gridCol w:w="320"/>
      </w:tblGrid>
      <w:tr>
        <w:trPr/>
        <w:tc>
          <w:tcPr>
            <w:tcW w:w="60" w:type="dxa"/>
            <w:tcBorders/>
            <w:vAlign w:val="center"/>
          </w:tcPr>
          <w:p>
            <w:pPr>
              <w:pStyle w:val="TableContents"/>
              <w:bidi w:val="0"/>
              <w:spacing w:before="0" w:after="0"/>
              <w:jc w:val="left"/>
              <w:rPr/>
            </w:pPr>
            <w:r>
              <w:rPr/>
              <w:t> </w:t>
            </w:r>
          </w:p>
        </w:tc>
        <w:tc>
          <w:tcPr>
            <w:tcW w:w="820" w:type="dxa"/>
            <w:gridSpan w:val="2"/>
            <w:tcBorders/>
            <w:vAlign w:val="center"/>
          </w:tcPr>
          <w:p>
            <w:pPr>
              <w:pStyle w:val="TableContents"/>
              <w:bidi w:val="0"/>
              <w:spacing w:before="0" w:after="283"/>
              <w:jc w:val="left"/>
              <w:rPr>
                <w:sz w:val="24"/>
              </w:rPr>
            </w:pPr>
            <w:r>
              <w:rPr>
                <w:sz w:val="24"/>
              </w:rPr>
              <w:t>[●]</w:t>
            </w:r>
          </w:p>
        </w:tc>
      </w:tr>
      <w:tr>
        <w:trPr/>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left"/>
              <w:rPr/>
            </w:pPr>
            <w:r>
              <w:rPr>
                <w:rFonts w:ascii="Times New Roman" w:hAnsi="Times New Roman"/>
                <w:b/>
                <w:sz w:val="24"/>
              </w:rPr>
              <w:t>BY:</w:t>
            </w:r>
            <w:r>
              <w:rPr/>
              <w:t xml:space="preserve"> </w:t>
            </w:r>
          </w:p>
        </w:tc>
        <w:tc>
          <w:tcPr>
            <w:tcW w:w="32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w:t>
            </w:r>
          </w:p>
        </w:tc>
      </w:tr>
      <w:tr>
        <w:trPr/>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r>
    </w:tbl>
    <w:tbl>
      <w:tblPr>
        <w:tblW w:w="2830" w:type="dxa"/>
        <w:jc w:val="left"/>
        <w:tblInd w:w="0" w:type="dxa"/>
        <w:tblLayout w:type="fixed"/>
        <w:tblCellMar>
          <w:top w:w="0" w:type="dxa"/>
          <w:left w:w="0" w:type="dxa"/>
          <w:bottom w:w="0" w:type="dxa"/>
          <w:right w:w="0" w:type="dxa"/>
        </w:tblCellMar>
      </w:tblPr>
      <w:tblGrid>
        <w:gridCol w:w="60"/>
        <w:gridCol w:w="710"/>
        <w:gridCol w:w="2060"/>
      </w:tblGrid>
      <w:tr>
        <w:trPr/>
        <w:tc>
          <w:tcPr>
            <w:tcW w:w="6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2060"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rFonts w:ascii="Times New Roman" w:hAnsi="Times New Roman"/>
                <w:sz w:val="24"/>
              </w:rPr>
              <w:t>Name:</w:t>
            </w:r>
            <w:r>
              <w:rPr/>
              <w:t xml:space="preserve"> </w:t>
            </w:r>
          </w:p>
        </w:tc>
        <w:tc>
          <w:tcPr>
            <w:tcW w:w="206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w:t>
            </w:r>
          </w:p>
        </w:tc>
      </w:tr>
      <w:tr>
        <w:trPr/>
        <w:tc>
          <w:tcPr>
            <w:tcW w:w="6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Title:</w:t>
            </w:r>
          </w:p>
        </w:tc>
        <w:tc>
          <w:tcPr>
            <w:tcW w:w="206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Authorized Signatory</w:t>
            </w:r>
          </w:p>
        </w:tc>
      </w:tr>
    </w:tbl>
    <w:p>
      <w:pPr>
        <w:pStyle w:val="TextBody"/>
        <w:bidi w:val="0"/>
        <w:spacing w:before="0" w:after="0"/>
        <w:jc w:val="center"/>
        <w:rPr>
          <w:i/>
          <w:sz w:val="20"/>
        </w:rPr>
      </w:pPr>
      <w:r>
        <w:rPr>
          <w:i/>
          <w:sz w:val="20"/>
        </w:rPr>
      </w:r>
    </w:p>
    <w:p>
      <w:pPr>
        <w:pStyle w:val="TextBody"/>
        <w:bidi w:val="0"/>
        <w:spacing w:before="0" w:after="0"/>
        <w:jc w:val="center"/>
        <w:rPr>
          <w:rFonts w:ascii="Times New Roman" w:hAnsi="Times New Roman"/>
          <w:b w:val="false"/>
          <w:i/>
          <w:color w:val="000000"/>
          <w:sz w:val="20"/>
        </w:rPr>
      </w:pPr>
      <w:r>
        <w:rPr>
          <w:rFonts w:ascii="Times New Roman" w:hAnsi="Times New Roman"/>
          <w:b w:val="false"/>
          <w:i/>
          <w:color w:val="000000"/>
          <w:sz w:val="20"/>
        </w:rPr>
        <w:t>[Signature Page to Share Purchase Agreement]</w:t>
      </w:r>
    </w:p>
    <w:p>
      <w:pPr>
        <w:pStyle w:val="TextBody"/>
        <w:bidi w:val="0"/>
        <w:spacing w:before="0" w:after="0"/>
        <w:jc w:val="center"/>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a41ab2e2f3c447a7af5e15de047763d2"/>
      <w:bookmarkStart w:id="19" w:name="za41ab2e2f3c447a7af5e15de047763d2"/>
      <w:bookmarkEnd w:id="19"/>
    </w:p>
    <w:tbl>
      <w:tblPr>
        <w:tblW w:w="8670" w:type="dxa"/>
        <w:jc w:val="left"/>
        <w:tblInd w:w="0" w:type="dxa"/>
        <w:tblLayout w:type="fixed"/>
        <w:tblCellMar>
          <w:top w:w="28" w:type="dxa"/>
          <w:left w:w="28" w:type="dxa"/>
          <w:bottom w:w="0" w:type="dxa"/>
          <w:right w:w="0" w:type="dxa"/>
        </w:tblCellMar>
      </w:tblPr>
      <w:tblGrid>
        <w:gridCol w:w="3530"/>
        <w:gridCol w:w="3905"/>
        <w:gridCol w:w="1235"/>
      </w:tblGrid>
      <w:tr>
        <w:trPr/>
        <w:tc>
          <w:tcPr>
            <w:tcW w:w="353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390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235"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t> </w:t>
            </w:r>
          </w:p>
        </w:tc>
      </w:tr>
      <w:tr>
        <w:trPr/>
        <w:tc>
          <w:tcPr>
            <w:tcW w:w="3530" w:type="dxa"/>
            <w:tcBorders>
              <w:left w:val="single" w:sz="2" w:space="0" w:color="000000"/>
              <w:right w:val="single" w:sz="2" w:space="0" w:color="000000"/>
            </w:tcBorders>
            <w:tcMar>
              <w:top w:w="0" w:type="dxa"/>
              <w:right w:w="28" w:type="dxa"/>
            </w:tcMar>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Purchaser</w:t>
            </w:r>
          </w:p>
        </w:tc>
        <w:tc>
          <w:tcPr>
            <w:tcW w:w="3905" w:type="dxa"/>
            <w:tcBorders>
              <w:left w:val="single" w:sz="2" w:space="0" w:color="000000"/>
            </w:tcBorders>
            <w:tcMar>
              <w:top w:w="0" w:type="dxa"/>
            </w:tcMar>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Number of Shares</w:t>
            </w:r>
          </w:p>
        </w:tc>
        <w:tc>
          <w:tcPr>
            <w:tcW w:w="1235" w:type="dxa"/>
            <w:tcBorders>
              <w:left w:val="single" w:sz="2" w:space="0" w:color="000000"/>
              <w:right w:val="single" w:sz="2" w:space="0" w:color="000000"/>
            </w:tcBorders>
            <w:tcMar>
              <w:top w:w="0" w:type="dxa"/>
              <w:right w:w="28" w:type="dxa"/>
            </w:tcMar>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Cash Payment</w:t>
            </w:r>
          </w:p>
        </w:tc>
      </w:tr>
      <w:tr>
        <w:trPr/>
        <w:tc>
          <w:tcPr>
            <w:tcW w:w="3530" w:type="dxa"/>
            <w:tcBorders>
              <w:left w:val="single" w:sz="2" w:space="0" w:color="000000"/>
            </w:tcBorders>
            <w:tcMar>
              <w:top w:w="0" w:type="dxa"/>
            </w:tcMar>
            <w:vAlign w:val="center"/>
          </w:tcPr>
          <w:p>
            <w:pPr>
              <w:pStyle w:val="TableContents"/>
              <w:bidi w:val="0"/>
              <w:spacing w:before="0" w:after="283"/>
              <w:jc w:val="left"/>
              <w:rPr/>
            </w:pPr>
            <w:r>
              <w:rPr/>
              <w:t> </w:t>
            </w:r>
          </w:p>
        </w:tc>
        <w:tc>
          <w:tcPr>
            <w:tcW w:w="3905" w:type="dxa"/>
            <w:tcBorders>
              <w:left w:val="single" w:sz="2" w:space="0" w:color="000000"/>
            </w:tcBorders>
            <w:tcMar>
              <w:top w:w="0" w:type="dxa"/>
            </w:tcMar>
            <w:vAlign w:val="center"/>
          </w:tcPr>
          <w:p>
            <w:pPr>
              <w:pStyle w:val="TableContents"/>
              <w:bidi w:val="0"/>
              <w:spacing w:before="0" w:after="283"/>
              <w:jc w:val="left"/>
              <w:rPr/>
            </w:pPr>
            <w:r>
              <w:rPr/>
              <w:t> </w:t>
            </w:r>
          </w:p>
        </w:tc>
        <w:tc>
          <w:tcPr>
            <w:tcW w:w="1235" w:type="dxa"/>
            <w:tcBorders>
              <w:left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530" w:type="dxa"/>
            <w:tcBorders>
              <w:left w:val="single" w:sz="2" w:space="0" w:color="000000"/>
              <w:bottom w:val="single" w:sz="2" w:space="0" w:color="000000"/>
            </w:tcBorders>
            <w:tcMar>
              <w:top w:w="0" w:type="dxa"/>
              <w:bottom w:w="28"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(Name, Address, Email and Phone Number)</w:t>
            </w:r>
          </w:p>
        </w:tc>
        <w:tc>
          <w:tcPr>
            <w:tcW w:w="3905" w:type="dxa"/>
            <w:tcBorders>
              <w:left w:val="single" w:sz="2" w:space="0" w:color="000000"/>
              <w:bottom w:val="single" w:sz="2" w:space="0" w:color="000000"/>
            </w:tcBorders>
            <w:tcMar>
              <w:top w:w="0" w:type="dxa"/>
              <w:bottom w:w="28"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(number of Shares to be sold for Cash Payment)</w:t>
            </w:r>
          </w:p>
        </w:tc>
        <w:tc>
          <w:tcPr>
            <w:tcW w:w="123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283"/>
              <w:jc w:val="left"/>
              <w:rPr/>
            </w:pPr>
            <w:r>
              <w:rPr/>
              <w:t> </w:t>
            </w:r>
          </w:p>
        </w:tc>
      </w:tr>
      <w:tr>
        <w:trPr/>
        <w:tc>
          <w:tcPr>
            <w:tcW w:w="353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left"/>
              <w:rPr/>
            </w:pPr>
            <w:r>
              <w:rPr/>
              <w:t> </w:t>
            </w:r>
          </w:p>
        </w:tc>
        <w:tc>
          <w:tcPr>
            <w:tcW w:w="390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left"/>
              <w:rPr/>
            </w:pPr>
            <w:r>
              <w:rPr/>
              <w:t> </w:t>
            </w:r>
          </w:p>
        </w:tc>
        <w:tc>
          <w:tcPr>
            <w:tcW w:w="1235"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Company Wire Instructions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2"/>
          <w:u w:val="single"/>
        </w:rPr>
      </w:pPr>
      <w:r>
        <w:rPr>
          <w:rFonts w:ascii="Times New Roman" w:hAnsi="Times New Roman"/>
          <w:b/>
          <w:color w:val="000000"/>
          <w:sz w:val="22"/>
          <w:u w:val="single"/>
        </w:rPr>
        <w:t>Instructions and Purchase Procedures</w:t>
      </w:r>
    </w:p>
    <w:p>
      <w:pPr>
        <w:pStyle w:val="TextBody"/>
        <w:bidi w:val="0"/>
        <w:spacing w:before="0" w:after="0"/>
        <w:jc w:val="left"/>
        <w:rPr>
          <w:sz w:val="22"/>
        </w:rPr>
      </w:pPr>
      <w:r>
        <w:rPr>
          <w:sz w:val="22"/>
        </w:rPr>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Attached are Purchase Procedures for the purchase of ordinary shares, no par value, CUSIP Q4982L109 (the “</w:t>
      </w:r>
      <w:r>
        <w:rPr>
          <w:rFonts w:ascii="Times New Roman" w:hAnsi="Times New Roman"/>
          <w:b/>
          <w:color w:val="000000"/>
          <w:sz w:val="22"/>
        </w:rPr>
        <w:t>Shares</w:t>
      </w:r>
      <w:r>
        <w:rPr>
          <w:rFonts w:ascii="Times New Roman" w:hAnsi="Times New Roman"/>
          <w:color w:val="000000"/>
          <w:sz w:val="22"/>
        </w:rPr>
        <w:t>”) of IREN Limited (ACN 629 842 799), a corporation incorporated under the laws of Australia (the “</w:t>
      </w:r>
      <w:r>
        <w:rPr>
          <w:rFonts w:ascii="Times New Roman" w:hAnsi="Times New Roman"/>
          <w:b/>
          <w:color w:val="000000"/>
          <w:sz w:val="22"/>
        </w:rPr>
        <w:t>Company</w:t>
      </w:r>
      <w:r>
        <w:rPr>
          <w:rFonts w:ascii="Times New Roman" w:hAnsi="Times New Roman"/>
          <w:color w:val="000000"/>
          <w:sz w:val="22"/>
        </w:rPr>
        <w:t>”), for the Cash Payment (as defined in and pursuant to this Agreement between you and the Company), which is expected to occur on or about December 8, 2025.  To ensure timely settlement, please follow the instructions as set forth below.</w:t>
      </w:r>
    </w:p>
    <w:p>
      <w:pPr>
        <w:pStyle w:val="TextBody"/>
        <w:bidi w:val="0"/>
        <w:spacing w:before="0" w:after="0"/>
        <w:jc w:val="left"/>
        <w:rPr>
          <w:sz w:val="22"/>
        </w:rPr>
      </w:pPr>
      <w:r>
        <w:rPr>
          <w:sz w:val="22"/>
        </w:rPr>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These instructions supersede any prior instructions you received.  Your failure to comply with the attached instructions may delay your receipt of the Shares.</w:t>
      </w:r>
    </w:p>
    <w:p>
      <w:pPr>
        <w:pStyle w:val="TextBody"/>
        <w:bidi w:val="0"/>
        <w:spacing w:before="0" w:after="0"/>
        <w:jc w:val="left"/>
        <w:rPr>
          <w:sz w:val="22"/>
        </w:rPr>
      </w:pPr>
      <w:r>
        <w:rPr>
          <w:sz w:val="22"/>
        </w:rPr>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If you have any questions, please contact Mike Power (mike.power@iren.com).</w:t>
      </w:r>
    </w:p>
    <w:p>
      <w:pPr>
        <w:pStyle w:val="TextBody"/>
        <w:bidi w:val="0"/>
        <w:spacing w:before="0" w:after="0"/>
        <w:jc w:val="left"/>
        <w:rPr>
          <w:sz w:val="22"/>
        </w:rPr>
      </w:pPr>
      <w:r>
        <w:rPr>
          <w:sz w:val="22"/>
        </w:rPr>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To deliver Cash Payment:</w:t>
      </w:r>
    </w:p>
    <w:p>
      <w:pPr>
        <w:pStyle w:val="TextBody"/>
        <w:bidi w:val="0"/>
        <w:spacing w:before="0" w:after="0"/>
        <w:jc w:val="left"/>
        <w:rPr>
          <w:sz w:val="22"/>
        </w:rPr>
      </w:pPr>
      <w:r>
        <w:rPr>
          <w:sz w:val="22"/>
        </w:rPr>
      </w:r>
    </w:p>
    <w:p>
      <w:pPr>
        <w:pStyle w:val="TextBody"/>
        <w:bidi w:val="0"/>
        <w:spacing w:before="0" w:after="0"/>
        <w:jc w:val="left"/>
        <w:rPr>
          <w:rFonts w:ascii="Times New Roman" w:hAnsi="Times New Roman"/>
          <w:color w:val="000000"/>
          <w:sz w:val="22"/>
        </w:rPr>
      </w:pPr>
      <w:r>
        <w:rPr>
          <w:rFonts w:ascii="Times New Roman" w:hAnsi="Times New Roman"/>
          <w:color w:val="000000"/>
          <w:sz w:val="22"/>
        </w:rPr>
        <w:t>You must deliver to the Company the applicable Cash Payment by wire transfer of immediately available funds to the account of the Company</w:t>
      </w:r>
      <w:r>
        <w:rPr>
          <w:rFonts w:ascii="Times New Roman" w:hAnsi="Times New Roman"/>
          <w:b/>
          <w:color w:val="000000"/>
          <w:sz w:val="22"/>
        </w:rPr>
        <w:t>. You should initiate the wire transfer no later than 9:00 a.m. New York City Time on December 8, 2025.</w:t>
      </w:r>
    </w:p>
    <w:p>
      <w:pPr>
        <w:pStyle w:val="TextBody"/>
        <w:bidi w:val="0"/>
        <w:spacing w:before="0" w:after="0"/>
        <w:jc w:val="left"/>
        <w:rPr>
          <w:sz w:val="22"/>
        </w:rPr>
      </w:pPr>
      <w:r>
        <w:rPr>
          <w:sz w:val="22"/>
        </w:rPr>
      </w:r>
    </w:p>
    <w:p>
      <w:pPr>
        <w:pStyle w:val="TextBody"/>
        <w:bidi w:val="0"/>
        <w:spacing w:before="0" w:after="0"/>
        <w:jc w:val="left"/>
        <w:rPr>
          <w:rFonts w:ascii="Times New Roman" w:hAnsi="Times New Roman"/>
          <w:color w:val="000000"/>
          <w:sz w:val="20"/>
        </w:rPr>
      </w:pPr>
      <w:r>
        <w:rPr>
          <w:rFonts w:ascii="Times New Roman" w:hAnsi="Times New Roman"/>
          <w:b/>
          <w:color w:val="000000"/>
          <w:sz w:val="22"/>
        </w:rPr>
        <w:t>Important</w:t>
      </w:r>
      <w:r>
        <w:rPr>
          <w:rFonts w:ascii="Times New Roman" w:hAnsi="Times New Roman"/>
          <w:color w:val="000000"/>
          <w:sz w:val="22"/>
        </w:rPr>
        <w:t xml:space="preserve">: This share purchase is a separate transaction from the note repurchase transaction that will be closed concurrently on December 8, 2025.  For that reason, the Cash Payment payable by you for the Shares will not be netted against the cash consideration payable to you by the Company pursuant to the note repurchase.  However, the Company intends to use the proceeds from the share purchase transaction, together with proceeds from the concurrent transactions, to pay for the note repurchase payment.  </w:t>
      </w:r>
      <w:r>
        <w:rPr>
          <w:rFonts w:ascii="Times New Roman" w:hAnsi="Times New Roman"/>
          <w:b/>
          <w:color w:val="000000"/>
          <w:sz w:val="22"/>
        </w:rPr>
        <w:t>Accordingly, in order to ensure that both the share purchase and the note repurchase close on December 8, 2025, the Cash Payment should be sent as early as possible on December 8, 2025.</w:t>
      </w:r>
    </w:p>
    <w:p>
      <w:pPr>
        <w:pStyle w:val="TextBody"/>
        <w:bidi w:val="0"/>
        <w:spacing w:before="0" w:after="0"/>
        <w:jc w:val="left"/>
        <w:rPr>
          <w:sz w:val="22"/>
        </w:rPr>
      </w:pPr>
      <w:r>
        <w:rPr>
          <w:sz w:val="22"/>
        </w:rPr>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To receive Shares:</w:t>
      </w:r>
    </w:p>
    <w:p>
      <w:pPr>
        <w:pStyle w:val="TextBody"/>
        <w:bidi w:val="0"/>
        <w:spacing w:before="0" w:after="0"/>
        <w:jc w:val="left"/>
        <w:rPr>
          <w:sz w:val="22"/>
        </w:rPr>
      </w:pPr>
      <w:r>
        <w:rPr>
          <w:sz w:val="22"/>
        </w:rPr>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You must post, </w:t>
      </w:r>
      <w:r>
        <w:rPr>
          <w:rFonts w:ascii="Times New Roman" w:hAnsi="Times New Roman"/>
          <w:b/>
          <w:color w:val="000000"/>
          <w:sz w:val="22"/>
        </w:rPr>
        <w:t>no later than</w:t>
      </w:r>
      <w:r>
        <w:rPr>
          <w:rFonts w:ascii="Times New Roman" w:hAnsi="Times New Roman"/>
          <w:color w:val="000000"/>
          <w:sz w:val="22"/>
        </w:rPr>
        <w:t> </w:t>
      </w:r>
      <w:r>
        <w:rPr>
          <w:rFonts w:ascii="Times New Roman" w:hAnsi="Times New Roman"/>
          <w:b/>
          <w:color w:val="000000"/>
          <w:sz w:val="22"/>
        </w:rPr>
        <w:t>9:00 a.m, New York City time</w:t>
      </w:r>
      <w:r>
        <w:rPr>
          <w:rFonts w:ascii="Times New Roman" w:hAnsi="Times New Roman"/>
          <w:color w:val="000000"/>
          <w:sz w:val="22"/>
        </w:rPr>
        <w:t xml:space="preserve">, a deposit request for the Shares through the DTC via DWAC.  </w:t>
      </w:r>
      <w:r>
        <w:rPr>
          <w:rFonts w:ascii="Times New Roman" w:hAnsi="Times New Roman"/>
          <w:b/>
          <w:color w:val="000000"/>
          <w:sz w:val="22"/>
        </w:rPr>
        <w:t>It is important that this instruction be submitted and the DWAC posted on December 8, 2025</w:t>
      </w:r>
      <w:r>
        <w:rPr>
          <w:rFonts w:ascii="Times New Roman" w:hAnsi="Times New Roman"/>
          <w:color w:val="000000"/>
          <w:sz w:val="22"/>
        </w:rPr>
        <w:t>.</w:t>
      </w:r>
    </w:p>
    <w:p>
      <w:pPr>
        <w:pStyle w:val="TextBody"/>
        <w:bidi w:val="0"/>
        <w:spacing w:before="0" w:after="0"/>
        <w:jc w:val="left"/>
        <w:rPr>
          <w:sz w:val="22"/>
        </w:rPr>
      </w:pPr>
      <w:r>
        <w:rPr>
          <w:sz w:val="22"/>
        </w:rPr>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Closing</w:t>
      </w:r>
    </w:p>
    <w:p>
      <w:pPr>
        <w:pStyle w:val="TextBody"/>
        <w:bidi w:val="0"/>
        <w:spacing w:before="0" w:after="0"/>
        <w:jc w:val="left"/>
        <w:rPr>
          <w:sz w:val="22"/>
        </w:rPr>
      </w:pPr>
      <w:r>
        <w:rPr>
          <w:sz w:val="22"/>
        </w:rPr>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On December 8, 2025, after the Company receives your applicable Cash Payment as set forth above and a deposit request in respect of the Shares has been posted as specified above, and subject to the satisfaction of the conditions to Closing as set forth in this Agreement, the Company will deliver the Shares in accordance with the delivery instructions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 w:name="ze2c5e8453d314c6b850717247527008d"/>
      <w:bookmarkStart w:id="21" w:name="ze2c5e8453d314c6b850717247527008d"/>
      <w:bookmarkEnd w:id="21"/>
    </w:p>
    <w:tbl>
      <w:tblPr>
        <w:tblW w:w="10205" w:type="dxa"/>
        <w:jc w:val="left"/>
        <w:tblInd w:w="0" w:type="dxa"/>
        <w:tblLayout w:type="fixed"/>
        <w:tblCellMar>
          <w:top w:w="28" w:type="dxa"/>
          <w:left w:w="28" w:type="dxa"/>
          <w:bottom w:w="28" w:type="dxa"/>
          <w:right w:w="0" w:type="dxa"/>
        </w:tblCellMar>
      </w:tblPr>
      <w:tblGrid>
        <w:gridCol w:w="60"/>
        <w:gridCol w:w="10085"/>
        <w:gridCol w:w="60"/>
      </w:tblGrid>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jc w:val="left"/>
              <w:rPr>
                <w:rFonts w:ascii="Times New Roman" w:hAnsi="Times New Roman"/>
                <w:b/>
                <w:sz w:val="22"/>
              </w:rPr>
            </w:pPr>
            <w:r>
              <w:rPr>
                <w:rFonts w:ascii="Times New Roman" w:hAnsi="Times New Roman"/>
                <w:b/>
                <w:sz w:val="22"/>
              </w:rPr>
              <w:t>Purchaser:</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jc w:val="left"/>
              <w:rPr>
                <w:rFonts w:ascii="Times New Roman" w:hAnsi="Times New Roman"/>
                <w:b/>
                <w:sz w:val="22"/>
              </w:rPr>
            </w:pPr>
            <w:r>
              <w:rPr>
                <w:rFonts w:ascii="Times New Roman" w:hAnsi="Times New Roman"/>
                <w:b/>
                <w:sz w:val="22"/>
              </w:rPr>
              <w:t>Jurisdiction of Organization:</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jc w:val="left"/>
              <w:rPr>
                <w:rFonts w:ascii="Times New Roman" w:hAnsi="Times New Roman"/>
                <w:b/>
                <w:sz w:val="22"/>
              </w:rPr>
            </w:pPr>
            <w:r>
              <w:rPr>
                <w:rFonts w:ascii="Times New Roman" w:hAnsi="Times New Roman"/>
                <w:b/>
                <w:sz w:val="22"/>
              </w:rPr>
              <w:t>Address of Purchaser for Notices:</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jc w:val="left"/>
              <w:rPr>
                <w:rFonts w:ascii="Times New Roman" w:hAnsi="Times New Roman"/>
                <w:b/>
                <w:sz w:val="22"/>
              </w:rPr>
            </w:pPr>
            <w:r>
              <w:rPr>
                <w:rFonts w:ascii="Times New Roman" w:hAnsi="Times New Roman"/>
                <w:b/>
                <w:sz w:val="22"/>
              </w:rPr>
              <w:t>Nominee/Custodian (Name in which the Shares are to be registered if different than name of Purchaser):</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jc w:val="left"/>
              <w:rPr>
                <w:rFonts w:ascii="Times New Roman" w:hAnsi="Times New Roman"/>
                <w:b/>
                <w:sz w:val="22"/>
              </w:rPr>
            </w:pPr>
            <w:r>
              <w:rPr>
                <w:rFonts w:ascii="Times New Roman" w:hAnsi="Times New Roman"/>
                <w:b/>
                <w:sz w:val="22"/>
              </w:rPr>
              <w:t>Taxpayer Identification Number:</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jc w:val="left"/>
              <w:rPr>
                <w:rFonts w:ascii="Times New Roman" w:hAnsi="Times New Roman"/>
                <w:b/>
                <w:sz w:val="22"/>
              </w:rPr>
            </w:pPr>
            <w:r>
              <w:rPr>
                <w:rFonts w:ascii="Times New Roman" w:hAnsi="Times New Roman"/>
                <w:b/>
                <w:sz w:val="22"/>
              </w:rPr>
              <w:t>Accounts for Shares:</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ind w:left="691" w:right="0" w:hanging="0"/>
              <w:jc w:val="left"/>
              <w:rPr>
                <w:rFonts w:ascii="Times New Roman" w:hAnsi="Times New Roman"/>
                <w:sz w:val="22"/>
              </w:rPr>
            </w:pPr>
            <w:r>
              <w:rPr>
                <w:rFonts w:ascii="Times New Roman" w:hAnsi="Times New Roman"/>
                <w:sz w:val="22"/>
              </w:rPr>
              <w:t>DTC Participant Number:</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ind w:left="691" w:right="0" w:hanging="0"/>
              <w:jc w:val="left"/>
              <w:rPr>
                <w:rFonts w:ascii="Times New Roman" w:hAnsi="Times New Roman"/>
                <w:sz w:val="22"/>
              </w:rPr>
            </w:pPr>
            <w:r>
              <w:rPr>
                <w:rFonts w:ascii="Times New Roman" w:hAnsi="Times New Roman"/>
                <w:sz w:val="22"/>
              </w:rPr>
              <w:t>DTC Participant Name:</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ind w:left="691" w:right="0" w:hanging="0"/>
              <w:jc w:val="left"/>
              <w:rPr>
                <w:rFonts w:ascii="Times New Roman" w:hAnsi="Times New Roman"/>
                <w:sz w:val="22"/>
              </w:rPr>
            </w:pPr>
            <w:r>
              <w:rPr>
                <w:rFonts w:ascii="Times New Roman" w:hAnsi="Times New Roman"/>
                <w:sz w:val="22"/>
              </w:rPr>
              <w:t>DTC Participant Phone Number:</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ind w:left="691" w:right="0" w:hanging="0"/>
              <w:jc w:val="left"/>
              <w:rPr>
                <w:rFonts w:ascii="Times New Roman" w:hAnsi="Times New Roman"/>
                <w:sz w:val="22"/>
              </w:rPr>
            </w:pPr>
            <w:r>
              <w:rPr>
                <w:rFonts w:ascii="Times New Roman" w:hAnsi="Times New Roman"/>
                <w:sz w:val="22"/>
              </w:rPr>
              <w:t>DTC Participant Contact Email:</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- 2 -</w:t>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22" w:name="ef20060782_ex4-1.htm"/>
      <w:bookmarkStart w:id="23" w:name="ksef20060782_ex41"/>
      <w:bookmarkStart w:id="24" w:name="ef20060782_ex4-1.htm"/>
      <w:bookmarkStart w:id="25" w:name="ksef20060782_ex41"/>
      <w:bookmarkEnd w:id="24"/>
      <w:bookmarkEnd w:id="2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0" w:after="0"/>
        <w:jc w:val="right"/>
        <w:rPr>
          <w:sz w:val="20"/>
        </w:rPr>
      </w:pPr>
      <w:r>
        <w:rPr>
          <w:sz w:val="20"/>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Portions of this exhibit have been redacted in compliance with Item 601(a)(6) of Regulation S-K because disclosure would constitute a clearly unwarranted invasion of personal privacy. Redacted information is indicated by [***].</w:t>
      </w:r>
    </w:p>
    <w:p>
      <w:pPr>
        <w:pStyle w:val="TextBody"/>
        <w:bidi w:val="0"/>
        <w:spacing w:before="0" w:after="0"/>
        <w:jc w:val="left"/>
        <w:rPr/>
      </w:pPr>
      <w:r>
        <w:rPr/>
      </w:r>
    </w:p>
    <w:p>
      <w:pPr>
        <w:pStyle w:val="TextBody"/>
        <w:bidi w:val="0"/>
        <w:spacing w:before="0" w:after="0"/>
        <w:jc w:val="right"/>
        <w:rPr>
          <w:rFonts w:ascii="Times New Roman" w:hAnsi="Times New Roman"/>
          <w:b/>
          <w:i/>
          <w:color w:val="000000"/>
          <w:sz w:val="24"/>
        </w:rPr>
      </w:pPr>
      <w:r>
        <w:rPr>
          <w:rFonts w:ascii="Times New Roman" w:hAnsi="Times New Roman"/>
          <w:b/>
          <w:i/>
          <w:color w:val="000000"/>
          <w:sz w:val="24"/>
        </w:rPr>
        <w:t>Execution Version</w:t>
      </w:r>
    </w:p>
    <w:p>
      <w:pPr>
        <w:pStyle w:val="Normal"/>
        <w:bidi w:val="0"/>
        <w:spacing w:before="0" w:after="0"/>
        <w:jc w:val="left"/>
        <w:rPr>
          <w:sz w:val="4"/>
          <w:szCs w:val="4"/>
        </w:rPr>
      </w:pPr>
      <w:r>
        <w:rPr>
          <w:sz w:val="4"/>
          <w:szCs w:val="4"/>
        </w:rPr>
      </w:r>
      <w:bookmarkStart w:id="26" w:name="z11b9db28975c44cbbf3d67713ae87030"/>
      <w:bookmarkStart w:id="27" w:name="z11b9db28975c44cbbf3d67713ae87030"/>
      <w:bookmarkEnd w:id="27"/>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double" w:sz="8" w:space="0" w:color="000000"/>
            </w:tcBorders>
            <w:vAlign w:val="center"/>
          </w:tcPr>
          <w:p>
            <w:pPr>
              <w:pStyle w:val="TableContents"/>
              <w:bidi w:val="0"/>
              <w:spacing w:before="0" w:after="0"/>
              <w:jc w:val="right"/>
              <w:rPr>
                <w:rFonts w:ascii="Times New Roman" w:hAnsi="Times New Roman"/>
                <w:b/>
                <w:i/>
                <w:sz w:val="24"/>
              </w:rPr>
            </w:pPr>
            <w:r>
              <w:rPr>
                <w:rFonts w:ascii="Times New Roman" w:hAnsi="Times New Roman"/>
                <w:b/>
                <w:i/>
                <w:sz w:val="24"/>
              </w:rPr>
            </w:r>
          </w:p>
        </w:tc>
      </w:tr>
      <w:tr>
        <w:trPr/>
        <w:tc>
          <w:tcPr>
            <w:tcW w:w="60" w:type="dxa"/>
            <w:tcBorders>
              <w:bottom w:val="double" w:sz="8" w:space="0" w:color="000000"/>
            </w:tcBorders>
            <w:vAlign w:val="center"/>
          </w:tcPr>
          <w:p>
            <w:pPr>
              <w:pStyle w:val="TableContents"/>
              <w:bidi w:val="0"/>
              <w:spacing w:before="0" w:after="0"/>
              <w:jc w:val="left"/>
              <w:rPr/>
            </w:pPr>
            <w:r>
              <w:rPr/>
              <w:t> </w:t>
            </w:r>
          </w:p>
        </w:tc>
      </w:tr>
    </w:tbl>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IREN LIMITED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U.S. BANK TRUST COMPANY, NATIONAL ASSOCIATION</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as Trustee</w:t>
      </w:r>
    </w:p>
    <w:p>
      <w:pPr>
        <w:pStyle w:val="HorizontalLine"/>
        <w:pBdr>
          <w:bottom w:val="single" w:sz="12" w:space="0" w:color="808080"/>
        </w:pBdr>
        <w:bidi w:val="0"/>
        <w:jc w:val="left"/>
        <w:rPr/>
      </w:pPr>
      <w:r>
        <w:rPr/>
      </w:r>
    </w:p>
    <w:p>
      <w:pPr>
        <w:pStyle w:val="TextBody"/>
        <w:bidi w:val="0"/>
        <w:spacing w:before="0" w:after="0"/>
        <w:ind w:left="2520" w:right="2520" w:hanging="0"/>
        <w:jc w:val="center"/>
        <w:rPr>
          <w:rFonts w:ascii="Times New Roman" w:hAnsi="Times New Roman"/>
          <w:color w:val="000000"/>
          <w:sz w:val="24"/>
        </w:rPr>
      </w:pPr>
      <w:r>
        <w:rPr>
          <w:rFonts w:ascii="Times New Roman" w:hAnsi="Times New Roman"/>
          <w:color w:val="000000"/>
          <w:sz w:val="24"/>
        </w:rPr>
        <w:t>INDENTURE</w:t>
      </w:r>
    </w:p>
    <w:p>
      <w:pPr>
        <w:pStyle w:val="TextBody"/>
        <w:bidi w:val="0"/>
        <w:spacing w:before="0" w:after="0"/>
        <w:jc w:val="left"/>
        <w:rPr>
          <w:sz w:val="20"/>
        </w:rPr>
      </w:pPr>
      <w:r>
        <w:rPr>
          <w:sz w:val="20"/>
        </w:rPr>
      </w:r>
    </w:p>
    <w:p>
      <w:pPr>
        <w:pStyle w:val="TextBody"/>
        <w:bidi w:val="0"/>
        <w:spacing w:before="0" w:after="0"/>
        <w:ind w:left="2880" w:right="2880" w:hanging="0"/>
        <w:jc w:val="center"/>
        <w:rPr>
          <w:rFonts w:ascii="Times New Roman" w:hAnsi="Times New Roman"/>
          <w:color w:val="000000"/>
          <w:sz w:val="24"/>
        </w:rPr>
      </w:pPr>
      <w:r>
        <w:rPr>
          <w:rFonts w:ascii="Times New Roman" w:hAnsi="Times New Roman"/>
          <w:color w:val="000000"/>
          <w:sz w:val="24"/>
        </w:rPr>
        <w:t>Dated as of December 8, 2025</w:t>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0.25% Convertible Senior Notes due 2032</w:t>
      </w:r>
    </w:p>
    <w:p>
      <w:pPr>
        <w:pStyle w:val="Normal"/>
        <w:bidi w:val="0"/>
        <w:spacing w:before="0" w:after="0"/>
        <w:jc w:val="left"/>
        <w:rPr>
          <w:sz w:val="4"/>
          <w:szCs w:val="4"/>
        </w:rPr>
      </w:pPr>
      <w:r>
        <w:rPr>
          <w:sz w:val="4"/>
          <w:szCs w:val="4"/>
        </w:rPr>
      </w:r>
      <w:bookmarkStart w:id="28" w:name="z95f95ab3f4a049798d8d8b35f5f48c8a"/>
      <w:bookmarkStart w:id="29" w:name="z95f95ab3f4a049798d8d8b35f5f48c8a"/>
      <w:bookmarkEnd w:id="29"/>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double" w:sz="8" w:space="0" w:color="000000"/>
            </w:tcBorders>
            <w:vAlign w:val="center"/>
          </w:tcPr>
          <w:p>
            <w:pPr>
              <w:pStyle w:val="TableContents"/>
              <w:bidi w:val="0"/>
              <w:spacing w:before="0" w:after="0"/>
              <w:jc w:val="left"/>
              <w:rPr/>
            </w:pPr>
            <w:r>
              <w:rPr/>
              <w:t> </w:t>
            </w:r>
          </w:p>
        </w:tc>
      </w:tr>
      <w:tr>
        <w:trPr/>
        <w:tc>
          <w:tcPr>
            <w:tcW w:w="60" w:type="dxa"/>
            <w:tcBorders>
              <w:bottom w:val="doub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spacing w:before="0" w:after="0"/>
        <w:jc w:val="left"/>
        <w:rPr>
          <w:sz w:val="24"/>
        </w:rPr>
      </w:pPr>
      <w:r>
        <w:rPr>
          <w:sz w:val="24"/>
        </w:rPr>
      </w:r>
    </w:p>
    <w:p>
      <w:pPr>
        <w:pStyle w:val="Normal"/>
        <w:bidi w:val="0"/>
        <w:spacing w:before="0" w:after="0"/>
        <w:jc w:val="left"/>
        <w:rPr>
          <w:sz w:val="4"/>
          <w:szCs w:val="4"/>
        </w:rPr>
      </w:pPr>
      <w:r>
        <w:rPr>
          <w:sz w:val="4"/>
          <w:szCs w:val="4"/>
        </w:rPr>
      </w:r>
      <w:bookmarkStart w:id="30" w:name="z620e669fe5fc4c0e84a6af7192e70092"/>
      <w:bookmarkStart w:id="31" w:name="z620e669fe5fc4c0e84a6af7192e70092"/>
      <w:bookmarkEnd w:id="31"/>
    </w:p>
    <w:tbl>
      <w:tblPr>
        <w:tblW w:w="10205" w:type="dxa"/>
        <w:jc w:val="left"/>
        <w:tblInd w:w="0" w:type="dxa"/>
        <w:tblLayout w:type="fixed"/>
        <w:tblCellMar>
          <w:top w:w="0" w:type="dxa"/>
          <w:left w:w="0" w:type="dxa"/>
          <w:bottom w:w="0" w:type="dxa"/>
          <w:right w:w="0" w:type="dxa"/>
        </w:tblCellMar>
      </w:tblPr>
      <w:tblGrid>
        <w:gridCol w:w="60"/>
        <w:gridCol w:w="1033"/>
        <w:gridCol w:w="8596"/>
        <w:gridCol w:w="516"/>
      </w:tblGrid>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r>
          </w:p>
        </w:tc>
        <w:tc>
          <w:tcPr>
            <w:tcW w:w="8596"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0"/>
              <w:jc w:val="right"/>
              <w:rPr>
                <w:rFonts w:ascii="Times New Roman" w:hAnsi="Times New Roman"/>
                <w:b/>
                <w:sz w:val="24"/>
                <w:u w:val="single"/>
              </w:rPr>
            </w:pPr>
            <w:r>
              <w:rPr>
                <w:rFonts w:ascii="Times New Roman" w:hAnsi="Times New Roman"/>
                <w:b/>
                <w:sz w:val="24"/>
                <w:u w:val="single"/>
              </w:rPr>
              <w:t>Page</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8596"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9689" w:type="dxa"/>
            <w:gridSpan w:val="3"/>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Article 1. Definitions; Rules of Construction</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1.01.</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Definitions.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1.02.</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Other Definitions.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14</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1.03.</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Rules of Construction.</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14</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9689" w:type="dxa"/>
            <w:gridSpan w:val="3"/>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Article 2. The Notes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15</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2.01.</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Form, Dating and Denominations.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15</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2.02.</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Execution, Authentication and Delivery.</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16</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2.03.</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Initial Notes and Additional Notes.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16</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2.04.</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Method of Payment.</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17</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2.05.</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Accrual of Interest; Defaulted Amounts; When Payment Date is Not a Business Day.</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17</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2.06.</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Registrar, Paying Agent and Conversion Agent.</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18</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2.07.</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Paying Agent and Conversion Agent to Hold Property in Trust.</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19</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2.08.</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Holder Lists.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20</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2.09.</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Legends.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20</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2.10.</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Transfers and Exchanges; Certain Transfer Restrictions.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21</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2.11.</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Exchange and Cancellation of Notes to Be Converted or to Be Repurchased Pursuant to a Repurchase Upon Fundamental Change or Redemption.</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25</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2.12.</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Removal of Transfer Restrictions.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26</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2.13.</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Replacement Notes.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27</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2.14.</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Registered Holders; Certain Rights with Respect to Global Notes.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27</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2.15.</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Cancellation.</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27</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2.16.</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Notes Held by the Company or its Affiliates.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28</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2.17.</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Temporary Notes.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28</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2.18.</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Outstanding Notes.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28</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2.19.</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Repurchases by the Company.</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29</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2.20.</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CUSIP and ISIN Numbers.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29</w:t>
            </w:r>
          </w:p>
        </w:tc>
      </w:tr>
      <w:tr>
        <w:trPr/>
        <w:tc>
          <w:tcPr>
            <w:tcW w:w="9689" w:type="dxa"/>
            <w:gridSpan w:val="3"/>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9689"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3. Covenants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29</w:t>
            </w:r>
          </w:p>
        </w:tc>
      </w:tr>
      <w:tr>
        <w:trPr/>
        <w:tc>
          <w:tcPr>
            <w:tcW w:w="9689" w:type="dxa"/>
            <w:gridSpan w:val="3"/>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3.01.</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Payment on Notes.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29</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3.02.</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Exchange Act Reports.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30</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3.03.</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Rule 144A Information.</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30</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3.04.</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Additional Interest.</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30</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3.05.</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Additional Amounts.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33</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3.06.</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Compliance and Default Certificates.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35</w:t>
            </w:r>
          </w:p>
        </w:tc>
      </w:tr>
      <w:tr>
        <w:trPr/>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3.07.</w:t>
            </w:r>
          </w:p>
        </w:tc>
        <w:tc>
          <w:tcPr>
            <w:tcW w:w="8596"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Stay, Extension and Usury Laws.</w:t>
            </w:r>
          </w:p>
        </w:tc>
        <w:tc>
          <w:tcPr>
            <w:tcW w:w="51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3.08.</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Acquisition of Notes by the Company and its Affiliates.</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9689" w:type="dxa"/>
            <w:gridSpan w:val="3"/>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Article 4. Repurchase and Redemption</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4.01.</w:t>
            </w:r>
          </w:p>
        </w:tc>
        <w:tc>
          <w:tcPr>
            <w:tcW w:w="8596"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No Sinking Fund.</w:t>
            </w:r>
          </w:p>
        </w:tc>
        <w:tc>
          <w:tcPr>
            <w:tcW w:w="51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i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2" w:name="z38d9996c33b94a5eb6ccc93aa1927547"/>
      <w:bookmarkStart w:id="33" w:name="z38d9996c33b94a5eb6ccc93aa1927547"/>
      <w:bookmarkEnd w:id="33"/>
    </w:p>
    <w:tbl>
      <w:tblPr>
        <w:tblW w:w="10205" w:type="dxa"/>
        <w:jc w:val="left"/>
        <w:tblInd w:w="0" w:type="dxa"/>
        <w:tblLayout w:type="fixed"/>
        <w:tblCellMar>
          <w:top w:w="0" w:type="dxa"/>
          <w:left w:w="0" w:type="dxa"/>
          <w:bottom w:w="0" w:type="dxa"/>
          <w:right w:w="0" w:type="dxa"/>
        </w:tblCellMar>
      </w:tblPr>
      <w:tblGrid>
        <w:gridCol w:w="60"/>
        <w:gridCol w:w="1097"/>
        <w:gridCol w:w="8787"/>
        <w:gridCol w:w="261"/>
      </w:tblGrid>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4.02.</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Right of Holders to Require the Company to Repurchase Notes Upon a Fundamental Change.</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4.03.</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Right of the Company to Redeem the Notes.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41</w:t>
            </w:r>
          </w:p>
        </w:tc>
      </w:tr>
      <w:tr>
        <w:trPr/>
        <w:tc>
          <w:tcPr>
            <w:tcW w:w="9944" w:type="dxa"/>
            <w:gridSpan w:val="3"/>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9944"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5. The Conversion of Notes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46</w:t>
            </w:r>
          </w:p>
        </w:tc>
      </w:tr>
      <w:tr>
        <w:trPr/>
        <w:tc>
          <w:tcPr>
            <w:tcW w:w="9944" w:type="dxa"/>
            <w:gridSpan w:val="3"/>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5.01.</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Right to Convert.</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46</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5.02.</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Conversion Procedures.</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49</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5.03.</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Settlement Upon Conversion.</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51</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5.04.</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Status of Ordinary Shares Issued Upon Conversion.</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55</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5.05.</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Adjustments to the Conversion Rate.</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55</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5.06.</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Voluntary Adjustments.</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65</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5.07.</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Adjustments to the Conversion Rate in Connection with a Make-Whole Fundamental Change.</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66</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5.08.</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Exchange in Lieu of Conversion.</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67</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5.09.</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Effect of Ordinary Share Change Event.</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68</w:t>
            </w:r>
          </w:p>
        </w:tc>
      </w:tr>
      <w:tr>
        <w:trPr/>
        <w:tc>
          <w:tcPr>
            <w:tcW w:w="9944" w:type="dxa"/>
            <w:gridSpan w:val="3"/>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9944"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6. Successors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70</w:t>
            </w:r>
          </w:p>
        </w:tc>
      </w:tr>
      <w:tr>
        <w:trPr/>
        <w:tc>
          <w:tcPr>
            <w:tcW w:w="9944" w:type="dxa"/>
            <w:gridSpan w:val="3"/>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6.01.</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When the Company May Merge, Etc.</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70</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6.02.</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Successor Entity Substituted.</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70</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6.03.</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Exclusion for Asset Transfers with Wholly Owned Subsidiaries.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70</w:t>
            </w:r>
          </w:p>
        </w:tc>
      </w:tr>
      <w:tr>
        <w:trPr/>
        <w:tc>
          <w:tcPr>
            <w:tcW w:w="9944" w:type="dxa"/>
            <w:gridSpan w:val="3"/>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9944"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7. Defaults and Remedies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71</w:t>
            </w:r>
          </w:p>
        </w:tc>
      </w:tr>
      <w:tr>
        <w:trPr/>
        <w:tc>
          <w:tcPr>
            <w:tcW w:w="9944" w:type="dxa"/>
            <w:gridSpan w:val="3"/>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7.01.</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Events of Default.</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71</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7.02.</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Acceleration.</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73</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7.03.</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Sole Remedy for a Failure to Report.</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74</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7.04.</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Other Remedies.</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75</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7.05.</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Waiver of Past Defaults.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75</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7.06.</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Control by Majority.</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75</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7.07.</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Limitation on Suits.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76</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7.08.</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Absolute Right of Holders to Institute Suit for the Enforcement of the Right to Receive Payment and Conversion Consideration.</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76</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7.09.</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Collection Suit by Trustee.</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76</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7.10.</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Trustee May File Proofs of Claim.</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77</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7.11.</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Priorities.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77</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7.12.</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Undertaking for Costs.</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78</w:t>
            </w:r>
          </w:p>
        </w:tc>
      </w:tr>
      <w:tr>
        <w:trPr/>
        <w:tc>
          <w:tcPr>
            <w:tcW w:w="9944" w:type="dxa"/>
            <w:gridSpan w:val="3"/>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3"/>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Article 8. Amendments, Supplements and Waivers</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78</w:t>
            </w:r>
          </w:p>
        </w:tc>
      </w:tr>
      <w:tr>
        <w:trPr/>
        <w:tc>
          <w:tcPr>
            <w:tcW w:w="9944" w:type="dxa"/>
            <w:gridSpan w:val="3"/>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8.01.</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Without the Consent of Holders.</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78</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8.02.</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With the Consent of Holders.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79</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8.03.</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Notice of Amendments, Supplements and Waivers.</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80</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8.04.</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Revocation, Effect and Solicitation of Consents; Special Record Dates; Etc.</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80</w:t>
            </w:r>
          </w:p>
        </w:tc>
      </w:tr>
      <w:tr>
        <w:trPr/>
        <w:tc>
          <w:tcPr>
            <w:tcW w:w="6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8.05.</w:t>
            </w:r>
          </w:p>
        </w:tc>
        <w:tc>
          <w:tcPr>
            <w:tcW w:w="8787"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Notations and Exchanges.</w:t>
            </w:r>
          </w:p>
        </w:tc>
        <w:tc>
          <w:tcPr>
            <w:tcW w:w="261"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81</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8.06.</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Trustee to Execute Supplemental Indentures.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81</w:t>
            </w:r>
          </w:p>
        </w:tc>
      </w:tr>
      <w:tr>
        <w:trPr/>
        <w:tc>
          <w:tcPr>
            <w:tcW w:w="9944" w:type="dxa"/>
            <w:gridSpan w:val="3"/>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9944"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9. Satisfaction and Discharge</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81</w:t>
            </w:r>
          </w:p>
        </w:tc>
      </w:tr>
      <w:tr>
        <w:trPr/>
        <w:tc>
          <w:tcPr>
            <w:tcW w:w="9944" w:type="dxa"/>
            <w:gridSpan w:val="3"/>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9.01.</w:t>
            </w:r>
          </w:p>
        </w:tc>
        <w:tc>
          <w:tcPr>
            <w:tcW w:w="8787"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Termination of Company’s Obligations.</w:t>
            </w:r>
          </w:p>
        </w:tc>
        <w:tc>
          <w:tcPr>
            <w:tcW w:w="261"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ii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4" w:name="zd81f4ffb262044f996cb1208d8b3c08f"/>
      <w:bookmarkStart w:id="35" w:name="zd81f4ffb262044f996cb1208d8b3c08f"/>
      <w:bookmarkEnd w:id="35"/>
    </w:p>
    <w:tbl>
      <w:tblPr>
        <w:tblW w:w="9720" w:type="dxa"/>
        <w:jc w:val="left"/>
        <w:tblInd w:w="0" w:type="dxa"/>
        <w:tblLayout w:type="fixed"/>
        <w:tblCellMar>
          <w:top w:w="0" w:type="dxa"/>
          <w:left w:w="0" w:type="dxa"/>
          <w:bottom w:w="0" w:type="dxa"/>
          <w:right w:w="0" w:type="dxa"/>
        </w:tblCellMar>
      </w:tblPr>
      <w:tblGrid>
        <w:gridCol w:w="60"/>
        <w:gridCol w:w="1385"/>
        <w:gridCol w:w="8015"/>
        <w:gridCol w:w="260"/>
      </w:tblGrid>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9.02.</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Repayment to Company.</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82</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9.03.</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Reinstatement.</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82</w:t>
            </w:r>
          </w:p>
        </w:tc>
      </w:tr>
      <w:tr>
        <w:trPr/>
        <w:tc>
          <w:tcPr>
            <w:tcW w:w="946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9460"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10. Trustee</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83</w:t>
            </w:r>
          </w:p>
        </w:tc>
      </w:tr>
      <w:tr>
        <w:trPr/>
        <w:tc>
          <w:tcPr>
            <w:tcW w:w="946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10.01.</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Duties of the Trustee.</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83</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10.02.</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Rights of the Trustee.</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84</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10.03.</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Individual Rights of the Trustee.</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85</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10.04.</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Trustee’s Disclaimer.</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85</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10.05.</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Notice of Defaults.</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85</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10.06.</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Compensation and Indemnity.</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86</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10.07.</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Replacement of the Trustee.</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86</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10.08.</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Successor Trustee by Merger, Etc.</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87</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10.09.</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Eligibility; Disqualification.</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88</w:t>
            </w:r>
          </w:p>
        </w:tc>
      </w:tr>
      <w:tr>
        <w:trPr/>
        <w:tc>
          <w:tcPr>
            <w:tcW w:w="946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9460" w:type="dxa"/>
            <w:gridSpan w:val="3"/>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11. Miscellaneous</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88</w:t>
            </w:r>
          </w:p>
        </w:tc>
      </w:tr>
      <w:tr>
        <w:trPr/>
        <w:tc>
          <w:tcPr>
            <w:tcW w:w="946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11.01.</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Notices.</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88</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11.02.</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Delivery of Officer’s Certificate and Opinion of Counsel as to Conditions Precedent.</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90</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11.03.</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Statements Required in Officer’s Certificate and Opinion of Counsel.</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90</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11.04.</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Rules by the Trustee, the Registrar, the Paying Agent and the Conversion Agent.</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90</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11.05.</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No Personal Liability of Directors, Officers, Employees and Shareholders.</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90</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11.06.</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Governing Law; Waiver of Jury Trial.</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11.07.</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Submission to Jurisdiction.</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11.08.</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No Adverse Interpretation of Other Agreements.</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11.09.</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Successors.</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11.10.</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Force Majeure.</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11.11.</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U.S.A. PATRIOT Act.</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92</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11.12.</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Calculations.</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92</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11.13.</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Severability.</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92</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11.14.</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Counterparts; Electronic Signatures.</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92</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11.15.</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Table of Contents, Headings, Etc.</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93</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11.16.</w:t>
            </w:r>
          </w:p>
        </w:tc>
        <w:tc>
          <w:tcPr>
            <w:tcW w:w="801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Withholding Taxes.</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93</w:t>
            </w:r>
          </w:p>
        </w:tc>
      </w:tr>
      <w:tr>
        <w:trPr/>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11.17.</w:t>
            </w:r>
          </w:p>
        </w:tc>
        <w:tc>
          <w:tcPr>
            <w:tcW w:w="801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Service of Process.</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93</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ed76c837af014a1c8dc9c6a1ace2e78e"/>
      <w:bookmarkStart w:id="37" w:name="zed76c837af014a1c8dc9c6a1ace2e78e"/>
      <w:bookmarkEnd w:id="37"/>
    </w:p>
    <w:tbl>
      <w:tblPr>
        <w:tblW w:w="4825" w:type="dxa"/>
        <w:jc w:val="left"/>
        <w:tblInd w:w="0" w:type="dxa"/>
        <w:tblLayout w:type="fixed"/>
        <w:tblCellMar>
          <w:top w:w="0" w:type="dxa"/>
          <w:left w:w="0" w:type="dxa"/>
          <w:bottom w:w="0" w:type="dxa"/>
          <w:right w:w="0" w:type="dxa"/>
        </w:tblCellMar>
      </w:tblPr>
      <w:tblGrid>
        <w:gridCol w:w="4325"/>
        <w:gridCol w:w="500"/>
      </w:tblGrid>
      <w:tr>
        <w:trPr/>
        <w:tc>
          <w:tcPr>
            <w:tcW w:w="4325" w:type="dxa"/>
            <w:tcBorders/>
            <w:vAlign w:val="center"/>
          </w:tcPr>
          <w:p>
            <w:pPr>
              <w:pStyle w:val="TableContents"/>
              <w:bidi w:val="0"/>
              <w:spacing w:before="0" w:after="0"/>
              <w:jc w:val="both"/>
              <w:rPr>
                <w:b w:val="false"/>
                <w:i w:val="false"/>
                <w:caps w:val="false"/>
                <w:smallCaps w:val="false"/>
                <w:color w:val="000000"/>
                <w:sz w:val="24"/>
                <w:u w:val="single"/>
              </w:rPr>
            </w:pPr>
            <w:r>
              <w:rPr>
                <w:b w:val="false"/>
                <w:i w:val="false"/>
                <w:caps w:val="false"/>
                <w:smallCaps w:val="false"/>
                <w:color w:val="000000"/>
                <w:sz w:val="24"/>
                <w:u w:val="single"/>
              </w:rPr>
              <w:t>Exhibits</w:t>
            </w:r>
          </w:p>
        </w:tc>
        <w:tc>
          <w:tcPr>
            <w:tcW w:w="50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both"/>
              <w:rPr>
                <w:sz w:val="24"/>
              </w:rPr>
            </w:pPr>
            <w:r>
              <w:rPr>
                <w:sz w:val="24"/>
              </w:rPr>
              <w:t>Exhibit A: Form of Note</w:t>
            </w:r>
          </w:p>
        </w:tc>
        <w:tc>
          <w:tcPr>
            <w:tcW w:w="500" w:type="dxa"/>
            <w:tcBorders/>
            <w:shd w:fill="CCEEFF" w:val="clear"/>
            <w:vAlign w:val="center"/>
          </w:tcPr>
          <w:p>
            <w:pPr>
              <w:pStyle w:val="TableContents"/>
              <w:bidi w:val="0"/>
              <w:spacing w:before="0" w:after="0"/>
              <w:jc w:val="right"/>
              <w:rPr>
                <w:sz w:val="24"/>
              </w:rPr>
            </w:pPr>
            <w:r>
              <w:rPr>
                <w:sz w:val="24"/>
              </w:rPr>
              <w:t>A-1</w:t>
            </w:r>
          </w:p>
        </w:tc>
      </w:tr>
      <w:tr>
        <w:trPr/>
        <w:tc>
          <w:tcPr>
            <w:tcW w:w="4325" w:type="dxa"/>
            <w:tcBorders/>
            <w:vAlign w:val="center"/>
          </w:tcPr>
          <w:p>
            <w:pPr>
              <w:pStyle w:val="TableContents"/>
              <w:bidi w:val="0"/>
              <w:spacing w:before="0" w:after="0"/>
              <w:jc w:val="both"/>
              <w:rPr>
                <w:sz w:val="24"/>
              </w:rPr>
            </w:pPr>
            <w:r>
              <w:rPr>
                <w:sz w:val="24"/>
              </w:rPr>
              <w:t>Exhibit B-1: Form of Restricted Note Legend</w:t>
            </w:r>
          </w:p>
        </w:tc>
        <w:tc>
          <w:tcPr>
            <w:tcW w:w="500" w:type="dxa"/>
            <w:tcBorders/>
            <w:vAlign w:val="center"/>
          </w:tcPr>
          <w:p>
            <w:pPr>
              <w:pStyle w:val="TableContents"/>
              <w:bidi w:val="0"/>
              <w:spacing w:before="0" w:after="0"/>
              <w:jc w:val="right"/>
              <w:rPr>
                <w:sz w:val="24"/>
              </w:rPr>
            </w:pPr>
            <w:r>
              <w:rPr>
                <w:sz w:val="24"/>
              </w:rPr>
              <w:t>B1-1</w:t>
            </w:r>
          </w:p>
        </w:tc>
      </w:tr>
      <w:tr>
        <w:trPr/>
        <w:tc>
          <w:tcPr>
            <w:tcW w:w="4325" w:type="dxa"/>
            <w:tcBorders/>
            <w:shd w:fill="CCEEFF" w:val="clear"/>
            <w:vAlign w:val="center"/>
          </w:tcPr>
          <w:p>
            <w:pPr>
              <w:pStyle w:val="TableContents"/>
              <w:bidi w:val="0"/>
              <w:spacing w:before="0" w:after="0"/>
              <w:jc w:val="both"/>
              <w:rPr>
                <w:sz w:val="24"/>
              </w:rPr>
            </w:pPr>
            <w:r>
              <w:rPr>
                <w:sz w:val="24"/>
              </w:rPr>
              <w:t>Exhibit B-2: Form of Global Note Legend</w:t>
            </w:r>
          </w:p>
        </w:tc>
        <w:tc>
          <w:tcPr>
            <w:tcW w:w="500" w:type="dxa"/>
            <w:tcBorders/>
            <w:shd w:fill="CCEEFF" w:val="clear"/>
            <w:vAlign w:val="center"/>
          </w:tcPr>
          <w:p>
            <w:pPr>
              <w:pStyle w:val="TableContents"/>
              <w:bidi w:val="0"/>
              <w:spacing w:before="0" w:after="0"/>
              <w:jc w:val="right"/>
              <w:rPr>
                <w:sz w:val="24"/>
              </w:rPr>
            </w:pPr>
            <w:r>
              <w:rPr>
                <w:sz w:val="24"/>
              </w:rPr>
              <w:t>B2-1</w:t>
            </w:r>
          </w:p>
        </w:tc>
      </w:tr>
      <w:tr>
        <w:trPr/>
        <w:tc>
          <w:tcPr>
            <w:tcW w:w="4325" w:type="dxa"/>
            <w:tcBorders/>
            <w:vAlign w:val="center"/>
          </w:tcPr>
          <w:p>
            <w:pPr>
              <w:pStyle w:val="TableContents"/>
              <w:bidi w:val="0"/>
              <w:spacing w:before="0" w:after="0"/>
              <w:jc w:val="both"/>
              <w:rPr>
                <w:sz w:val="24"/>
              </w:rPr>
            </w:pPr>
            <w:r>
              <w:rPr>
                <w:sz w:val="24"/>
              </w:rPr>
              <w:t>Exhibit B-3: Form of Non-Affiliate Legend</w:t>
            </w:r>
          </w:p>
        </w:tc>
        <w:tc>
          <w:tcPr>
            <w:tcW w:w="500" w:type="dxa"/>
            <w:tcBorders/>
            <w:vAlign w:val="center"/>
          </w:tcPr>
          <w:p>
            <w:pPr>
              <w:pStyle w:val="TableContents"/>
              <w:bidi w:val="0"/>
              <w:spacing w:before="0" w:after="0"/>
              <w:jc w:val="right"/>
              <w:rPr>
                <w:sz w:val="24"/>
              </w:rPr>
            </w:pPr>
            <w:r>
              <w:rPr>
                <w:sz w:val="24"/>
              </w:rPr>
              <w:t>B3-1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iii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4"/>
        </w:rPr>
        <w:t>INDENTURE</w:t>
      </w:r>
      <w:r>
        <w:rPr>
          <w:rFonts w:ascii="Times New Roman" w:hAnsi="Times New Roman"/>
          <w:color w:val="000000"/>
          <w:sz w:val="24"/>
        </w:rPr>
        <w:t>, dated as of December 8, 2025, between IREN Limited (ACN 629 842 799), an Australian company, as issuer (the “</w:t>
      </w:r>
      <w:r>
        <w:rPr>
          <w:rFonts w:ascii="Times New Roman" w:hAnsi="Times New Roman"/>
          <w:b/>
          <w:color w:val="000000"/>
          <w:sz w:val="24"/>
        </w:rPr>
        <w:t>Company</w:t>
      </w:r>
      <w:r>
        <w:rPr>
          <w:rFonts w:ascii="Times New Roman" w:hAnsi="Times New Roman"/>
          <w:color w:val="000000"/>
          <w:sz w:val="24"/>
        </w:rPr>
        <w:t>”), and U.S. Bank Trust Company, National Association, as trustee (the “</w:t>
      </w:r>
      <w:r>
        <w:rPr>
          <w:rFonts w:ascii="Times New Roman" w:hAnsi="Times New Roman"/>
          <w:b/>
          <w:color w:val="000000"/>
          <w:sz w:val="24"/>
        </w:rPr>
        <w:t>Trustee</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party to this Indenture (as defined below) agrees as follows for the benefit of the other party and for the equal and ratable benefit of the Holders (as defined below) of the Company’s 0.25% Convertible Senior Notes due 2032 (the “</w:t>
      </w:r>
      <w:r>
        <w:rPr>
          <w:rFonts w:ascii="Times New Roman" w:hAnsi="Times New Roman"/>
          <w:b/>
          <w:color w:val="000000"/>
          <w:sz w:val="24"/>
        </w:rPr>
        <w:t>Notes</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Article 1.     DEFINITIONS; RULES OF CONSTRUCTION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1.01. Definitions.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Additional Interest</w:t>
      </w:r>
      <w:r>
        <w:rPr>
          <w:rFonts w:ascii="Times New Roman" w:hAnsi="Times New Roman"/>
          <w:color w:val="000000"/>
          <w:sz w:val="24"/>
        </w:rPr>
        <w:t xml:space="preserve">” means any interest that accrues on any Note pursuant to </w:t>
      </w:r>
      <w:r>
        <w:rPr>
          <w:rFonts w:ascii="Times New Roman" w:hAnsi="Times New Roman"/>
          <w:b/>
          <w:color w:val="000000"/>
          <w:sz w:val="24"/>
        </w:rPr>
        <w:t>Section 3.04</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Affiliate</w:t>
      </w:r>
      <w:r>
        <w:rPr>
          <w:rFonts w:ascii="Times New Roman" w:hAnsi="Times New Roman"/>
          <w:color w:val="000000"/>
          <w:sz w:val="24"/>
        </w:rPr>
        <w:t>” has the meaning set forth in Rule 144 as in effect on the Issue Date.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Authorized Denomination</w:t>
      </w:r>
      <w:r>
        <w:rPr>
          <w:rFonts w:ascii="Times New Roman" w:hAnsi="Times New Roman"/>
          <w:color w:val="000000"/>
          <w:sz w:val="24"/>
        </w:rPr>
        <w:t>” means, with respect to a Note, a principal amount thereof equal to $1,000 or any integral multiple of $1,000 in excess thereof.</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Bankruptcy Law</w:t>
      </w:r>
      <w:r>
        <w:rPr>
          <w:rFonts w:ascii="Times New Roman" w:hAnsi="Times New Roman"/>
          <w:color w:val="000000"/>
          <w:sz w:val="24"/>
        </w:rPr>
        <w:t>” means Title 11, United States Code, or any similar U.S. federal or state or non-U.S. law for the relief of debtors.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Bid Solicitation Agent</w:t>
      </w:r>
      <w:r>
        <w:rPr>
          <w:rFonts w:ascii="Times New Roman" w:hAnsi="Times New Roman"/>
          <w:color w:val="000000"/>
          <w:sz w:val="24"/>
        </w:rPr>
        <w:t xml:space="preserve">” means the Person who is required to obtain bids for the Trading Price in accordance with </w:t>
      </w:r>
      <w:r>
        <w:rPr>
          <w:rFonts w:ascii="Times New Roman" w:hAnsi="Times New Roman"/>
          <w:b/>
          <w:color w:val="000000"/>
          <w:sz w:val="24"/>
        </w:rPr>
        <w:t>Section 5.01(C)(i)(2)</w:t>
      </w:r>
      <w:r>
        <w:rPr>
          <w:rFonts w:ascii="Times New Roman" w:hAnsi="Times New Roman"/>
          <w:color w:val="000000"/>
          <w:sz w:val="24"/>
        </w:rPr>
        <w:t xml:space="preserve"> and the definition of “Trading Price.” The initial Bid Solicitation Agent on the Issue Date will be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Company may appoint any other Person (including any of the Company’s Subsidiaries) to be the Bid Solicitation Agent at any time after the Issue Date without prior notice.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Board of Directors</w:t>
      </w:r>
      <w:r>
        <w:rPr>
          <w:rFonts w:ascii="Times New Roman" w:hAnsi="Times New Roman"/>
          <w:color w:val="000000"/>
          <w:sz w:val="24"/>
        </w:rPr>
        <w:t>” means the board of directors of the Company or a committee of such board duly authorized to act on behalf of such board.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Business Day</w:t>
      </w:r>
      <w:r>
        <w:rPr>
          <w:rFonts w:ascii="Times New Roman" w:hAnsi="Times New Roman"/>
          <w:color w:val="000000"/>
          <w:sz w:val="24"/>
        </w:rPr>
        <w:t>” means any day other than a Saturday, a Sunday or any day on which the Federal Reserve Bank of New York is authorized or required by law or executive order to close or be closed.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Capital Stock</w:t>
      </w:r>
      <w:r>
        <w:rPr>
          <w:rFonts w:ascii="Times New Roman" w:hAnsi="Times New Roman"/>
          <w:color w:val="000000"/>
          <w:sz w:val="24"/>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Change in Tax Law</w:t>
      </w:r>
      <w:r>
        <w:rPr>
          <w:rFonts w:ascii="Times New Roman" w:hAnsi="Times New Roman"/>
          <w:color w:val="000000"/>
          <w:sz w:val="24"/>
        </w:rPr>
        <w:t>” means any change or amendment in the laws, rules or regulations of a Relevant Taxing Jurisdiction, or any change in an official written interpretation, administration or application of such laws, rules or regulations by any legislative body, court, governmental taxing authority or regulatory or administrative authority of such Relevant Taxing Jurisdiction (including the enactment of any legislation and the publication of any judicial decision or regulatory or administrative interpretation or determination) affecting taxation, which change or amendment (A) had not been theretofore publicly announced; and (B) becomes effective (including becoming effective retrospectively) on or after December 2, 2025 (or, if the Relevant Taxing Jurisdiction was not a Relevant Taxing Jurisdiction on such date, the date on which such Relevant Taxing Jurisdiction became a Relevant Taxing Jurisdiction).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Close of Business</w:t>
      </w:r>
      <w:r>
        <w:rPr>
          <w:rFonts w:ascii="Times New Roman" w:hAnsi="Times New Roman"/>
          <w:color w:val="000000"/>
          <w:sz w:val="24"/>
        </w:rPr>
        <w:t>” means 5:00 p.m., New York City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Common Equity</w:t>
      </w:r>
      <w:r>
        <w:rPr>
          <w:rFonts w:ascii="Times New Roman" w:hAnsi="Times New Roman"/>
          <w:color w:val="000000"/>
          <w:sz w:val="24"/>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Company</w:t>
      </w:r>
      <w:r>
        <w:rPr>
          <w:rFonts w:ascii="Times New Roman" w:hAnsi="Times New Roman"/>
          <w:color w:val="000000"/>
          <w:sz w:val="24"/>
        </w:rPr>
        <w:t xml:space="preserve">” means the Person named as such in the first paragraph of this Indenture and, subject to </w:t>
      </w:r>
      <w:r>
        <w:rPr>
          <w:rFonts w:ascii="Times New Roman" w:hAnsi="Times New Roman"/>
          <w:b/>
          <w:color w:val="000000"/>
          <w:sz w:val="24"/>
        </w:rPr>
        <w:t>Article 6</w:t>
      </w:r>
      <w:r>
        <w:rPr>
          <w:rFonts w:ascii="Times New Roman" w:hAnsi="Times New Roman"/>
          <w:color w:val="000000"/>
          <w:sz w:val="24"/>
        </w:rPr>
        <w:t>, its successors and assigns.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Company Order</w:t>
      </w:r>
      <w:r>
        <w:rPr>
          <w:rFonts w:ascii="Times New Roman" w:hAnsi="Times New Roman"/>
          <w:color w:val="000000"/>
          <w:sz w:val="24"/>
        </w:rPr>
        <w:t>” means a written request or order signed on behalf of the Company by one (1) of its Officers and delivered to the Trustee.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w:t>
      </w:r>
      <w:r>
        <w:rPr>
          <w:rFonts w:ascii="Times New Roman" w:hAnsi="Times New Roman"/>
          <w:color w:val="000000"/>
          <w:sz w:val="24"/>
        </w:rPr>
        <w:t xml:space="preserve">” means, with respect to any Note, the conversion of such note pursuant to </w:t>
      </w:r>
      <w:r>
        <w:rPr>
          <w:rFonts w:ascii="Times New Roman" w:hAnsi="Times New Roman"/>
          <w:b/>
          <w:color w:val="000000"/>
          <w:sz w:val="24"/>
        </w:rPr>
        <w:t>Article 5</w:t>
      </w:r>
      <w:r>
        <w:rPr>
          <w:rFonts w:ascii="Times New Roman" w:hAnsi="Times New Roman"/>
          <w:color w:val="000000"/>
          <w:sz w:val="24"/>
        </w:rPr>
        <w:t xml:space="preserve"> into Conversion Consideration. The terms “Convert,” “Converted,” “Convertible,” “Converting” and similar capitalized terms have meanings correlative to the foregoing.</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 Date</w:t>
      </w:r>
      <w:r>
        <w:rPr>
          <w:rFonts w:ascii="Times New Roman" w:hAnsi="Times New Roman"/>
          <w:color w:val="000000"/>
          <w:sz w:val="24"/>
        </w:rPr>
        <w:t xml:space="preserve">” means, with respect to a Note, the first Business Day on which the requirements set forth in </w:t>
      </w:r>
      <w:r>
        <w:rPr>
          <w:rFonts w:ascii="Times New Roman" w:hAnsi="Times New Roman"/>
          <w:b/>
          <w:color w:val="000000"/>
          <w:sz w:val="24"/>
        </w:rPr>
        <w:t>Section 5.02(A)</w:t>
      </w:r>
      <w:r>
        <w:rPr>
          <w:rFonts w:ascii="Times New Roman" w:hAnsi="Times New Roman"/>
          <w:color w:val="000000"/>
          <w:sz w:val="24"/>
        </w:rPr>
        <w:t xml:space="preserve"> to Convert such Note are satisfied, subject to </w:t>
      </w:r>
      <w:r>
        <w:rPr>
          <w:rFonts w:ascii="Times New Roman" w:hAnsi="Times New Roman"/>
          <w:b/>
          <w:color w:val="000000"/>
          <w:sz w:val="24"/>
        </w:rPr>
        <w:t>Section 5.03(C)</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 Price</w:t>
      </w:r>
      <w:r>
        <w:rPr>
          <w:rFonts w:ascii="Times New Roman" w:hAnsi="Times New Roman"/>
          <w:color w:val="000000"/>
          <w:sz w:val="24"/>
        </w:rPr>
        <w:t xml:space="preserve">” means, as of any time, an amount equal to (A) one thousand dollars ($1,000) </w:t>
      </w:r>
      <w:r>
        <w:rPr>
          <w:rFonts w:ascii="Times New Roman" w:hAnsi="Times New Roman"/>
          <w:i/>
          <w:color w:val="000000"/>
          <w:sz w:val="24"/>
        </w:rPr>
        <w:t>divided by</w:t>
      </w:r>
      <w:r>
        <w:rPr>
          <w:rFonts w:ascii="Times New Roman" w:hAnsi="Times New Roman"/>
          <w:color w:val="000000"/>
          <w:sz w:val="24"/>
        </w:rPr>
        <w:t xml:space="preserve"> (B) the Conversion Rate in effect at such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 Rate</w:t>
      </w:r>
      <w:r>
        <w:rPr>
          <w:rFonts w:ascii="Times New Roman" w:hAnsi="Times New Roman"/>
          <w:color w:val="000000"/>
          <w:sz w:val="24"/>
        </w:rPr>
        <w:t xml:space="preserve">” initially means 19.4553 Ordinary Shares per $1,000 principal amount of 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Conversion Rate is subject to adjustment pursuant to </w:t>
      </w:r>
      <w:r>
        <w:rPr>
          <w:rFonts w:ascii="Times New Roman" w:hAnsi="Times New Roman"/>
          <w:b/>
          <w:color w:val="000000"/>
          <w:sz w:val="24"/>
        </w:rPr>
        <w:t>Article 5</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whenever this Indenture refers to the Conversion Rate as of a particular date without setting forth a particular time on such date, such reference will be deemed to be to the Conversion Rate immediately after the Close of Business on such date.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 Share</w:t>
      </w:r>
      <w:r>
        <w:rPr>
          <w:rFonts w:ascii="Times New Roman" w:hAnsi="Times New Roman"/>
          <w:color w:val="000000"/>
          <w:sz w:val="24"/>
        </w:rPr>
        <w:t>” means any Ordinary Share issued or issuable upon Conversion of any Note.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Cash Amount</w:t>
      </w:r>
      <w:r>
        <w:rPr>
          <w:rFonts w:ascii="Times New Roman" w:hAnsi="Times New Roman"/>
          <w:color w:val="000000"/>
          <w:sz w:val="24"/>
        </w:rPr>
        <w:t>” means, with respect to any VWAP Trading Day, the lesser of (A) the applicable Daily Maximum Cash Amount; and (B) the Daily Conversion Value for such VWAP Trading Day.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Conversion Value</w:t>
      </w:r>
      <w:r>
        <w:rPr>
          <w:rFonts w:ascii="Times New Roman" w:hAnsi="Times New Roman"/>
          <w:color w:val="000000"/>
          <w:sz w:val="24"/>
        </w:rPr>
        <w:t>” means, with respect to any VWAP Trading Day, one-thirtieth (1/30th) of the product of (A) the Conversion Rate on such VWAP Trading Day; and (B) the Daily VWAP per Ordinary Share on such VWAP Trading Day.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Maximum Cash Amount</w:t>
      </w:r>
      <w:r>
        <w:rPr>
          <w:rFonts w:ascii="Times New Roman" w:hAnsi="Times New Roman"/>
          <w:color w:val="000000"/>
          <w:sz w:val="24"/>
        </w:rPr>
        <w:t>” means, with respect to the Conversion of any Note, the quotient obtained by dividing (A) the Specified Dollar Amount applicable to such Conversion by (B) thirty (30).</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Share Amount</w:t>
      </w:r>
      <w:r>
        <w:rPr>
          <w:rFonts w:ascii="Times New Roman" w:hAnsi="Times New Roman"/>
          <w:color w:val="000000"/>
          <w:sz w:val="24"/>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VWAP</w:t>
      </w:r>
      <w:r>
        <w:rPr>
          <w:rFonts w:ascii="Times New Roman" w:hAnsi="Times New Roman"/>
          <w:color w:val="000000"/>
          <w:sz w:val="24"/>
        </w:rPr>
        <w:t>” means, for any VWAP Trading Day, the per share volume-weighted average price of the Ordinary Shares as displayed under the heading “Bloomberg VWAP” on Bloomberg page “IREN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Ordinary Share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De-Legending Deadline Date</w:t>
      </w:r>
      <w:r>
        <w:rPr>
          <w:rFonts w:ascii="Times New Roman" w:hAnsi="Times New Roman"/>
          <w:color w:val="000000"/>
          <w:sz w:val="24"/>
        </w:rPr>
        <w:t xml:space="preserve">” means, with respect to any Note, the fifteenth (15th) day after the Free Trade Date of such Note;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De-Legending Deadline Date determined as aforesaid would be after a Regular Record Date and before the fifth (5th) Business Day immediately after the next Interest Payment Date, then the De-Legending Deadline Date for such Note will instead be the fifth (5th) Business Day immediately after such Interest Payment Date.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Default</w:t>
      </w:r>
      <w:r>
        <w:rPr>
          <w:rFonts w:ascii="Times New Roman" w:hAnsi="Times New Roman"/>
          <w:color w:val="000000"/>
          <w:sz w:val="24"/>
        </w:rPr>
        <w:t>” means any event that is (or, after notice, passage of time or both, would be) an Event of Default.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Default Settlement Method</w:t>
      </w:r>
      <w:r>
        <w:rPr>
          <w:rFonts w:ascii="Times New Roman" w:hAnsi="Times New Roman"/>
          <w:color w:val="000000"/>
          <w:sz w:val="24"/>
        </w:rPr>
        <w:t xml:space="preserve">” means Combination Settlement with a Specified Dollar Amount of $1,000 per $1,000 principal amount of 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(x) subject to </w:t>
      </w:r>
      <w:r>
        <w:rPr>
          <w:rFonts w:ascii="Times New Roman" w:hAnsi="Times New Roman"/>
          <w:b/>
          <w:color w:val="000000"/>
          <w:sz w:val="24"/>
        </w:rPr>
        <w:t>Section 5.03(A)(iii)</w:t>
      </w:r>
      <w:r>
        <w:rPr>
          <w:rFonts w:ascii="Times New Roman" w:hAnsi="Times New Roman"/>
          <w:color w:val="000000"/>
          <w:sz w:val="24"/>
        </w:rPr>
        <w:t xml:space="preserve">, the Company may, from time to time, change the Default Settlement Method by sending notice of the new Default Settlement Method to the Holders, the Trustee and the Conversion Agent; and (y) the Default Settlement Method will be subject to </w:t>
      </w:r>
      <w:r>
        <w:rPr>
          <w:rFonts w:ascii="Times New Roman" w:hAnsi="Times New Roman"/>
          <w:b/>
          <w:color w:val="000000"/>
          <w:sz w:val="24"/>
        </w:rPr>
        <w:t>Section 5.03(A)(ii)</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Depositary</w:t>
      </w:r>
      <w:r>
        <w:rPr>
          <w:rFonts w:ascii="Times New Roman" w:hAnsi="Times New Roman"/>
          <w:color w:val="000000"/>
          <w:sz w:val="24"/>
        </w:rPr>
        <w:t>” means The Depository Trust Company or its successor.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Depositary Participant</w:t>
      </w:r>
      <w:r>
        <w:rPr>
          <w:rFonts w:ascii="Times New Roman" w:hAnsi="Times New Roman"/>
          <w:color w:val="000000"/>
          <w:sz w:val="24"/>
        </w:rPr>
        <w:t>” means any member of, or participant in, the Depositary.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Depositary Procedures</w:t>
      </w:r>
      <w:r>
        <w:rPr>
          <w:rFonts w:ascii="Times New Roman" w:hAnsi="Times New Roman"/>
          <w:color w:val="000000"/>
          <w:sz w:val="24"/>
        </w:rPr>
        <w:t>” means, with respect to any Conversion, transfer, exchange or other transaction involving a Global Note or any beneficial interest therein, the rules and procedures of the Depositary applicable to such Conversion, transfer, exchange or transaction.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Effective Date</w:t>
      </w:r>
      <w:r>
        <w:rPr>
          <w:rFonts w:ascii="Times New Roman" w:hAnsi="Times New Roman"/>
          <w:color w:val="000000"/>
          <w:sz w:val="24"/>
        </w:rPr>
        <w:t>,” in relation to a share split or share combination of Ordinary Shares, means the first date on which the Ordinary Shares trade on the relevant stock exchange, regular way, reflecting the relevant share split or share combination, as applicable.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Ex-Dividend Date</w:t>
      </w:r>
      <w:r>
        <w:rPr>
          <w:rFonts w:ascii="Times New Roman" w:hAnsi="Times New Roman"/>
          <w:color w:val="000000"/>
          <w:sz w:val="24"/>
        </w:rPr>
        <w:t>” means, with respect to an issuance, dividend or distribution on the Ordinary Shares, the first date on which Ordinary Shares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Ordinary Shares under a separate ticker symbol or CUSIP number will not be considered “regular way” for this purpose.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Exchange Act</w:t>
      </w:r>
      <w:r>
        <w:rPr>
          <w:rFonts w:ascii="Times New Roman" w:hAnsi="Times New Roman"/>
          <w:color w:val="000000"/>
          <w:sz w:val="24"/>
        </w:rPr>
        <w:t>” means the U.S. Securities Exchange Act of 1934, as amended.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Exempted Fundamental Change</w:t>
      </w:r>
      <w:r>
        <w:rPr>
          <w:rFonts w:ascii="Times New Roman" w:hAnsi="Times New Roman"/>
          <w:color w:val="000000"/>
          <w:sz w:val="24"/>
        </w:rPr>
        <w:t xml:space="preserve">” means any Fundamental Change with respect to which, in accordance with </w:t>
      </w:r>
      <w:r>
        <w:rPr>
          <w:rFonts w:ascii="Times New Roman" w:hAnsi="Times New Roman"/>
          <w:b/>
          <w:color w:val="000000"/>
          <w:sz w:val="24"/>
        </w:rPr>
        <w:t>Section 4.02(I)</w:t>
      </w:r>
      <w:r>
        <w:rPr>
          <w:rFonts w:ascii="Times New Roman" w:hAnsi="Times New Roman"/>
          <w:color w:val="000000"/>
          <w:sz w:val="24"/>
        </w:rPr>
        <w:t>, the Company does not offer to repurchase any Notes.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Free Trade Date</w:t>
      </w:r>
      <w:r>
        <w:rPr>
          <w:rFonts w:ascii="Times New Roman" w:hAnsi="Times New Roman"/>
          <w:color w:val="000000"/>
          <w:sz w:val="24"/>
        </w:rPr>
        <w:t>” means, with respect to any Note, the date that is one (1) year after the Last Original Issue Date of such Note.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Freely Tradable</w:t>
      </w:r>
      <w:r>
        <w:rPr>
          <w:rFonts w:ascii="Times New Roman" w:hAnsi="Times New Roman"/>
          <w:color w:val="000000"/>
          <w:sz w:val="24"/>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from and after the Free Trade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 w:hAnsi="Times New Roman"/>
          <w:b/>
          <w:color w:val="000000"/>
          <w:sz w:val="24"/>
        </w:rPr>
        <w:t>Section 2.12</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Fundamental Change</w:t>
      </w:r>
      <w:r>
        <w:rPr>
          <w:rFonts w:ascii="Times New Roman" w:hAnsi="Times New Roman"/>
          <w:color w:val="000000"/>
          <w:sz w:val="24"/>
        </w:rPr>
        <w:t>” means any of the following events: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more than fifty percent (50%) of all of the Ordinary Shares;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Ordinary Shares are exchanged for, converted into, acquired for, or constitute solely the right to receive, other securities, cash or other property;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hAnsi="Times New Roman"/>
          <w:b/>
          <w:color w:val="000000"/>
          <w:sz w:val="24"/>
        </w:rPr>
        <w:t>clause (B)</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Company’s shareholders approve any plan or proposal for the liquidation or dissolution of the Company; 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Ordinary Shares cease to be listed on any of the New York Stock Exchange, the Nasdaq Global Market or the Nasdaq Global Select Market (or any of their respective successors);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 transaction or event described in </w:t>
      </w:r>
      <w:r>
        <w:rPr>
          <w:rFonts w:ascii="Times New Roman" w:hAnsi="Times New Roman"/>
          <w:b/>
          <w:color w:val="000000"/>
          <w:sz w:val="24"/>
        </w:rPr>
        <w:t>clause (A)</w:t>
      </w:r>
      <w:r>
        <w:rPr>
          <w:rFonts w:ascii="Times New Roman" w:hAnsi="Times New Roman"/>
          <w:color w:val="000000"/>
          <w:sz w:val="24"/>
        </w:rPr>
        <w:t xml:space="preserve"> or </w:t>
      </w:r>
      <w:r>
        <w:rPr>
          <w:rFonts w:ascii="Times New Roman" w:hAnsi="Times New Roman"/>
          <w:b/>
          <w:color w:val="000000"/>
          <w:sz w:val="24"/>
        </w:rPr>
        <w:t>(B)</w:t>
      </w:r>
      <w:r>
        <w:rPr>
          <w:rFonts w:ascii="Times New Roman" w:hAnsi="Times New Roman"/>
          <w:color w:val="000000"/>
          <w:sz w:val="24"/>
        </w:rPr>
        <w:t xml:space="preserve"> above will not constitute a Fundamental Change if at least ninety percent (90%) of the consideration received or to be received by the holders of Ordinary Shares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an Ordinary Share Change Event whose Reference Property consists of such consideration.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purposes of this definition, (x) any transaction or event described in both </w:t>
      </w:r>
      <w:r>
        <w:rPr>
          <w:rFonts w:ascii="Times New Roman" w:hAnsi="Times New Roman"/>
          <w:b/>
          <w:color w:val="000000"/>
          <w:sz w:val="24"/>
        </w:rPr>
        <w:t>clause (A)</w:t>
      </w:r>
      <w:r>
        <w:rPr>
          <w:rFonts w:ascii="Times New Roman" w:hAnsi="Times New Roman"/>
          <w:color w:val="000000"/>
          <w:sz w:val="24"/>
        </w:rPr>
        <w:t xml:space="preserve"> and in </w:t>
      </w:r>
      <w:r>
        <w:rPr>
          <w:rFonts w:ascii="Times New Roman" w:hAnsi="Times New Roman"/>
          <w:b/>
          <w:color w:val="000000"/>
          <w:sz w:val="24"/>
        </w:rPr>
        <w:t>clause (B)(i)</w:t>
      </w:r>
      <w:r>
        <w:rPr>
          <w:rFonts w:ascii="Times New Roman" w:hAnsi="Times New Roman"/>
          <w:color w:val="000000"/>
          <w:sz w:val="24"/>
        </w:rPr>
        <w:t xml:space="preserve"> or </w:t>
      </w:r>
      <w:r>
        <w:rPr>
          <w:rFonts w:ascii="Times New Roman" w:hAnsi="Times New Roman"/>
          <w:b/>
          <w:color w:val="000000"/>
          <w:sz w:val="24"/>
        </w:rPr>
        <w:t>(ii)</w:t>
      </w:r>
      <w:r>
        <w:rPr>
          <w:rFonts w:ascii="Times New Roman" w:hAnsi="Times New Roman"/>
          <w:color w:val="000000"/>
          <w:sz w:val="24"/>
        </w:rPr>
        <w:t xml:space="preserve"> above (without regard to the proviso in </w:t>
      </w:r>
      <w:r>
        <w:rPr>
          <w:rFonts w:ascii="Times New Roman" w:hAnsi="Times New Roman"/>
          <w:b/>
          <w:color w:val="000000"/>
          <w:sz w:val="24"/>
        </w:rPr>
        <w:t>clause (B)</w:t>
      </w:r>
      <w:r>
        <w:rPr>
          <w:rFonts w:ascii="Times New Roman" w:hAnsi="Times New Roman"/>
          <w:color w:val="000000"/>
          <w:sz w:val="24"/>
        </w:rPr>
        <w:t xml:space="preserve">) will be deemed to occur solely pursuant to </w:t>
      </w:r>
      <w:r>
        <w:rPr>
          <w:rFonts w:ascii="Times New Roman" w:hAnsi="Times New Roman"/>
          <w:b/>
          <w:color w:val="000000"/>
          <w:sz w:val="24"/>
        </w:rPr>
        <w:t>clause (B)</w:t>
      </w:r>
      <w:r>
        <w:rPr>
          <w:rFonts w:ascii="Times New Roman" w:hAnsi="Times New Roman"/>
          <w:color w:val="000000"/>
          <w:sz w:val="24"/>
        </w:rPr>
        <w:t xml:space="preserve"> above (subject to such proviso); and (y) whether a Person is a “</w:t>
      </w:r>
      <w:r>
        <w:rPr>
          <w:rFonts w:ascii="Times New Roman" w:hAnsi="Times New Roman"/>
          <w:b/>
          <w:color w:val="000000"/>
          <w:sz w:val="24"/>
        </w:rPr>
        <w:t>beneficial owner</w:t>
      </w:r>
      <w:r>
        <w:rPr>
          <w:rFonts w:ascii="Times New Roman" w:hAnsi="Times New Roman"/>
          <w:color w:val="000000"/>
          <w:sz w:val="24"/>
        </w:rPr>
        <w:t>,” whether shares are “</w:t>
      </w:r>
      <w:r>
        <w:rPr>
          <w:rFonts w:ascii="Times New Roman" w:hAnsi="Times New Roman"/>
          <w:b/>
          <w:color w:val="000000"/>
          <w:sz w:val="24"/>
        </w:rPr>
        <w:t>beneficially owned</w:t>
      </w:r>
      <w:r>
        <w:rPr>
          <w:rFonts w:ascii="Times New Roman" w:hAnsi="Times New Roman"/>
          <w:color w:val="000000"/>
          <w:sz w:val="24"/>
        </w:rPr>
        <w:t>,” and percentage beneficial ownership, will be determined in accordance with Rule 13d-3 under the Exchange Act.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Fundamental Change Repurchase Date</w:t>
      </w:r>
      <w:r>
        <w:rPr>
          <w:rFonts w:ascii="Times New Roman" w:hAnsi="Times New Roman"/>
          <w:color w:val="000000"/>
          <w:sz w:val="24"/>
        </w:rPr>
        <w:t>” means the date fixed for the repurchase of any Notes by the Company pursuant to a Repurchase Upon Fundamental Change.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Fundamental Change Repurchase Notice</w:t>
      </w:r>
      <w:r>
        <w:rPr>
          <w:rFonts w:ascii="Times New Roman" w:hAnsi="Times New Roman"/>
          <w:color w:val="000000"/>
          <w:sz w:val="24"/>
        </w:rPr>
        <w:t xml:space="preserve">” means a notice (including a notice substantially in the form of the “Fundamental Change Repurchase Notice” set forth in </w:t>
      </w:r>
      <w:r>
        <w:rPr>
          <w:rFonts w:ascii="Times New Roman" w:hAnsi="Times New Roman"/>
          <w:b/>
          <w:color w:val="000000"/>
          <w:sz w:val="24"/>
        </w:rPr>
        <w:t>Exhibit A</w:t>
      </w:r>
      <w:r>
        <w:rPr>
          <w:rFonts w:ascii="Times New Roman" w:hAnsi="Times New Roman"/>
          <w:color w:val="000000"/>
          <w:sz w:val="24"/>
        </w:rPr>
        <w:t xml:space="preserve">) containing the information, or otherwise complying with the requirements, set forth in </w:t>
      </w:r>
      <w:r>
        <w:rPr>
          <w:rFonts w:ascii="Times New Roman" w:hAnsi="Times New Roman"/>
          <w:b/>
          <w:color w:val="000000"/>
          <w:sz w:val="24"/>
        </w:rPr>
        <w:t>Section 4.02(F)(i)</w:t>
      </w:r>
      <w:r>
        <w:rPr>
          <w:rFonts w:ascii="Times New Roman" w:hAnsi="Times New Roman"/>
          <w:color w:val="000000"/>
          <w:sz w:val="24"/>
        </w:rPr>
        <w:t xml:space="preserve"> and </w:t>
      </w:r>
      <w:r>
        <w:rPr>
          <w:rFonts w:ascii="Times New Roman" w:hAnsi="Times New Roman"/>
          <w:b/>
          <w:color w:val="000000"/>
          <w:sz w:val="24"/>
        </w:rPr>
        <w:t>Section 4.02(F)(ii)</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Fundamental Change Repurchase Price</w:t>
      </w:r>
      <w:r>
        <w:rPr>
          <w:rFonts w:ascii="Times New Roman" w:hAnsi="Times New Roman"/>
          <w:color w:val="000000"/>
          <w:sz w:val="24"/>
        </w:rPr>
        <w:t xml:space="preserve">” means the cash price payable by the Company to repurchase any Note upon its Repurchase Upon Fundamental Change, calculated pursuant to </w:t>
      </w:r>
      <w:r>
        <w:rPr>
          <w:rFonts w:ascii="Times New Roman" w:hAnsi="Times New Roman"/>
          <w:b/>
          <w:color w:val="000000"/>
          <w:sz w:val="24"/>
        </w:rPr>
        <w:t>Section 4.02(D)</w:t>
      </w:r>
      <w:r>
        <w:rPr>
          <w:rFonts w:ascii="Times New Roman" w:hAnsi="Times New Roman"/>
          <w:color w:val="000000"/>
          <w:sz w:val="24"/>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Global Note</w:t>
      </w:r>
      <w:r>
        <w:rPr>
          <w:rFonts w:ascii="Times New Roman" w:hAnsi="Times New Roman"/>
          <w:color w:val="000000"/>
          <w:sz w:val="24"/>
        </w:rPr>
        <w:t xml:space="preserve">” means a Note that is represented by a certificate substantially in the form set forth in </w:t>
      </w:r>
      <w:r>
        <w:rPr>
          <w:rFonts w:ascii="Times New Roman" w:hAnsi="Times New Roman"/>
          <w:b/>
          <w:color w:val="000000"/>
          <w:sz w:val="24"/>
        </w:rPr>
        <w:t>Exhibit</w:t>
      </w:r>
      <w:r>
        <w:rPr>
          <w:rFonts w:ascii="Times New Roman" w:hAnsi="Times New Roman"/>
          <w:color w:val="000000"/>
          <w:sz w:val="24"/>
        </w:rPr>
        <w:t> </w:t>
      </w:r>
      <w:r>
        <w:rPr>
          <w:rFonts w:ascii="Times New Roman" w:hAnsi="Times New Roman"/>
          <w:b/>
          <w:color w:val="000000"/>
          <w:sz w:val="24"/>
        </w:rPr>
        <w:t>A</w:t>
      </w:r>
      <w:r>
        <w:rPr>
          <w:rFonts w:ascii="Times New Roman" w:hAnsi="Times New Roman"/>
          <w:color w:val="000000"/>
          <w:sz w:val="24"/>
        </w:rPr>
        <w:t>, registered in the name of the Depositary or its nominee, duly executed by the Company and authenticated by the Trustee, and deposited with the Trustee, as custodian for the Depositary.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Global Note Legend</w:t>
      </w:r>
      <w:r>
        <w:rPr>
          <w:rFonts w:ascii="Times New Roman" w:hAnsi="Times New Roman"/>
          <w:color w:val="000000"/>
          <w:sz w:val="24"/>
        </w:rPr>
        <w:t xml:space="preserve">” means a legend substantially in the form set forth in </w:t>
      </w:r>
      <w:r>
        <w:rPr>
          <w:rFonts w:ascii="Times New Roman" w:hAnsi="Times New Roman"/>
          <w:b/>
          <w:color w:val="000000"/>
          <w:sz w:val="24"/>
        </w:rPr>
        <w:t>Exhibit B-2</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Holder</w:t>
      </w:r>
      <w:r>
        <w:rPr>
          <w:rFonts w:ascii="Times New Roman" w:hAnsi="Times New Roman"/>
          <w:color w:val="000000"/>
          <w:sz w:val="24"/>
        </w:rPr>
        <w:t>” means a person in whose name a Note is registered on the Registrar’s books.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Indenture</w:t>
      </w:r>
      <w:r>
        <w:rPr>
          <w:rFonts w:ascii="Times New Roman" w:hAnsi="Times New Roman"/>
          <w:color w:val="000000"/>
          <w:sz w:val="24"/>
        </w:rPr>
        <w:t>” means this Indenture, as amended or supplemented from time to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Initial Purchasers</w:t>
      </w:r>
      <w:r>
        <w:rPr>
          <w:rFonts w:ascii="Times New Roman" w:hAnsi="Times New Roman"/>
          <w:color w:val="000000"/>
          <w:sz w:val="24"/>
        </w:rPr>
        <w:t>” means the several initial purchasers listed in Schedule 1 to the Purchase Agreement.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Interest Payment Date</w:t>
      </w:r>
      <w:r>
        <w:rPr>
          <w:rFonts w:ascii="Times New Roman" w:hAnsi="Times New Roman"/>
          <w:color w:val="000000"/>
          <w:sz w:val="24"/>
        </w:rPr>
        <w:t>” means, with respect to a Note, each June 1 and December 1 of each year, commencing on June 1, 2026 (or commencing on such other date specified in the certificate representing such Note). For the avoidance of doubt, the Maturity Date is an Interest Payment Date.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Internal Revenue Code</w:t>
      </w:r>
      <w:r>
        <w:rPr>
          <w:rFonts w:ascii="Times New Roman" w:hAnsi="Times New Roman"/>
          <w:color w:val="000000"/>
          <w:sz w:val="24"/>
        </w:rPr>
        <w:t>” means the United States Internal Revenue Code of 1986, as amended.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Issue Date</w:t>
      </w:r>
      <w:r>
        <w:rPr>
          <w:rFonts w:ascii="Times New Roman" w:hAnsi="Times New Roman"/>
          <w:color w:val="000000"/>
          <w:sz w:val="24"/>
        </w:rPr>
        <w:t>” means December 8, 2025.</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Last Original Issue Date</w:t>
      </w:r>
      <w:r>
        <w:rPr>
          <w:rFonts w:ascii="Times New Roman" w:hAnsi="Times New Roman"/>
          <w:color w:val="000000"/>
          <w:sz w:val="24"/>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hAnsi="Times New Roman"/>
          <w:b/>
          <w:color w:val="000000"/>
          <w:sz w:val="24"/>
        </w:rPr>
        <w:t>Section 2.03(B)</w:t>
      </w:r>
      <w:r>
        <w:rPr>
          <w:rFonts w:ascii="Times New Roman" w:hAnsi="Times New Roman"/>
          <w:color w:val="000000"/>
          <w:sz w:val="24"/>
        </w:rPr>
        <w:t>,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Last Reported Sale Price</w:t>
      </w:r>
      <w:r>
        <w:rPr>
          <w:rFonts w:ascii="Times New Roman" w:hAnsi="Times New Roman"/>
          <w:color w:val="000000"/>
          <w:sz w:val="24"/>
        </w:rPr>
        <w:t>” of the Ordinary Shares for any Trading Day means the closing sale price per Ordinary Share (or, if no closing sale price is reported, the average of the last bid price and the last ask price per Ordinary Share or, if more than one in either case, the average of the average last bid prices and the average last ask prices per Ordinary Share) on such Trading Day as reported in composite transactions for the principal U.S. national or regional securities exchange on which the Ordinary Shares are then listed. If the Ordinary Shares are not listed on a U.S. national or regional securities exchange on such Trading Day, then the Last Reported Sale Price will be the last quoted bid price per Ordinary Share on such Trading Day in the over-the-counter market as reported by OTC Markets Group Inc. or a similar organization. If the Ordinary Shares are not so quoted on such Trading Day, then the Last Reported Sale Price will be the average of the mid-point of the last bid price and the last ask price per Ordinary Share on such Trading Day from a nationally recognized independent investment banking firm selected by the Company, which may be any of the Initial Purchasers. Neither the Trustee nor the Conversion Agent will have any duty to determine the Last Reported Sale Price.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Make-Whole Fundamental Change</w:t>
      </w:r>
      <w:r>
        <w:rPr>
          <w:rFonts w:ascii="Times New Roman" w:hAnsi="Times New Roman"/>
          <w:color w:val="000000"/>
          <w:sz w:val="24"/>
        </w:rPr>
        <w:t xml:space="preserve">” means (A) a Fundamental Change (determined after giving effect to the proviso immediately after </w:t>
      </w:r>
      <w:r>
        <w:rPr>
          <w:rFonts w:ascii="Times New Roman" w:hAnsi="Times New Roman"/>
          <w:b/>
          <w:color w:val="000000"/>
          <w:sz w:val="24"/>
        </w:rPr>
        <w:t>clause (D)</w:t>
      </w:r>
      <w:r>
        <w:rPr>
          <w:rFonts w:ascii="Times New Roman" w:hAnsi="Times New Roman"/>
          <w:color w:val="000000"/>
          <w:sz w:val="24"/>
        </w:rPr>
        <w:t xml:space="preserve"> of the definition thereof, but without regard to the proviso to </w:t>
      </w:r>
      <w:r>
        <w:rPr>
          <w:rFonts w:ascii="Times New Roman" w:hAnsi="Times New Roman"/>
          <w:b/>
          <w:color w:val="000000"/>
          <w:sz w:val="24"/>
        </w:rPr>
        <w:t>clause (B)(ii)</w:t>
      </w:r>
      <w:r>
        <w:rPr>
          <w:rFonts w:ascii="Times New Roman" w:hAnsi="Times New Roman"/>
          <w:color w:val="000000"/>
          <w:sz w:val="24"/>
        </w:rPr>
        <w:t xml:space="preserve"> of such definition); or (B) the sending of a Redemption Notice pursuant to </w:t>
      </w:r>
      <w:r>
        <w:rPr>
          <w:rFonts w:ascii="Times New Roman" w:hAnsi="Times New Roman"/>
          <w:b/>
          <w:color w:val="000000"/>
          <w:sz w:val="24"/>
        </w:rPr>
        <w:t>Section 4.03(G)</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subject to </w:t>
      </w:r>
      <w:r>
        <w:rPr>
          <w:rFonts w:ascii="Times New Roman" w:hAnsi="Times New Roman"/>
          <w:b/>
          <w:color w:val="000000"/>
          <w:sz w:val="24"/>
        </w:rPr>
        <w:t>Section 4.03(K)</w:t>
      </w:r>
      <w:r>
        <w:rPr>
          <w:rFonts w:ascii="Times New Roman" w:hAnsi="Times New Roman"/>
          <w:color w:val="000000"/>
          <w:sz w:val="24"/>
        </w:rPr>
        <w:t>, the sending of a Redemption Notice for a Provisional Redemption will constitute a Make-Whole Fundamental Change only with respect to the Notes called for a Provisional Redemption pursuant to such Redemption Notice and not with respect to any other Notes.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Make-Whole Fundamental Change Conversion Period</w:t>
      </w:r>
      <w:r>
        <w:rPr>
          <w:rFonts w:ascii="Times New Roman" w:hAnsi="Times New Roman"/>
          <w:color w:val="000000"/>
          <w:sz w:val="24"/>
        </w:rPr>
        <w:t>” has the following meaning: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in the case of a Make-Whole Fundamental Change pursuant to </w:t>
      </w:r>
      <w:r>
        <w:rPr>
          <w:rFonts w:ascii="Times New Roman" w:hAnsi="Times New Roman"/>
          <w:b/>
          <w:color w:val="000000"/>
          <w:sz w:val="24"/>
        </w:rPr>
        <w:t>clause (A)</w:t>
      </w:r>
      <w:r>
        <w:rPr>
          <w:rFonts w:ascii="Times New Roman" w:hAnsi="Times New Roman"/>
          <w:color w:val="000000"/>
          <w:sz w:val="24"/>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in the case of a Make-Whole Fundamental Change pursuant to </w:t>
      </w:r>
      <w:r>
        <w:rPr>
          <w:rFonts w:ascii="Times New Roman" w:hAnsi="Times New Roman"/>
          <w:b/>
          <w:color w:val="000000"/>
          <w:sz w:val="24"/>
        </w:rPr>
        <w:t>clause (B)</w:t>
      </w:r>
      <w:r>
        <w:rPr>
          <w:rFonts w:ascii="Times New Roman" w:hAnsi="Times New Roman"/>
          <w:color w:val="000000"/>
          <w:sz w:val="24"/>
        </w:rPr>
        <w:t xml:space="preserve"> of the definition thereof, the period from, and including, the Redemption Notice Date for the related Redemption to, and including, the second (2nd) Business Day immediately before the related Redemption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the Conversion Date for the Conversion of a Note that has been called for Redemption occurs during the Make-Whole Fundamental Change Conversion Period for both a Make-Whole Fundamental Change occurring pursuant to </w:t>
      </w:r>
      <w:r>
        <w:rPr>
          <w:rFonts w:ascii="Times New Roman" w:hAnsi="Times New Roman"/>
          <w:b/>
          <w:color w:val="000000"/>
          <w:sz w:val="24"/>
        </w:rPr>
        <w:t>clause (A)</w:t>
      </w:r>
      <w:r>
        <w:rPr>
          <w:rFonts w:ascii="Times New Roman" w:hAnsi="Times New Roman"/>
          <w:color w:val="000000"/>
          <w:sz w:val="24"/>
        </w:rPr>
        <w:t xml:space="preserve"> of the definition of “Make-Whole Fundamental Change” and a Make-Whole Fundamental Change resulting from such Redemption pursuant to </w:t>
      </w:r>
      <w:r>
        <w:rPr>
          <w:rFonts w:ascii="Times New Roman" w:hAnsi="Times New Roman"/>
          <w:b/>
          <w:color w:val="000000"/>
          <w:sz w:val="24"/>
        </w:rPr>
        <w:t>clause (B)</w:t>
      </w:r>
      <w:r>
        <w:rPr>
          <w:rFonts w:ascii="Times New Roman" w:hAnsi="Times New Roman"/>
          <w:color w:val="000000"/>
          <w:sz w:val="24"/>
        </w:rPr>
        <w:t xml:space="preserve"> of such definition, then, notwithstanding anything to the contrary in </w:t>
      </w:r>
      <w:r>
        <w:rPr>
          <w:rFonts w:ascii="Times New Roman" w:hAnsi="Times New Roman"/>
          <w:b/>
          <w:color w:val="000000"/>
          <w:sz w:val="24"/>
        </w:rPr>
        <w:t>Section 5.07</w:t>
      </w:r>
      <w:r>
        <w:rPr>
          <w:rFonts w:ascii="Times New Roman" w:hAnsi="Times New Roman"/>
          <w:color w:val="000000"/>
          <w:sz w:val="24"/>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Make-Whole Fundamental Change Effective Date</w:t>
      </w:r>
      <w:r>
        <w:rPr>
          <w:rFonts w:ascii="Times New Roman" w:hAnsi="Times New Roman"/>
          <w:color w:val="000000"/>
          <w:sz w:val="24"/>
        </w:rPr>
        <w:t xml:space="preserve">” means (A) with respect to a Make-Whole Fundamental Change pursuant to </w:t>
      </w:r>
      <w:r>
        <w:rPr>
          <w:rFonts w:ascii="Times New Roman" w:hAnsi="Times New Roman"/>
          <w:b/>
          <w:color w:val="000000"/>
          <w:sz w:val="24"/>
        </w:rPr>
        <w:t>clause (A)</w:t>
      </w:r>
      <w:r>
        <w:rPr>
          <w:rFonts w:ascii="Times New Roman" w:hAnsi="Times New Roman"/>
          <w:color w:val="000000"/>
          <w:sz w:val="24"/>
        </w:rPr>
        <w:t xml:space="preserve"> of the definition thereof, the date on which such Make-Whole Fundamental Change occurs or becomes effective; and (B) with respect to a Make-Whole Fundamental Change pursuant to </w:t>
      </w:r>
      <w:r>
        <w:rPr>
          <w:rFonts w:ascii="Times New Roman" w:hAnsi="Times New Roman"/>
          <w:b/>
          <w:color w:val="000000"/>
          <w:sz w:val="24"/>
        </w:rPr>
        <w:t>clause (B)</w:t>
      </w:r>
      <w:r>
        <w:rPr>
          <w:rFonts w:ascii="Times New Roman" w:hAnsi="Times New Roman"/>
          <w:color w:val="000000"/>
          <w:sz w:val="24"/>
        </w:rPr>
        <w:t xml:space="preserve"> of the definition thereof, the applicable Redemption Notice Date.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Market Disruption Event</w:t>
      </w:r>
      <w:r>
        <w:rPr>
          <w:rFonts w:ascii="Times New Roman" w:hAnsi="Times New Roman"/>
          <w:color w:val="000000"/>
          <w:sz w:val="24"/>
        </w:rPr>
        <w:t>” means, with respect to any date, the occurrence or existence, during the one-half hour period ending at the scheduled close of trading on such date on the principal U.S. national or regional securities exchange or other market on which the Ordinary Shares are listed for trading or trade, of any material suspension or limitation imposed on trading (by reason of movements in price exceeding limits permitted by the relevant exchange or otherwise) in the Ordinary Shares or in any options contracts or futures contracts relating to the Ordinary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Maturity Date</w:t>
      </w:r>
      <w:r>
        <w:rPr>
          <w:rFonts w:ascii="Times New Roman" w:hAnsi="Times New Roman"/>
          <w:color w:val="000000"/>
          <w:sz w:val="24"/>
        </w:rPr>
        <w:t>” means June 1, 2032.</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Non-Affiliate Legend</w:t>
      </w:r>
      <w:r>
        <w:rPr>
          <w:rFonts w:ascii="Times New Roman" w:hAnsi="Times New Roman"/>
          <w:color w:val="000000"/>
          <w:sz w:val="24"/>
        </w:rPr>
        <w:t xml:space="preserve">” means a legend substantially in the form set forth in </w:t>
      </w:r>
      <w:r>
        <w:rPr>
          <w:rFonts w:ascii="Times New Roman" w:hAnsi="Times New Roman"/>
          <w:b/>
          <w:color w:val="000000"/>
          <w:sz w:val="24"/>
        </w:rPr>
        <w:t>Exhibit B-3</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Note Agent</w:t>
      </w:r>
      <w:r>
        <w:rPr>
          <w:rFonts w:ascii="Times New Roman" w:hAnsi="Times New Roman"/>
          <w:color w:val="000000"/>
          <w:sz w:val="24"/>
        </w:rPr>
        <w:t>” means any Registrar, Paying Agent or Conversion Agent.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Notes</w:t>
      </w:r>
      <w:r>
        <w:rPr>
          <w:rFonts w:ascii="Times New Roman" w:hAnsi="Times New Roman"/>
          <w:color w:val="000000"/>
          <w:sz w:val="24"/>
        </w:rPr>
        <w:t>” means the 0.25% Convertible Senior Notes due 2032 issued by the Company pursuant to this Indenture.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Observation Period</w:t>
      </w:r>
      <w:r>
        <w:rPr>
          <w:rFonts w:ascii="Times New Roman" w:hAnsi="Times New Roman"/>
          <w:color w:val="000000"/>
          <w:sz w:val="24"/>
        </w:rPr>
        <w:t xml:space="preserve">” means, with respect to any Note to be Converted, (A) subject to </w:t>
      </w:r>
      <w:r>
        <w:rPr>
          <w:rFonts w:ascii="Times New Roman" w:hAnsi="Times New Roman"/>
          <w:b/>
          <w:color w:val="000000"/>
          <w:sz w:val="24"/>
        </w:rPr>
        <w:t>clause (B)</w:t>
      </w:r>
      <w:r>
        <w:rPr>
          <w:rFonts w:ascii="Times New Roman" w:hAnsi="Times New Roman"/>
          <w:color w:val="000000"/>
          <w:sz w:val="24"/>
        </w:rPr>
        <w:t xml:space="preserve"> below, if the Conversion Date for such Note occurs before March 1, 2032, the thirty (30)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 w:hAnsi="Times New Roman"/>
          <w:b/>
          <w:color w:val="000000"/>
          <w:sz w:val="24"/>
        </w:rPr>
        <w:t>Section 4.03(G)</w:t>
      </w:r>
      <w:r>
        <w:rPr>
          <w:rFonts w:ascii="Times New Roman" w:hAnsi="Times New Roman"/>
          <w:color w:val="000000"/>
          <w:sz w:val="24"/>
        </w:rPr>
        <w:t xml:space="preserve"> and on or before the second (2nd) Business Day before the related Redemption Date, the thirty (30) consecutive VWAP Trading Days beginning on, and including, the thirty first (31st) Scheduled Trading Day immediately before such Redemption Date; and (C) subject to </w:t>
      </w:r>
      <w:r>
        <w:rPr>
          <w:rFonts w:ascii="Times New Roman" w:hAnsi="Times New Roman"/>
          <w:b/>
          <w:color w:val="000000"/>
          <w:sz w:val="24"/>
        </w:rPr>
        <w:t>clause (B)</w:t>
      </w:r>
      <w:r>
        <w:rPr>
          <w:rFonts w:ascii="Times New Roman" w:hAnsi="Times New Roman"/>
          <w:color w:val="000000"/>
          <w:sz w:val="24"/>
        </w:rPr>
        <w:t xml:space="preserve"> above, if such Conversion Date occurs on or after March 1, 2032, the thirty (30) consecutive VWAP Trading Days beginning on, and including, the thirty first (31st) Scheduled Trading Day immediately before the Maturity Date.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Officer</w:t>
      </w:r>
      <w:r>
        <w:rPr>
          <w:rFonts w:ascii="Times New Roman" w:hAnsi="Times New Roman"/>
          <w:color w:val="000000"/>
          <w:sz w:val="24"/>
        </w:rPr>
        <w:t>” means the Chairman of the Board of Directors, the Chief Executive Officer, the President, the Chief Operating Officer, the Chief Financial Officer, the Treasurer, any Assistant Treasurer, the Controller, any Director, the Secretary or any Vice-President of the Company.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Officer’s Certificate</w:t>
      </w:r>
      <w:r>
        <w:rPr>
          <w:rFonts w:ascii="Times New Roman" w:hAnsi="Times New Roman"/>
          <w:color w:val="000000"/>
          <w:sz w:val="24"/>
        </w:rPr>
        <w:t xml:space="preserve">” means a certificate that is signed on behalf of the Company by one (1) of its Officers and that meets the requirements of </w:t>
      </w:r>
      <w:r>
        <w:rPr>
          <w:rFonts w:ascii="Times New Roman" w:hAnsi="Times New Roman"/>
          <w:b/>
          <w:color w:val="000000"/>
          <w:sz w:val="24"/>
        </w:rPr>
        <w:t>Section 11.03</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Open of Business</w:t>
      </w:r>
      <w:r>
        <w:rPr>
          <w:rFonts w:ascii="Times New Roman" w:hAnsi="Times New Roman"/>
          <w:color w:val="000000"/>
          <w:sz w:val="24"/>
        </w:rPr>
        <w:t>” means 9:00 a.m., New York City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Opinion of Counsel</w:t>
      </w:r>
      <w:r>
        <w:rPr>
          <w:rFonts w:ascii="Times New Roman" w:hAnsi="Times New Roman"/>
          <w:color w:val="000000"/>
          <w:sz w:val="24"/>
        </w:rPr>
        <w:t xml:space="preserve">” means an opinion, from legal counsel (including an employee of, or counsel to, the Company or any of its Subsidiaries) reasonably acceptable to the Trustee, that meets the requirements of </w:t>
      </w:r>
      <w:r>
        <w:rPr>
          <w:rFonts w:ascii="Times New Roman" w:hAnsi="Times New Roman"/>
          <w:b/>
          <w:color w:val="000000"/>
          <w:sz w:val="24"/>
        </w:rPr>
        <w:t>Section 11.03</w:t>
      </w:r>
      <w:r>
        <w:rPr>
          <w:rFonts w:ascii="Times New Roman" w:hAnsi="Times New Roman"/>
          <w:color w:val="000000"/>
          <w:sz w:val="24"/>
        </w:rPr>
        <w:t>, subject to customary qualifications and exclusions.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Ordinary Shares</w:t>
      </w:r>
      <w:r>
        <w:rPr>
          <w:rFonts w:ascii="Times New Roman" w:hAnsi="Times New Roman"/>
          <w:color w:val="000000"/>
          <w:sz w:val="24"/>
        </w:rPr>
        <w:t xml:space="preserve">” means the Ordinary shares, no par value per share, of the Company only and, for the avoidance of doubt, not the B Class shares of the Company, subject to </w:t>
      </w:r>
      <w:r>
        <w:rPr>
          <w:rFonts w:ascii="Times New Roman" w:hAnsi="Times New Roman"/>
          <w:b/>
          <w:color w:val="000000"/>
          <w:sz w:val="24"/>
        </w:rPr>
        <w:t>Section 5.09</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Person</w:t>
      </w:r>
      <w:r>
        <w:rPr>
          <w:rFonts w:ascii="Times New Roman" w:hAnsi="Times New Roman"/>
          <w:color w:val="000000"/>
          <w:sz w:val="24"/>
        </w:rPr>
        <w:t>” or “</w:t>
      </w:r>
      <w:r>
        <w:rPr>
          <w:rFonts w:ascii="Times New Roman" w:hAnsi="Times New Roman"/>
          <w:b/>
          <w:color w:val="000000"/>
          <w:sz w:val="24"/>
        </w:rPr>
        <w:t>person</w:t>
      </w:r>
      <w:r>
        <w:rPr>
          <w:rFonts w:ascii="Times New Roman" w:hAnsi="Times New Roman"/>
          <w:color w:val="000000"/>
          <w:sz w:val="24"/>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Physical Note</w:t>
      </w:r>
      <w:r>
        <w:rPr>
          <w:rFonts w:ascii="Times New Roman" w:hAnsi="Times New Roman"/>
          <w:color w:val="000000"/>
          <w:sz w:val="24"/>
        </w:rPr>
        <w:t xml:space="preserve">” means a Note (other than a Global Note) that is represented by a certificate substantially in the form set forth in </w:t>
      </w:r>
      <w:r>
        <w:rPr>
          <w:rFonts w:ascii="Times New Roman" w:hAnsi="Times New Roman"/>
          <w:b/>
          <w:color w:val="000000"/>
          <w:sz w:val="24"/>
        </w:rPr>
        <w:t>Exhibit</w:t>
      </w:r>
      <w:r>
        <w:rPr>
          <w:rFonts w:ascii="Times New Roman" w:hAnsi="Times New Roman"/>
          <w:color w:val="000000"/>
          <w:sz w:val="24"/>
        </w:rPr>
        <w:t> </w:t>
      </w:r>
      <w:r>
        <w:rPr>
          <w:rFonts w:ascii="Times New Roman" w:hAnsi="Times New Roman"/>
          <w:b/>
          <w:color w:val="000000"/>
          <w:sz w:val="24"/>
        </w:rPr>
        <w:t>A</w:t>
      </w:r>
      <w:r>
        <w:rPr>
          <w:rFonts w:ascii="Times New Roman" w:hAnsi="Times New Roman"/>
          <w:color w:val="000000"/>
          <w:sz w:val="24"/>
        </w:rPr>
        <w:t>, registered in the name of the Holder of such Note and duly executed by the Company and authenticated by the Trustee.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Provisional Redemption</w:t>
      </w:r>
      <w:r>
        <w:rPr>
          <w:rFonts w:ascii="Times New Roman" w:hAnsi="Times New Roman"/>
          <w:color w:val="000000"/>
          <w:sz w:val="24"/>
        </w:rPr>
        <w:t xml:space="preserve">” means the repurchase of any Note by the Company pursuant to </w:t>
      </w:r>
      <w:r>
        <w:rPr>
          <w:rFonts w:ascii="Times New Roman" w:hAnsi="Times New Roman"/>
          <w:b/>
          <w:color w:val="000000"/>
          <w:sz w:val="24"/>
        </w:rPr>
        <w:t>Section 4.03(B)</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Purchase Agreement</w:t>
      </w:r>
      <w:r>
        <w:rPr>
          <w:rFonts w:ascii="Times New Roman" w:hAnsi="Times New Roman"/>
          <w:color w:val="000000"/>
          <w:sz w:val="24"/>
        </w:rPr>
        <w:t>” means that certain Purchase Agreement, dated December 2, 2025, between the Company and the representatives of the Initial Purchasers.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Qualified Successor Entity</w:t>
      </w:r>
      <w:r>
        <w:rPr>
          <w:rFonts w:ascii="Times New Roman" w:hAnsi="Times New Roman"/>
          <w:color w:val="000000"/>
          <w:sz w:val="24"/>
        </w:rPr>
        <w:t xml:space="preserve">” means, with respect to a Business Combination Event, a public company limited by shares or a corporation;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limited liability company, limited partnership or other similar entity will also constitute a Qualified Successor Entity with respect to such Business Combination Event if either (A) such Business Combination Event is an Exempted Fundamental Change;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of 1986, as amended, for Holders or beneficial owners of the Notes; and (ii) such Business Combination Event constitutes an Ordinary Share Change Event whose Reference Property consists solely of any combination of cash in U.S. dollars and shares of common stock or other corporate Common Equity interests of an entity that is (x) treated as a corporation for U.S. federal income tax purposes; (y) duly organized or incorporated and existing under the laws of Australia, the United States of America, any State thereof or the District of Columbia; and (z) the direct or indirect parent of such limited liability company, limited partnership or other similar entity.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Redemption</w:t>
      </w:r>
      <w:r>
        <w:rPr>
          <w:rFonts w:ascii="Times New Roman" w:hAnsi="Times New Roman"/>
          <w:color w:val="000000"/>
          <w:sz w:val="24"/>
        </w:rPr>
        <w:t>” means a Provisional Redemption or a Tax Redemption.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Redemption Date</w:t>
      </w:r>
      <w:r>
        <w:rPr>
          <w:rFonts w:ascii="Times New Roman" w:hAnsi="Times New Roman"/>
          <w:color w:val="000000"/>
          <w:sz w:val="24"/>
        </w:rPr>
        <w:t xml:space="preserve">” means the date fixed, pursuant to </w:t>
      </w:r>
      <w:r>
        <w:rPr>
          <w:rFonts w:ascii="Times New Roman" w:hAnsi="Times New Roman"/>
          <w:b/>
          <w:color w:val="000000"/>
          <w:sz w:val="24"/>
        </w:rPr>
        <w:t>Section 4.03(E)</w:t>
      </w:r>
      <w:r>
        <w:rPr>
          <w:rFonts w:ascii="Times New Roman" w:hAnsi="Times New Roman"/>
          <w:color w:val="000000"/>
          <w:sz w:val="24"/>
        </w:rPr>
        <w:t>, for the settlement of the repurchase of any Notes by the Company pursuant to a Redemption.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Redemption Notice Date</w:t>
      </w:r>
      <w:r>
        <w:rPr>
          <w:rFonts w:ascii="Times New Roman" w:hAnsi="Times New Roman"/>
          <w:color w:val="000000"/>
          <w:sz w:val="24"/>
        </w:rPr>
        <w:t xml:space="preserve">” means, with respect to a Redemption, the date on which the Company sends the Redemption Notice for such Redemption pursuant to </w:t>
      </w:r>
      <w:r>
        <w:rPr>
          <w:rFonts w:ascii="Times New Roman" w:hAnsi="Times New Roman"/>
          <w:b/>
          <w:color w:val="000000"/>
          <w:sz w:val="24"/>
        </w:rPr>
        <w:t>Section 4.03(G)</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Redemption Price</w:t>
      </w:r>
      <w:r>
        <w:rPr>
          <w:rFonts w:ascii="Times New Roman" w:hAnsi="Times New Roman"/>
          <w:color w:val="000000"/>
          <w:sz w:val="24"/>
        </w:rPr>
        <w:t xml:space="preserve">” means the cash price payable by the Company to redeem any Note upon its Redemption, calculated pursuant to </w:t>
      </w:r>
      <w:r>
        <w:rPr>
          <w:rFonts w:ascii="Times New Roman" w:hAnsi="Times New Roman"/>
          <w:b/>
          <w:color w:val="000000"/>
          <w:sz w:val="24"/>
        </w:rPr>
        <w:t>Section 4.03(F)</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Regular Record Date</w:t>
      </w:r>
      <w:r>
        <w:rPr>
          <w:rFonts w:ascii="Times New Roman" w:hAnsi="Times New Roman"/>
          <w:color w:val="000000"/>
          <w:sz w:val="24"/>
        </w:rPr>
        <w:t>” has the following meaning with respect to an Interest Payment Date: (A) if such Interest Payment Date occurs on June 1, the immediately preceding May 15 (whether or not a Business Day); and (B) if such Interest Payment Date occurs on December 1, the immediately preceding November 15 (whether or not a Business Day).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Repurchase Upon Fundamental Change</w:t>
      </w:r>
      <w:r>
        <w:rPr>
          <w:rFonts w:ascii="Times New Roman" w:hAnsi="Times New Roman"/>
          <w:color w:val="000000"/>
          <w:sz w:val="24"/>
        </w:rPr>
        <w:t xml:space="preserve">” means the repurchase of any Note by the Company pursuant to </w:t>
      </w:r>
      <w:r>
        <w:rPr>
          <w:rFonts w:ascii="Times New Roman" w:hAnsi="Times New Roman"/>
          <w:b/>
          <w:color w:val="000000"/>
          <w:sz w:val="24"/>
        </w:rPr>
        <w:t>Section 4.02</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Responsible Officer</w:t>
      </w:r>
      <w:r>
        <w:rPr>
          <w:rFonts w:ascii="Times New Roman" w:hAnsi="Times New Roman"/>
          <w:color w:val="000000"/>
          <w:sz w:val="24"/>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Restricted Note Legend</w:t>
      </w:r>
      <w:r>
        <w:rPr>
          <w:rFonts w:ascii="Times New Roman" w:hAnsi="Times New Roman"/>
          <w:color w:val="000000"/>
          <w:sz w:val="24"/>
        </w:rPr>
        <w:t xml:space="preserve">” means a legend substantially in the form set forth in </w:t>
      </w:r>
      <w:r>
        <w:rPr>
          <w:rFonts w:ascii="Times New Roman" w:hAnsi="Times New Roman"/>
          <w:b/>
          <w:color w:val="000000"/>
          <w:sz w:val="24"/>
        </w:rPr>
        <w:t>Exhibit B-1</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Restricted Share Legend</w:t>
      </w:r>
      <w:r>
        <w:rPr>
          <w:rFonts w:ascii="Times New Roman" w:hAnsi="Times New Roman"/>
          <w:color w:val="000000"/>
          <w:sz w:val="24"/>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Rule 12b-25</w:t>
      </w:r>
      <w:r>
        <w:rPr>
          <w:rFonts w:ascii="Times New Roman" w:hAnsi="Times New Roman"/>
          <w:color w:val="000000"/>
          <w:sz w:val="24"/>
        </w:rPr>
        <w:t>” means Rule 12b-25 under the Exchange Act (or any successor rule thereto), as the same may be amended from time to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Rule 144</w:t>
      </w:r>
      <w:r>
        <w:rPr>
          <w:rFonts w:ascii="Times New Roman" w:hAnsi="Times New Roman"/>
          <w:color w:val="000000"/>
          <w:sz w:val="24"/>
        </w:rPr>
        <w:t>” means Rule 144 under the Securities Act (or any successor rule thereto), as the same may be amended from time to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Rule 144A</w:t>
      </w:r>
      <w:r>
        <w:rPr>
          <w:rFonts w:ascii="Times New Roman" w:hAnsi="Times New Roman"/>
          <w:color w:val="000000"/>
          <w:sz w:val="24"/>
        </w:rPr>
        <w:t>” means Rule 144A under the Securities Act (or any successor rule thereto), as the same may be amended from time to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Scheduled Trading Day</w:t>
      </w:r>
      <w:r>
        <w:rPr>
          <w:rFonts w:ascii="Times New Roman" w:hAnsi="Times New Roman"/>
          <w:color w:val="000000"/>
          <w:sz w:val="24"/>
        </w:rPr>
        <w:t>” means any day that is scheduled to be a Trading Day on the principal U.S. national or regional securities exchange on which the Ordinary Shares are then listed or, if the Ordinary Shares are not then listed on a U.S. national or regional securities exchange, on the principal other market on which the Ordinary Shares are then traded. If the Ordinary Shares are not so listed or traded, then “Scheduled Trading Day” means a Business Day.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SEC</w:t>
      </w:r>
      <w:r>
        <w:rPr>
          <w:rFonts w:ascii="Times New Roman" w:hAnsi="Times New Roman"/>
          <w:color w:val="000000"/>
          <w:sz w:val="24"/>
        </w:rPr>
        <w:t>” means the U.S. Securities and Exchange Commission.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Securities Act</w:t>
      </w:r>
      <w:r>
        <w:rPr>
          <w:rFonts w:ascii="Times New Roman" w:hAnsi="Times New Roman"/>
          <w:color w:val="000000"/>
          <w:sz w:val="24"/>
        </w:rPr>
        <w:t>” means the U.S. Securities Act of 1933, as amended.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Security</w:t>
      </w:r>
      <w:r>
        <w:rPr>
          <w:rFonts w:ascii="Times New Roman" w:hAnsi="Times New Roman"/>
          <w:color w:val="000000"/>
          <w:sz w:val="24"/>
        </w:rPr>
        <w:t>” means any Note or Conversion Share.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Settlement Method</w:t>
      </w:r>
      <w:r>
        <w:rPr>
          <w:rFonts w:ascii="Times New Roman" w:hAnsi="Times New Roman"/>
          <w:color w:val="000000"/>
          <w:sz w:val="24"/>
        </w:rPr>
        <w:t>” means Cash Settlement, Physical Settlement or Combination Settlement.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- 10 -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Share Price</w:t>
      </w:r>
      <w:r>
        <w:rPr>
          <w:rFonts w:ascii="Times New Roman" w:hAnsi="Times New Roman"/>
          <w:color w:val="000000"/>
          <w:sz w:val="24"/>
        </w:rPr>
        <w:t xml:space="preserve">” has the following meaning for any Make-Whole Fundamental Change: (A) if the holders of Ordinary Shares receive only cash in consideration for their Ordinary Shares in such Make-Whole Fundamental Change and such Make-Whole Fundamental Change is pursuant to </w:t>
      </w:r>
      <w:r>
        <w:rPr>
          <w:rFonts w:ascii="Times New Roman" w:hAnsi="Times New Roman"/>
          <w:b/>
          <w:color w:val="000000"/>
          <w:sz w:val="24"/>
        </w:rPr>
        <w:t>clause (B)</w:t>
      </w:r>
      <w:r>
        <w:rPr>
          <w:rFonts w:ascii="Times New Roman" w:hAnsi="Times New Roman"/>
          <w:color w:val="000000"/>
          <w:sz w:val="24"/>
        </w:rPr>
        <w:t xml:space="preserve"> of the definition of “Fundamental Change,” then the Share Price is the amount of cash paid per Ordinary Share in such Make-Whole Fundamental Change; and (B) in all other cases, the Share Price is the average of the Last Reported Sale Prices per Ordinary Share for the five (5) consecutive Trading Days ending on, and including, the Trading Day immediately before the Make-Whole Fundamental Change Effective Date of such Make-Whole Fundamental Change.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Shoe Option</w:t>
      </w:r>
      <w:r>
        <w:rPr>
          <w:rFonts w:ascii="Times New Roman" w:hAnsi="Times New Roman"/>
          <w:color w:val="000000"/>
          <w:sz w:val="24"/>
        </w:rPr>
        <w:t>” means the Initial Purchasers’ option to purchase up to one hundred fifty million dollars ($150,000,000) aggregate principal amount of additional Notes as provided for in the Purchase Agreement.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Significant Subsidiary</w:t>
      </w:r>
      <w:r>
        <w:rPr>
          <w:rFonts w:ascii="Times New Roman" w:hAnsi="Times New Roman"/>
          <w:color w:val="000000"/>
          <w:sz w:val="24"/>
        </w:rPr>
        <w:t xml:space="preserve">” means, with respect to any Person, any Subsidiary of such Person that constitutes a “significant subsidiary” (as defined in Rule 1-02(w) of Regulation S-X under the Exchange Act) of such Person;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fifty million dollars ($50,000,000).</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Special Interest</w:t>
      </w:r>
      <w:r>
        <w:rPr>
          <w:rFonts w:ascii="Times New Roman" w:hAnsi="Times New Roman"/>
          <w:color w:val="000000"/>
          <w:sz w:val="24"/>
        </w:rPr>
        <w:t xml:space="preserve">” means any interest that accrues on any Note pursuant to </w:t>
      </w:r>
      <w:r>
        <w:rPr>
          <w:rFonts w:ascii="Times New Roman" w:hAnsi="Times New Roman"/>
          <w:b/>
          <w:color w:val="000000"/>
          <w:sz w:val="24"/>
        </w:rPr>
        <w:t>Section 7.03</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Specified Dollar Amount</w:t>
      </w:r>
      <w:r>
        <w:rPr>
          <w:rFonts w:ascii="Times New Roman" w:hAnsi="Times New Roman"/>
          <w:color w:val="000000"/>
          <w:sz w:val="24"/>
        </w:rPr>
        <w:t>” means, with respect to the Conversion of a Note to which Combination Settlement applies, the maximum cash amount per $1,000 principal amount of such Note deliverable upon such Conversion (excluding cash in lieu of any fractional Ordinary Share).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Subsidiary</w:t>
      </w:r>
      <w:r>
        <w:rPr>
          <w:rFonts w:ascii="Times New Roman" w:hAnsi="Times New Roman"/>
          <w:color w:val="000000"/>
          <w:sz w:val="24"/>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shareholders’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Tax</w:t>
      </w:r>
      <w:r>
        <w:rPr>
          <w:rFonts w:ascii="Times New Roman" w:hAnsi="Times New Roman"/>
          <w:color w:val="000000"/>
          <w:sz w:val="24"/>
        </w:rPr>
        <w:t>” means any tax, duty, levy, impost, assessment or other governmental charge (including penalties and interest and other similar liabilities related thereto). For the avoidance of doubt, any withholding or deduction made for or on account of FATCA shall be deemed to be a “Tax.”</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- 11 -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Tax Redemption</w:t>
      </w:r>
      <w:r>
        <w:rPr>
          <w:rFonts w:ascii="Times New Roman" w:hAnsi="Times New Roman"/>
          <w:color w:val="000000"/>
          <w:sz w:val="24"/>
        </w:rPr>
        <w:t xml:space="preserve">” means the repurchase of any Note pursuant to </w:t>
      </w:r>
      <w:r>
        <w:rPr>
          <w:rFonts w:ascii="Times New Roman" w:hAnsi="Times New Roman"/>
          <w:b/>
          <w:color w:val="000000"/>
          <w:sz w:val="24"/>
        </w:rPr>
        <w:t>Section 4.03(C)</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Trading Day</w:t>
      </w:r>
      <w:r>
        <w:rPr>
          <w:rFonts w:ascii="Times New Roman" w:hAnsi="Times New Roman"/>
          <w:color w:val="000000"/>
          <w:sz w:val="24"/>
        </w:rPr>
        <w:t>” means any day on which (A) trading in the Ordinary Shares generally occurs on the principal U.S. national or regional securities exchange on which the Ordinary Shares are then listed or, if the Ordinary Shares are not then listed on a U.S. national or regional securities exchange, on the principal other market on which the Ordinary Shares are then traded; and (B) there is no Market Disruption Event. If the Ordinary Shares are not so listed or traded, then “Trading Day” means a Business Day.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Trading Price</w:t>
      </w:r>
      <w:r>
        <w:rPr>
          <w:rFonts w:ascii="Times New Roman" w:hAnsi="Times New Roman"/>
          <w:color w:val="000000"/>
          <w:sz w:val="24"/>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Ordinary Share on such Trading Day and the Conversion Rate on such Trading Day.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Transfer-Restricted Security</w:t>
      </w:r>
      <w:r>
        <w:rPr>
          <w:rFonts w:ascii="Times New Roman" w:hAnsi="Times New Roman"/>
          <w:color w:val="000000"/>
          <w:sz w:val="24"/>
        </w:rPr>
        <w:t xml:space="preserve">” means any Security that constitutes a “restricted security” (as defined in Rule 144);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Security will cease to be a Transfer-Restricted Security upon the earliest to occur of the following events: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such Security is sold or otherwise transferred to a Person (other than the Company or an Affiliate of the Company) pursuant to a registration statement that was effective under the Securities Act at the time of such sale or transfer;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- 12 -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is under no obligation to determine whether any Security is a Transfer-Restricted Security and may conclusively rely on an Officer’s Certificate with respect thereto.</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Trust Indenture Act</w:t>
      </w:r>
      <w:r>
        <w:rPr>
          <w:rFonts w:ascii="Times New Roman" w:hAnsi="Times New Roman"/>
          <w:color w:val="000000"/>
          <w:sz w:val="24"/>
        </w:rPr>
        <w:t>” means the U.S. Trust Indenture Act of 1939, as amended.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Trustee</w:t>
      </w:r>
      <w:r>
        <w:rPr>
          <w:rFonts w:ascii="Times New Roman" w:hAnsi="Times New Roman"/>
          <w:color w:val="000000"/>
          <w:sz w:val="24"/>
        </w:rPr>
        <w:t>” means the Person named as such in the first paragraph of this Indenture until a successor replaces it in accordance with the provisions of this Indenture and, thereafter, means such successor.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VWAP Market Disruption Event</w:t>
      </w:r>
      <w:r>
        <w:rPr>
          <w:rFonts w:ascii="Times New Roman" w:hAnsi="Times New Roman"/>
          <w:color w:val="000000"/>
          <w:sz w:val="24"/>
        </w:rPr>
        <w:t>” means, with respect to any date, (A) the failure by the principal U.S. national or regional securities exchange on which the Ordinary Shares are then listed, or, if the Ordinary Shares are not then listed on a U.S. national or regional securities exchange, the principal other market on which the Ordinary Shares are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Ordinary Shares or in any options contracts or futures contracts relating to the Ordinary Shares, and such suspension or limitation occurs or exists at any time before 1:00 p.m., New York City time, on such date.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VWAP Trading Day</w:t>
      </w:r>
      <w:r>
        <w:rPr>
          <w:rFonts w:ascii="Times New Roman" w:hAnsi="Times New Roman"/>
          <w:color w:val="000000"/>
          <w:sz w:val="24"/>
        </w:rPr>
        <w:t>” means a day on which (A) there is no VWAP Market Disruption Event; and (B) trading in the Ordinary Shares generally occurs on the principal U.S. national or regional securities exchange on which the Ordinary Shares are then listed or, if the Ordinary Shares are not then listed on a U.S. national or regional securities exchange, on the principal other market on which the Ordinary Shares are then traded. If the Ordinary Shares are not so listed or traded, then “VWAP Trading Day” means a Business Day.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Wholly Owned Subsidiary</w:t>
      </w:r>
      <w:r>
        <w:rPr>
          <w:rFonts w:ascii="Times New Roman" w:hAnsi="Times New Roman"/>
          <w:color w:val="000000"/>
          <w:sz w:val="24"/>
        </w:rPr>
        <w:t>” of a Person means any Subsidiary of such Person all of the outstanding Capital Stock or other ownership interests of which (other than directors’ qualifying shares) are owned by such Person or one or more Wholly Owned Subsidiaries of such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- 13 -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1.02.  Other Definitions.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0e0e3588cdda40b7b1023ec690d14911"/>
      <w:bookmarkStart w:id="39" w:name="z0e0e3588cdda40b7b1023ec690d14911"/>
      <w:bookmarkEnd w:id="39"/>
    </w:p>
    <w:tbl>
      <w:tblPr>
        <w:tblW w:w="7105" w:type="dxa"/>
        <w:jc w:val="left"/>
        <w:tblInd w:w="0" w:type="dxa"/>
        <w:tblLayout w:type="fixed"/>
        <w:tblCellMar>
          <w:top w:w="0" w:type="dxa"/>
          <w:left w:w="0" w:type="dxa"/>
          <w:bottom w:w="28" w:type="dxa"/>
          <w:right w:w="0" w:type="dxa"/>
        </w:tblCellMar>
      </w:tblPr>
      <w:tblGrid>
        <w:gridCol w:w="5675"/>
        <w:gridCol w:w="60"/>
        <w:gridCol w:w="1370"/>
      </w:tblGrid>
      <w:tr>
        <w:trPr/>
        <w:tc>
          <w:tcPr>
            <w:tcW w:w="5675" w:type="dxa"/>
            <w:tcBorders>
              <w:bottom w:val="single" w:sz="2" w:space="0" w:color="000000"/>
            </w:tcBorders>
            <w:vAlign w:val="center"/>
          </w:tcPr>
          <w:p>
            <w:pPr>
              <w:pStyle w:val="TableContents"/>
              <w:bidi w:val="0"/>
              <w:spacing w:before="0" w:after="0"/>
              <w:jc w:val="left"/>
              <w:rPr>
                <w:rFonts w:ascii="Times New Roman" w:hAnsi="Times New Roman"/>
                <w:sz w:val="24"/>
              </w:rPr>
            </w:pPr>
            <w:r>
              <w:rPr>
                <w:rFonts w:ascii="Times New Roman" w:hAnsi="Times New Roman"/>
                <w:sz w:val="24"/>
              </w:rPr>
              <w:t>Term</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0"/>
              <w:jc w:val="right"/>
              <w:rPr>
                <w:rFonts w:ascii="Times New Roman" w:hAnsi="Times New Roman"/>
                <w:sz w:val="24"/>
              </w:rPr>
            </w:pPr>
            <w:r>
              <w:rPr>
                <w:rFonts w:ascii="Times New Roman" w:hAnsi="Times New Roman"/>
                <w:sz w:val="24"/>
              </w:rPr>
              <w:t>Defined in</w:t>
            </w:r>
          </w:p>
          <w:p>
            <w:pPr>
              <w:pStyle w:val="TableContents"/>
              <w:bidi w:val="0"/>
              <w:spacing w:before="0" w:after="0"/>
              <w:jc w:val="right"/>
              <w:rPr>
                <w:rFonts w:ascii="Times New Roman" w:hAnsi="Times New Roman"/>
                <w:sz w:val="24"/>
              </w:rPr>
            </w:pPr>
            <w:r>
              <w:rPr>
                <w:rFonts w:ascii="Times New Roman" w:hAnsi="Times New Roman"/>
                <w:sz w:val="24"/>
              </w:rPr>
              <w:t>Section</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Additional Amounts</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3.05(A)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Additional Shares</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5.07(A)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Business Combination Event</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6.01(A)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Cash Settlement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5.03(A)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Combination Settlement</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5.03(A)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Conversion Agent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2.06(A)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Conversion Consideration</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5.03(B)</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Default Interest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2.05(B)</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Defaulted Amount</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2.05(B)</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Deferred Additional Interest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3.04(C)(i)</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Deferred Additional Interest Demand Request</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3.04(C)(i)</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Event of Default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7.01(A)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Expiration Date</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5.05(A)(v)</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Expiration Time</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5.05(A)(v)</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FATCA</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3.05(A)(iv)</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Fundamental Change Notice</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4.02(E)</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Fundamental Change Repurchase Right</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4.02(A)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Initial Notes</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2.03(A)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Measurement Period</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5.01(C)(i)(2)</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Notice of Election to Pay Deferred Additional Interest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3.04(C)(i)</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Ordinary Share Change Event</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5.09(A)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Paying Agent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2.06(A)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Physical Settlement</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5.03(A)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Redemption Notice</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4.03(G)</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Reference Property</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5.09(A)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Reference Property Unit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5.09(A)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Register</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2.06(B)</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Registrar</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2.06(A)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Relevant Taxing Jurisdiction</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3.05(A)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Reporting Event of Default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7.03(A)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Specified Courts</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11.07</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Spin-Off</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5.05(A)(iii)(2)</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Spin-Off Valuation Period</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5.05(A)(iii)(2)</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Stated Interest</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2.05(A)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Successor Entity</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6.01(A)</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Successor Person</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5.09(A)</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Tax Redemption Opt-Out Election</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4.03(C)(ii)</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Tax Redemption Opt-Out Election Notice</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4.03(C)(ii)(1)</w:t>
            </w:r>
          </w:p>
        </w:tc>
      </w:tr>
      <w:tr>
        <w:trPr/>
        <w:tc>
          <w:tcPr>
            <w:tcW w:w="5675" w:type="dxa"/>
            <w:tcBorders/>
            <w:shd w:fill="CCEEFF" w:val="clear"/>
            <w:tcMar>
              <w:bottom w:w="0" w:type="dxa"/>
            </w:tcMar>
            <w:vAlign w:val="center"/>
          </w:tcPr>
          <w:p>
            <w:pPr>
              <w:pStyle w:val="TableContents"/>
              <w:bidi w:val="0"/>
              <w:spacing w:before="0" w:after="0"/>
              <w:jc w:val="both"/>
              <w:rPr/>
            </w:pPr>
            <w:r>
              <w:rPr/>
              <w:t>“</w:t>
            </w:r>
            <w:r>
              <w:rPr>
                <w:rFonts w:ascii="Times New Roman" w:hAnsi="Times New Roman"/>
                <w:b/>
                <w:sz w:val="24"/>
              </w:rPr>
              <w:t>Tender/Exchange Offer Valuation Period</w:t>
            </w:r>
            <w:r>
              <w:rPr>
                <w:rFonts w:ascii="Times New Roman" w:hAnsi="Times New Roman"/>
                <w:sz w:val="2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5.05(A)(v)</w:t>
            </w:r>
          </w:p>
        </w:tc>
      </w:tr>
      <w:tr>
        <w:trPr/>
        <w:tc>
          <w:tcPr>
            <w:tcW w:w="5675" w:type="dxa"/>
            <w:tcBorders/>
            <w:tcMar>
              <w:bottom w:w="0" w:type="dxa"/>
            </w:tcMar>
            <w:vAlign w:val="center"/>
          </w:tcPr>
          <w:p>
            <w:pPr>
              <w:pStyle w:val="TableContents"/>
              <w:bidi w:val="0"/>
              <w:spacing w:before="0" w:after="0"/>
              <w:jc w:val="both"/>
              <w:rPr/>
            </w:pPr>
            <w:r>
              <w:rPr/>
              <w:t>“</w:t>
            </w:r>
            <w:r>
              <w:rPr>
                <w:rFonts w:ascii="Times New Roman" w:hAnsi="Times New Roman"/>
                <w:b/>
                <w:sz w:val="24"/>
              </w:rPr>
              <w:t>Trading Price Condition</w:t>
            </w:r>
            <w:r>
              <w:rPr>
                <w:rFonts w:ascii="Times New Roman" w:hAnsi="Times New Roman"/>
                <w:sz w:val="24"/>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right"/>
              <w:rPr>
                <w:rFonts w:ascii="Times New Roman" w:hAnsi="Times New Roman"/>
                <w:b/>
                <w:sz w:val="24"/>
              </w:rPr>
            </w:pPr>
            <w:r>
              <w:rPr>
                <w:rFonts w:ascii="Times New Roman" w:hAnsi="Times New Roman"/>
                <w:b/>
                <w:sz w:val="24"/>
              </w:rPr>
              <w:t>5.01(C)(i)(2)</w:t>
            </w:r>
          </w:p>
        </w:tc>
      </w:tr>
    </w:tbl>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1.03.    Rules of Construction.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For purposes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w:t>
      </w:r>
      <w:r>
        <w:rPr>
          <w:rFonts w:ascii="Times New Roman" w:hAnsi="Times New Roman"/>
          <w:color w:val="000000"/>
          <w:sz w:val="24"/>
        </w:rPr>
        <w:t>or” is not exclusive;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w:t>
      </w:r>
      <w:r>
        <w:rPr>
          <w:rFonts w:ascii="Times New Roman" w:hAnsi="Times New Roman"/>
          <w:color w:val="000000"/>
          <w:sz w:val="24"/>
        </w:rPr>
        <w:t>including” means “including without limitation”;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w:t>
      </w:r>
      <w:r>
        <w:rPr>
          <w:rFonts w:ascii="Times New Roman" w:hAnsi="Times New Roman"/>
          <w:color w:val="000000"/>
          <w:sz w:val="24"/>
        </w:rPr>
        <w:t>will” expresses a command;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“average” of a set of numerical values refers to the arithmetic average of such numerical values;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words in the singular include the plural and in the plural include the singular, unless the context requires otherwise;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w:t>
      </w:r>
      <w:r>
        <w:rPr>
          <w:rFonts w:ascii="Times New Roman" w:hAnsi="Times New Roman"/>
          <w:color w:val="000000"/>
          <w:sz w:val="24"/>
        </w:rPr>
        <w:t>herein,” “hereof” and other words of similar import refer to this Indenture as a whole and not to any particular Article, Section or other subdivision of this Indenture, unless the context requires otherwise;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references to currency mean the lawful currency of the United States of America, unless the context requires otherwise;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w:t>
      </w:r>
      <w:r>
        <w:rPr>
          <w:rFonts w:ascii="Times New Roman" w:hAnsi="Times New Roman"/>
          <w:color w:val="000000"/>
          <w:sz w:val="24"/>
        </w:rPr>
        <w:t>the exhibits, schedules and other attachments to this Indenture are deemed to form part of this Indenture;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the term “</w:t>
      </w:r>
      <w:r>
        <w:rPr>
          <w:rFonts w:ascii="Times New Roman" w:hAnsi="Times New Roman"/>
          <w:b/>
          <w:color w:val="000000"/>
          <w:sz w:val="24"/>
        </w:rPr>
        <w:t>interest</w:t>
      </w:r>
      <w:r>
        <w:rPr>
          <w:rFonts w:ascii="Times New Roman" w:hAnsi="Times New Roman"/>
          <w:color w:val="000000"/>
          <w:sz w:val="24"/>
        </w:rPr>
        <w:t>,” when used with respect to a Note, includes any Default Interest, Additional Interest (including, if applicable, Deferred Additional Interest and interest on such Deferred Additional Interest) and Special Interest, unless the context requires otherwise.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Article 2.     THE NOTES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2.01.     Form, Dating and Denominations.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Notes and the Trustee’s certificate of authentication will be substantially in the form set forth in </w:t>
      </w:r>
      <w:r>
        <w:rPr>
          <w:rFonts w:ascii="Times New Roman" w:hAnsi="Times New Roman"/>
          <w:b/>
          <w:color w:val="000000"/>
          <w:sz w:val="24"/>
        </w:rPr>
        <w:t>Exhibit A</w:t>
      </w:r>
      <w:r>
        <w:rPr>
          <w:rFonts w:ascii="Times New Roman" w:hAnsi="Times New Roman"/>
          <w:color w:val="000000"/>
          <w:sz w:val="24"/>
        </w:rPr>
        <w:t xml:space="preserve">. The Notes will bear the legends required by </w:t>
      </w:r>
      <w:r>
        <w:rPr>
          <w:rFonts w:ascii="Times New Roman" w:hAnsi="Times New Roman"/>
          <w:b/>
          <w:color w:val="000000"/>
          <w:sz w:val="24"/>
        </w:rPr>
        <w:t>Section 2.09</w:t>
      </w:r>
      <w:r>
        <w:rPr>
          <w:rFonts w:ascii="Times New Roman" w:hAnsi="Times New Roman"/>
          <w:color w:val="000000"/>
          <w:sz w:val="24"/>
        </w:rPr>
        <w:t xml:space="preserve"> and may bear notations, legends or endorsements required by law, stock exchange rule or usage or the Depositary. Each Note will be dated as of the date of its authentication.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hAnsi="Times New Roman"/>
          <w:b/>
          <w:color w:val="000000"/>
          <w:sz w:val="24"/>
        </w:rPr>
        <w:t>Section 2.10</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Notes will be issuable only in registered form without interest coupons and only in Authorized Denominations.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certificate representing a Note will bear a unique registration number that is not affixed to any other certificate representing another outstanding Note.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to the extent that any provision of any Note conflicts with the provisions of this Indenture, the provisions of this Indenture will control for purposes of this Indenture and such Note.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- 15 -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2.02.    Execution, Authentication and Delivery.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Due Execution by the Company</w:t>
      </w:r>
      <w:r>
        <w:rPr>
          <w:rFonts w:ascii="Times New Roman" w:hAnsi="Times New Roman"/>
          <w:color w:val="000000"/>
          <w:sz w:val="24"/>
        </w:rPr>
        <w:t>. At least one (1) duly authorized Officer will sign the Notes on behalf of the Company by manual, electronic or facsimile signature. A Note’s validity will not be affected by the failure of any Officer whose signature is on any Note to hold, at the time such Note is authenticated, the same or any other office at the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Authentication by the Trustee and Delivery</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hAnsi="Times New Roman"/>
          <w:b/>
          <w:color w:val="000000"/>
          <w:sz w:val="24"/>
        </w:rPr>
        <w:t>Section 2.02(A)</w:t>
      </w:r>
      <w:r>
        <w:rPr>
          <w:rFonts w:ascii="Times New Roman" w:hAnsi="Times New Roman"/>
          <w:color w:val="000000"/>
          <w:sz w:val="24"/>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2.03.     Initial Notes and Additional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Initial Notes</w:t>
      </w:r>
      <w:r>
        <w:rPr>
          <w:rFonts w:ascii="Times New Roman" w:hAnsi="Times New Roman"/>
          <w:color w:val="000000"/>
          <w:sz w:val="24"/>
        </w:rPr>
        <w:t xml:space="preserve">. On the Issue Date, there will be originally issued one billion one  hundred fifty million dollars ($1,150,000,000) aggregate principal amount of Notes, subject to the provisions of this Indenture (including </w:t>
      </w:r>
      <w:r>
        <w:rPr>
          <w:rFonts w:ascii="Times New Roman" w:hAnsi="Times New Roman"/>
          <w:b/>
          <w:color w:val="000000"/>
          <w:sz w:val="24"/>
        </w:rPr>
        <w:t>Section 2.02</w:t>
      </w:r>
      <w:r>
        <w:rPr>
          <w:rFonts w:ascii="Times New Roman" w:hAnsi="Times New Roman"/>
          <w:color w:val="000000"/>
          <w:sz w:val="24"/>
        </w:rPr>
        <w:t xml:space="preserve">). Notes issued pursuant to this </w:t>
      </w:r>
      <w:r>
        <w:rPr>
          <w:rFonts w:ascii="Times New Roman" w:hAnsi="Times New Roman"/>
          <w:b/>
          <w:color w:val="000000"/>
          <w:sz w:val="24"/>
        </w:rPr>
        <w:t>Section 2.03(A)</w:t>
      </w:r>
      <w:r>
        <w:rPr>
          <w:rFonts w:ascii="Times New Roman" w:hAnsi="Times New Roman"/>
          <w:color w:val="000000"/>
          <w:sz w:val="24"/>
        </w:rPr>
        <w:t>, and any Notes issued in exchange therefor or in substitution thereof, are referred to in this Indenture as the “</w:t>
      </w:r>
      <w:r>
        <w:rPr>
          <w:rFonts w:ascii="Times New Roman" w:hAnsi="Times New Roman"/>
          <w:b/>
          <w:color w:val="000000"/>
          <w:sz w:val="24"/>
        </w:rPr>
        <w:t>Initial Notes</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Additional Notes</w:t>
      </w:r>
      <w:r>
        <w:rPr>
          <w:rFonts w:ascii="Times New Roman" w:hAnsi="Times New Roman"/>
          <w:color w:val="000000"/>
          <w:sz w:val="24"/>
        </w:rPr>
        <w:t xml:space="preserve">. Without the consent of any Holder, the Company may, subject to the provisions of this Indenture (including </w:t>
      </w:r>
      <w:r>
        <w:rPr>
          <w:rFonts w:ascii="Times New Roman" w:hAnsi="Times New Roman"/>
          <w:b/>
          <w:color w:val="000000"/>
          <w:sz w:val="24"/>
        </w:rPr>
        <w:t>Section 2.02</w:t>
      </w:r>
      <w:r>
        <w:rPr>
          <w:rFonts w:ascii="Times New Roman" w:hAnsi="Times New Roman"/>
          <w:color w:val="000000"/>
          <w:sz w:val="24"/>
        </w:rPr>
        <w:t xml:space="preserve">), originally issue additional Notes with the same terms as the Initial Notes (except, to the extent applicable, with respect to the date as of which interest begins to accrue on such additional Notes and the first Interest Payment Date for,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any such additional Notes (and any Notes that are resold after such Notes have been purchased or otherwise acquired by the Company or its Subsidiaries) are not fungible with other Notes issued under this Indenture for purposes of federal income tax or federal securities laws or, if applicable, the Depositary Procedures, then such additional or resold Notes will be identified by a separate CUSIP number or by no CUSIP number.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- 16 -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2.04.     Method of Payment.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Global Notes</w:t>
      </w:r>
      <w:r>
        <w:rPr>
          <w:rFonts w:ascii="Times New Roman" w:hAnsi="Times New Roman"/>
          <w:color w:val="000000"/>
          <w:sz w:val="24"/>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Physical Notes</w:t>
      </w:r>
      <w:r>
        <w:rPr>
          <w:rFonts w:ascii="Times New Roman" w:hAnsi="Times New Roman"/>
          <w:color w:val="000000"/>
          <w:sz w:val="24"/>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2.05.     Accrual of Interest; Defaulted Amounts; When Payment Date is Not a Business Day.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Accrual of Interest</w:t>
      </w:r>
      <w:r>
        <w:rPr>
          <w:rFonts w:ascii="Times New Roman" w:hAnsi="Times New Roman"/>
          <w:color w:val="000000"/>
          <w:sz w:val="24"/>
        </w:rPr>
        <w:t>. Each Note will accrue interest at a rate per annum equal to 0.25% (the “</w:t>
      </w:r>
      <w:r>
        <w:rPr>
          <w:rFonts w:ascii="Times New Roman" w:hAnsi="Times New Roman"/>
          <w:b/>
          <w:color w:val="000000"/>
          <w:sz w:val="24"/>
        </w:rPr>
        <w:t>Stated Interest</w:t>
      </w:r>
      <w:r>
        <w:rPr>
          <w:rFonts w:ascii="Times New Roman" w:hAnsi="Times New Roman"/>
          <w:color w:val="000000"/>
          <w:sz w:val="24"/>
        </w:rPr>
        <w:t xml:space="preserve">”), plus any Default Interest, Additional Interest and Special Interest that may accrue pursuant to </w:t>
      </w:r>
      <w:r>
        <w:rPr>
          <w:rFonts w:ascii="Times New Roman" w:hAnsi="Times New Roman"/>
          <w:b/>
          <w:color w:val="000000"/>
          <w:sz w:val="24"/>
        </w:rPr>
        <w:t>Sections 2.05(B)</w:t>
      </w:r>
      <w:r>
        <w:rPr>
          <w:rFonts w:ascii="Times New Roman" w:hAnsi="Times New Roman"/>
          <w:color w:val="000000"/>
          <w:sz w:val="24"/>
        </w:rPr>
        <w:t xml:space="preserve">, </w:t>
      </w:r>
      <w:r>
        <w:rPr>
          <w:rFonts w:ascii="Times New Roman" w:hAnsi="Times New Roman"/>
          <w:b/>
          <w:color w:val="000000"/>
          <w:sz w:val="24"/>
        </w:rPr>
        <w:t>3.04</w:t>
      </w:r>
      <w:r>
        <w:rPr>
          <w:rFonts w:ascii="Times New Roman" w:hAnsi="Times New Roman"/>
          <w:color w:val="000000"/>
          <w:sz w:val="24"/>
        </w:rPr>
        <w:t xml:space="preserve"> and </w:t>
      </w:r>
      <w:r>
        <w:rPr>
          <w:rFonts w:ascii="Times New Roman" w:hAnsi="Times New Roman"/>
          <w:b/>
          <w:color w:val="000000"/>
          <w:sz w:val="24"/>
        </w:rPr>
        <w:t>7.03</w:t>
      </w:r>
      <w:r>
        <w:rPr>
          <w:rFonts w:ascii="Times New Roman" w:hAnsi="Times New Roman"/>
          <w:color w:val="000000"/>
          <w:sz w:val="24"/>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4.02(D)</w:t>
      </w:r>
      <w:r>
        <w:rPr>
          <w:rFonts w:ascii="Times New Roman" w:hAnsi="Times New Roman"/>
          <w:color w:val="000000"/>
          <w:sz w:val="24"/>
        </w:rPr>
        <w:t xml:space="preserve">, </w:t>
      </w:r>
      <w:r>
        <w:rPr>
          <w:rFonts w:ascii="Times New Roman" w:hAnsi="Times New Roman"/>
          <w:b/>
          <w:color w:val="000000"/>
          <w:sz w:val="24"/>
        </w:rPr>
        <w:t>4.03(F)</w:t>
      </w:r>
      <w:r>
        <w:rPr>
          <w:rFonts w:ascii="Times New Roman" w:hAnsi="Times New Roman"/>
          <w:color w:val="000000"/>
          <w:sz w:val="24"/>
        </w:rPr>
        <w:t xml:space="preserve"> and </w:t>
      </w:r>
      <w:r>
        <w:rPr>
          <w:rFonts w:ascii="Times New Roman" w:hAnsi="Times New Roman"/>
          <w:b/>
          <w:color w:val="000000"/>
          <w:sz w:val="24"/>
        </w:rPr>
        <w:t>5.02(D)</w:t>
      </w:r>
      <w:r>
        <w:rPr>
          <w:rFonts w:ascii="Times New Roman" w:hAnsi="Times New Roman"/>
          <w:color w:val="000000"/>
          <w:sz w:val="24"/>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- 17 -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Defaulted Amounts</w:t>
      </w:r>
      <w:r>
        <w:rPr>
          <w:rFonts w:ascii="Times New Roman" w:hAnsi="Times New Roman"/>
          <w:color w:val="000000"/>
          <w:sz w:val="24"/>
        </w:rPr>
        <w:t>. If the Company fails to pay any amount (a “</w:t>
      </w:r>
      <w:r>
        <w:rPr>
          <w:rFonts w:ascii="Times New Roman" w:hAnsi="Times New Roman"/>
          <w:b/>
          <w:color w:val="000000"/>
          <w:sz w:val="24"/>
        </w:rPr>
        <w:t>Defaulted Amount</w:t>
      </w:r>
      <w:r>
        <w:rPr>
          <w:rFonts w:ascii="Times New Roman" w:hAnsi="Times New Roman"/>
          <w:color w:val="000000"/>
          <w:sz w:val="24"/>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hAnsi="Times New Roman"/>
          <w:b/>
          <w:color w:val="000000"/>
          <w:sz w:val="24"/>
        </w:rPr>
        <w:t>Default Interest</w:t>
      </w:r>
      <w:r>
        <w:rPr>
          <w:rFonts w:ascii="Times New Roman" w:hAnsi="Times New Roman"/>
          <w:color w:val="000000"/>
          <w:sz w:val="24"/>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hAnsi="Times New Roman"/>
          <w:i/>
          <w:color w:val="000000"/>
          <w:sz w:val="24"/>
        </w:rPr>
        <w:t>provided</w:t>
      </w:r>
      <w:r>
        <w:rPr>
          <w:rFonts w:ascii="Times New Roman" w:hAnsi="Times New Roman"/>
          <w:color w:val="000000"/>
          <w:sz w:val="24"/>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 For the avoidance of doubt, if any Defaulted Amounts, together with any required Default Interest, are paid to Holders in accordance with the terms of this Indenture prior to (x) the expiration of any applicable grace period with respect to the Default in the relevant payment set forth in </w:t>
      </w:r>
      <w:r>
        <w:rPr>
          <w:rFonts w:ascii="Times New Roman" w:hAnsi="Times New Roman"/>
          <w:b/>
          <w:color w:val="000000"/>
          <w:sz w:val="24"/>
        </w:rPr>
        <w:t>Section 7.01(A)</w:t>
      </w:r>
      <w:r>
        <w:rPr>
          <w:rFonts w:ascii="Times New Roman" w:hAnsi="Times New Roman"/>
          <w:color w:val="000000"/>
          <w:sz w:val="24"/>
        </w:rPr>
        <w:t xml:space="preserve">; or (y) if later, the delivery of any notice of acceleration pursuant to Section </w:t>
      </w:r>
      <w:r>
        <w:rPr>
          <w:rFonts w:ascii="Times New Roman" w:hAnsi="Times New Roman"/>
          <w:b/>
          <w:color w:val="000000"/>
          <w:sz w:val="24"/>
        </w:rPr>
        <w:t>7.02(B)</w:t>
      </w:r>
      <w:r>
        <w:rPr>
          <w:rFonts w:ascii="Times New Roman" w:hAnsi="Times New Roman"/>
          <w:color w:val="000000"/>
          <w:sz w:val="24"/>
        </w:rPr>
        <w:t xml:space="preserve"> with respect to the Event of Default relating to such Default in the relevant payment, such payment Default or Event of Default shall be deemed cured and the Notes shall not be subject to acceleration on account of such payment Default or Event of Default.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Delay of Payment When Payment Date is Not a Business Day</w:t>
      </w:r>
      <w:r>
        <w:rPr>
          <w:rFonts w:ascii="Times New Roman" w:hAnsi="Times New Roman"/>
          <w:color w:val="000000"/>
          <w:sz w:val="24"/>
        </w:rPr>
        <w:t>. If the due date for a payment on a Note as provided in this Indenture is not 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2.06.    Registrar, Paying Agent and Conversion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The Company will maintain (i) an office or agency in the continental United States where Notes may be presented for registration of transfer or for exchange (the “</w:t>
      </w:r>
      <w:r>
        <w:rPr>
          <w:rFonts w:ascii="Times New Roman" w:hAnsi="Times New Roman"/>
          <w:b/>
          <w:color w:val="000000"/>
          <w:sz w:val="24"/>
        </w:rPr>
        <w:t>Registrar</w:t>
      </w:r>
      <w:r>
        <w:rPr>
          <w:rFonts w:ascii="Times New Roman" w:hAnsi="Times New Roman"/>
          <w:color w:val="000000"/>
          <w:sz w:val="24"/>
        </w:rPr>
        <w:t>”); (ii) an office or agency in the continental United States where Notes may be presented for payment (the “</w:t>
      </w:r>
      <w:r>
        <w:rPr>
          <w:rFonts w:ascii="Times New Roman" w:hAnsi="Times New Roman"/>
          <w:b/>
          <w:color w:val="000000"/>
          <w:sz w:val="24"/>
        </w:rPr>
        <w:t>Paying Agent</w:t>
      </w:r>
      <w:r>
        <w:rPr>
          <w:rFonts w:ascii="Times New Roman" w:hAnsi="Times New Roman"/>
          <w:color w:val="000000"/>
          <w:sz w:val="24"/>
        </w:rPr>
        <w:t>”); and (iii) an office or agency in the continental United States where Notes may be presented for Conversion (the “</w:t>
      </w:r>
      <w:r>
        <w:rPr>
          <w:rFonts w:ascii="Times New Roman" w:hAnsi="Times New Roman"/>
          <w:b/>
          <w:color w:val="000000"/>
          <w:sz w:val="24"/>
        </w:rPr>
        <w:t>Conversion Agent</w:t>
      </w:r>
      <w:r>
        <w:rPr>
          <w:rFonts w:ascii="Times New Roman" w:hAnsi="Times New Roman"/>
          <w:color w:val="000000"/>
          <w:sz w:val="24"/>
        </w:rPr>
        <w:t xml:space="preserve">”). If the Company 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hAnsi="Times New Roman"/>
          <w:b/>
          <w:color w:val="000000"/>
          <w:sz w:val="24"/>
        </w:rPr>
        <w:t>Section 2.06(A)</w:t>
      </w:r>
      <w:r>
        <w:rPr>
          <w:rFonts w:ascii="Times New Roman" w:hAnsi="Times New Roman"/>
          <w:color w:val="000000"/>
          <w:sz w:val="24"/>
        </w:rPr>
        <w:t>, each of the Registrar, Paying Agent and Conversion Agent with respect to any Global Note must at all times be a Person that is eligible to act in that capacity under the Depositary Procedures.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- 18 -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Duties of the Registrar</w:t>
      </w:r>
      <w:r>
        <w:rPr>
          <w:rFonts w:ascii="Times New Roman" w:hAnsi="Times New Roman"/>
          <w:color w:val="000000"/>
          <w:sz w:val="24"/>
        </w:rPr>
        <w:t>. The Registrar will keep a record (the “</w:t>
      </w:r>
      <w:r>
        <w:rPr>
          <w:rFonts w:ascii="Times New Roman" w:hAnsi="Times New Roman"/>
          <w:b/>
          <w:color w:val="000000"/>
          <w:sz w:val="24"/>
        </w:rPr>
        <w:t>Register</w:t>
      </w:r>
      <w:r>
        <w:rPr>
          <w:rFonts w:ascii="Times New Roman" w:hAnsi="Times New Roman"/>
          <w:color w:val="000000"/>
          <w:sz w:val="24"/>
        </w:rPr>
        <w:t>”)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Co-Agents; Company’s Right to Appoint Successor Registrars, Paying Agents and Conversion Agents</w:t>
      </w:r>
      <w:r>
        <w:rPr>
          <w:rFonts w:ascii="Times New Roman" w:hAnsi="Times New Roman"/>
          <w:color w:val="000000"/>
          <w:sz w:val="24"/>
        </w:rPr>
        <w:t xml:space="preserve">. The Company may appoint one or more co-Registrars, co-Paying Agents and co-Conversion Agents, each of whom will be deemed to be a Registrar, Paying Agent or Conversion Agent, as applicable, under this Indenture. Subject to </w:t>
      </w:r>
      <w:r>
        <w:rPr>
          <w:rFonts w:ascii="Times New Roman" w:hAnsi="Times New Roman"/>
          <w:b/>
          <w:color w:val="000000"/>
          <w:sz w:val="24"/>
        </w:rPr>
        <w:t>Section 2.06(A)</w:t>
      </w:r>
      <w:r>
        <w:rPr>
          <w:rFonts w:ascii="Times New Roman" w:hAnsi="Times New Roman"/>
          <w:color w:val="000000"/>
          <w:sz w:val="24"/>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Initial Appointments</w:t>
      </w:r>
      <w:r>
        <w:rPr>
          <w:rFonts w:ascii="Times New Roman" w:hAnsi="Times New Roman"/>
          <w:color w:val="000000"/>
          <w:sz w:val="24"/>
        </w:rPr>
        <w:t xml:space="preserve">. The Company appoints the Trustee as, and designates its corporate trust office identified in </w:t>
      </w:r>
      <w:r>
        <w:rPr>
          <w:rFonts w:ascii="Times New Roman" w:hAnsi="Times New Roman"/>
          <w:b/>
          <w:color w:val="000000"/>
          <w:sz w:val="24"/>
        </w:rPr>
        <w:t>Section 11.01</w:t>
      </w:r>
      <w:r>
        <w:rPr>
          <w:rFonts w:ascii="Times New Roman" w:hAnsi="Times New Roman"/>
          <w:color w:val="000000"/>
          <w:sz w:val="24"/>
        </w:rPr>
        <w:t xml:space="preserve"> in the continental United States as the office for, the initial Paying Agent, the initial Registrar and the initial Conversion Agent.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2.07.     Paying Agent and Conversion Agent to Hold Property in Trust.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(viii)</w:t>
      </w:r>
      <w:r>
        <w:rPr>
          <w:rFonts w:ascii="Times New Roman" w:hAnsi="Times New Roman"/>
          <w:color w:val="000000"/>
          <w:sz w:val="24"/>
        </w:rPr>
        <w:t xml:space="preserve"> or </w:t>
      </w:r>
      <w:r>
        <w:rPr>
          <w:rFonts w:ascii="Times New Roman" w:hAnsi="Times New Roman"/>
          <w:b/>
          <w:color w:val="000000"/>
          <w:sz w:val="24"/>
        </w:rPr>
        <w:t>(ix)</w:t>
      </w:r>
      <w:r>
        <w:rPr>
          <w:rFonts w:ascii="Times New Roman" w:hAnsi="Times New Roman"/>
          <w:color w:val="000000"/>
          <w:sz w:val="24"/>
        </w:rPr>
        <w:t xml:space="preserve"> of </w:t>
      </w:r>
      <w:r>
        <w:rPr>
          <w:rFonts w:ascii="Times New Roman" w:hAnsi="Times New Roman"/>
          <w:b/>
          <w:color w:val="000000"/>
          <w:sz w:val="24"/>
        </w:rPr>
        <w:t>Section 7.01(A)</w:t>
      </w:r>
      <w:r>
        <w:rPr>
          <w:rFonts w:ascii="Times New Roman" w:hAnsi="Times New Roman"/>
          <w:color w:val="000000"/>
          <w:sz w:val="24"/>
        </w:rPr>
        <w:t xml:space="preserve"> with respect to the Company (or with respect to any Subsidiary of the Company acting as Paying Agent or Conversion Agent), the Trustee will serve as the Paying Agent or Conversion Agent, as applicable, for the Notes.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- 19 -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2.08.     Holder Lists.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2.09.     Legends.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Global Note Legend</w:t>
      </w:r>
      <w:r>
        <w:rPr>
          <w:rFonts w:ascii="Times New Roman" w:hAnsi="Times New Roman"/>
          <w:color w:val="000000"/>
          <w:sz w:val="24"/>
        </w:rPr>
        <w:t>. Each Global Note will bear the Global Note Legend (or any similar legend, not inconsistent with this Indenture, required by the Depositary for such Global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Non-Affiliate Legend</w:t>
      </w:r>
      <w:r>
        <w:rPr>
          <w:rFonts w:ascii="Times New Roman" w:hAnsi="Times New Roman"/>
          <w:color w:val="000000"/>
          <w:sz w:val="24"/>
        </w:rPr>
        <w:t>. Each Note will bear the Non-Affiliate Legend.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Restricted Note Legend</w:t>
      </w:r>
      <w:r>
        <w:rPr>
          <w:rFonts w:ascii="Times New Roman" w:hAnsi="Times New Roman"/>
          <w:color w:val="000000"/>
          <w:sz w:val="24"/>
        </w:rPr>
        <w:t xml:space="preserve">. Subject to </w:t>
      </w:r>
      <w:r>
        <w:rPr>
          <w:rFonts w:ascii="Times New Roman" w:hAnsi="Times New Roman"/>
          <w:b/>
          <w:color w:val="000000"/>
          <w:sz w:val="24"/>
        </w:rPr>
        <w:t>Section 2.12</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w:t>
      </w:r>
      <w:r>
        <w:rPr>
          <w:rFonts w:ascii="Times New Roman" w:hAnsi="Times New Roman"/>
          <w:color w:val="000000"/>
          <w:sz w:val="24"/>
        </w:rPr>
        <w:t>each Note that is a Transfer-Restricted Security will bear the Restricted Note Legend;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if a Note is issued in exchange for, in substitution of, or to effect a partial Conversion of, another Note (such other Note being referred to as the “old Note” for purposes of this </w:t>
      </w:r>
      <w:r>
        <w:rPr>
          <w:rFonts w:ascii="Times New Roman" w:hAnsi="Times New Roman"/>
          <w:b/>
          <w:color w:val="000000"/>
          <w:sz w:val="24"/>
        </w:rPr>
        <w:t>Section 2.09(C)(ii)</w:t>
      </w:r>
      <w:r>
        <w:rPr>
          <w:rFonts w:ascii="Times New Roman" w:hAnsi="Times New Roman"/>
          <w:color w:val="000000"/>
          <w:sz w:val="24"/>
        </w:rPr>
        <w:t xml:space="preserve">), including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2.10(B)</w:t>
      </w:r>
      <w:r>
        <w:rPr>
          <w:rFonts w:ascii="Times New Roman" w:hAnsi="Times New Roman"/>
          <w:color w:val="000000"/>
          <w:sz w:val="24"/>
        </w:rPr>
        <w:t xml:space="preserve">, </w:t>
      </w:r>
      <w:r>
        <w:rPr>
          <w:rFonts w:ascii="Times New Roman" w:hAnsi="Times New Roman"/>
          <w:b/>
          <w:color w:val="000000"/>
          <w:sz w:val="24"/>
        </w:rPr>
        <w:t>2.10(C)</w:t>
      </w:r>
      <w:r>
        <w:rPr>
          <w:rFonts w:ascii="Times New Roman" w:hAnsi="Times New Roman"/>
          <w:color w:val="000000"/>
          <w:sz w:val="24"/>
        </w:rPr>
        <w:t xml:space="preserve">, </w:t>
      </w:r>
      <w:r>
        <w:rPr>
          <w:rFonts w:ascii="Times New Roman" w:hAnsi="Times New Roman"/>
          <w:b/>
          <w:color w:val="000000"/>
          <w:sz w:val="24"/>
        </w:rPr>
        <w:t>2.11</w:t>
      </w:r>
      <w:r>
        <w:rPr>
          <w:rFonts w:ascii="Times New Roman" w:hAnsi="Times New Roman"/>
          <w:color w:val="000000"/>
          <w:sz w:val="24"/>
        </w:rPr>
        <w:t xml:space="preserve"> or </w:t>
      </w:r>
      <w:r>
        <w:rPr>
          <w:rFonts w:ascii="Times New Roman" w:hAnsi="Times New Roman"/>
          <w:b/>
          <w:color w:val="000000"/>
          <w:sz w:val="24"/>
        </w:rPr>
        <w:t>2.13</w:t>
      </w:r>
      <w:r>
        <w:rPr>
          <w:rFonts w:ascii="Times New Roman" w:hAnsi="Times New Roman"/>
          <w:color w:val="000000"/>
          <w:sz w:val="24"/>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Note need not bear the Restricted Note Legend if such Note does not constitute a Transfer-Restricted Security immediately after such exchange or substitution, or as of such Conversion Date, as applicable.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Other Legends</w:t>
      </w:r>
      <w:r>
        <w:rPr>
          <w:rFonts w:ascii="Times New Roman" w:hAnsi="Times New Roman"/>
          <w:color w:val="000000"/>
          <w:sz w:val="24"/>
        </w:rPr>
        <w:t>. A Note may bear any other legend or text, not inconsistent with this Indenture, as may be required by applicable law or by any securities exchange or automated quotation system on which such Note is traded or quoted.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Acknowledgment and Agreement by the Holders</w:t>
      </w:r>
      <w:r>
        <w:rPr>
          <w:rFonts w:ascii="Times New Roman" w:hAnsi="Times New Roman"/>
          <w:color w:val="000000"/>
          <w:sz w:val="24"/>
        </w:rPr>
        <w:t xml:space="preserve">. A Holder’s acceptance of any Note bearing any legend required by this </w:t>
      </w:r>
      <w:r>
        <w:rPr>
          <w:rFonts w:ascii="Times New Roman" w:hAnsi="Times New Roman"/>
          <w:b/>
          <w:color w:val="000000"/>
          <w:sz w:val="24"/>
        </w:rPr>
        <w:t>Section 2.09</w:t>
      </w:r>
      <w:r>
        <w:rPr>
          <w:rFonts w:ascii="Times New Roman" w:hAnsi="Times New Roman"/>
          <w:color w:val="000000"/>
          <w:sz w:val="24"/>
        </w:rPr>
        <w:t xml:space="preserve"> will constitute such Holder’s acknowledgment of, and agreement to comply with, the restrictions set forth in such legend.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Restricted Share Legend</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Each Conversion Share will bear the Restricted Share Legend if the Note upon the Conversion of which such Conversion Share was issued was (or would have been had it not been Converted) a Transfer-Restricted Security at the time such Conversion Share was issued;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Conversion Share need not bear the Restricted Share Legend if the Company determines, in its reasonable discretion, that such Conversion Share need not bear the Restricted Share Legend.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Notwithstanding anything to the contrary in this </w:t>
      </w:r>
      <w:r>
        <w:rPr>
          <w:rFonts w:ascii="Times New Roman" w:hAnsi="Times New Roman"/>
          <w:b/>
          <w:color w:val="000000"/>
          <w:sz w:val="24"/>
        </w:rPr>
        <w:t>Section 2.09(F)</w:t>
      </w:r>
      <w:r>
        <w:rPr>
          <w:rFonts w:ascii="Times New Roman" w:hAnsi="Times New Roman"/>
          <w:color w:val="000000"/>
          <w:sz w:val="24"/>
        </w:rPr>
        <w:t xml:space="preserve">, a Conversion Share need not bear a Restricted Share Legend if such Conversion Share is issued in an uncertificated form that does not permit affixing legends thereto, </w:t>
      </w:r>
      <w:r>
        <w:rPr>
          <w:rFonts w:ascii="Times New Roman" w:hAnsi="Times New Roman"/>
          <w:i/>
          <w:color w:val="000000"/>
          <w:sz w:val="24"/>
        </w:rPr>
        <w:t>provided</w:t>
      </w:r>
      <w:r>
        <w:rPr>
          <w:rFonts w:ascii="Times New Roman" w:hAnsi="Times New Roman"/>
          <w:color w:val="000000"/>
          <w:sz w:val="24"/>
        </w:rPr>
        <w:t xml:space="preserve"> the Company takes measures (including the assignment thereto of a “restricted” CUSIP number) that it reasonably deems appropriate to enforce the transfer restrictions referred to in the Restricted Share Legend.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- 20 -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2.10.     Transfers and Exchanges; Certain Transfer Restrictions.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Provisions Applicable to All Transfers and Exchanges</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this </w:t>
      </w:r>
      <w:r>
        <w:rPr>
          <w:rFonts w:ascii="Times New Roman" w:hAnsi="Times New Roman"/>
          <w:b/>
          <w:color w:val="000000"/>
          <w:sz w:val="24"/>
        </w:rPr>
        <w:t>Section 2.10</w:t>
      </w:r>
      <w:r>
        <w:rPr>
          <w:rFonts w:ascii="Times New Roman" w:hAnsi="Times New Roman"/>
          <w:color w:val="000000"/>
          <w:sz w:val="24"/>
        </w:rPr>
        <w:t>, Physical Notes and beneficial interests in Global Notes may be transferred or exchanged from time to time and the Registrar will record each such transfer or exchange in the Register.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Transferred and Exchanged Notes Remain Valid Obligations of the Company</w:t>
      </w:r>
      <w:r>
        <w:rPr>
          <w:rFonts w:ascii="Times New Roman" w:hAnsi="Times New Roman"/>
          <w:color w:val="000000"/>
          <w:sz w:val="24"/>
        </w:rPr>
        <w:t xml:space="preserve">. Each Note issued upon transfer or exchange of any other Note (such other Note being referred to as the “old Note” for purposes of this </w:t>
      </w:r>
      <w:r>
        <w:rPr>
          <w:rFonts w:ascii="Times New Roman" w:hAnsi="Times New Roman"/>
          <w:b/>
          <w:color w:val="000000"/>
          <w:sz w:val="24"/>
        </w:rPr>
        <w:t>Section 2.10(A)(ii)</w:t>
      </w:r>
      <w:r>
        <w:rPr>
          <w:rFonts w:ascii="Times New Roman" w:hAnsi="Times New Roman"/>
          <w:color w:val="000000"/>
          <w:sz w:val="24"/>
        </w:rPr>
        <w:t>) or portion thereof in accordance with this Indenture will be the valid obligation of the Company, evidencing the same indebtedness, and entitled to the same benefits under this Indenture, as such old Note or portion thereof, as applicable.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No Services Charge; Transfer Taxes</w:t>
      </w:r>
      <w:r>
        <w:rPr>
          <w:rFonts w:ascii="Times New Roman" w:hAnsi="Times New Roman"/>
          <w:color w:val="000000"/>
          <w:sz w:val="24"/>
        </w:rPr>
        <w:t xml:space="preserve">. 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2.11</w:t>
      </w:r>
      <w:r>
        <w:rPr>
          <w:rFonts w:ascii="Times New Roman" w:hAnsi="Times New Roman"/>
          <w:color w:val="000000"/>
          <w:sz w:val="24"/>
        </w:rPr>
        <w:t xml:space="preserve">, </w:t>
      </w:r>
      <w:r>
        <w:rPr>
          <w:rFonts w:ascii="Times New Roman" w:hAnsi="Times New Roman"/>
          <w:b/>
          <w:color w:val="000000"/>
          <w:sz w:val="24"/>
        </w:rPr>
        <w:t>2.17</w:t>
      </w:r>
      <w:r>
        <w:rPr>
          <w:rFonts w:ascii="Times New Roman" w:hAnsi="Times New Roman"/>
          <w:color w:val="000000"/>
          <w:sz w:val="24"/>
        </w:rPr>
        <w:t xml:space="preserve"> or </w:t>
      </w:r>
      <w:r>
        <w:rPr>
          <w:rFonts w:ascii="Times New Roman" w:hAnsi="Times New Roman"/>
          <w:b/>
          <w:color w:val="000000"/>
          <w:sz w:val="24"/>
        </w:rPr>
        <w:t>8.05</w:t>
      </w:r>
      <w:r>
        <w:rPr>
          <w:rFonts w:ascii="Times New Roman" w:hAnsi="Times New Roman"/>
          <w:color w:val="000000"/>
          <w:sz w:val="24"/>
        </w:rPr>
        <w:t xml:space="preserve"> not involving any transfer.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Transfers and Exchanges Must Be in Authorized Denominations</w:t>
      </w:r>
      <w:r>
        <w:rPr>
          <w:rFonts w:ascii="Times New Roman" w:hAnsi="Times New Roman"/>
          <w:color w:val="000000"/>
          <w:sz w:val="24"/>
        </w:rPr>
        <w:t>. Notwithstanding anything to the contrary in this Indenture or the Notes, a Note may not be transferred or exchanged in part unless the portion to be so transferred or exchanged is in an Authorized Denomination.</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i/>
          <w:color w:val="000000"/>
          <w:sz w:val="24"/>
        </w:rPr>
        <w:t>Trustee’s Disclaimer</w:t>
      </w:r>
      <w:r>
        <w:rPr>
          <w:rFonts w:ascii="Times New Roman" w:hAnsi="Times New Roman"/>
          <w:color w:val="000000"/>
          <w:sz w:val="24"/>
        </w:rPr>
        <w:t>. 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i/>
          <w:color w:val="000000"/>
          <w:sz w:val="24"/>
        </w:rPr>
        <w:t>Legends</w:t>
      </w:r>
      <w:r>
        <w:rPr>
          <w:rFonts w:ascii="Times New Roman" w:hAnsi="Times New Roman"/>
          <w:color w:val="000000"/>
          <w:sz w:val="24"/>
        </w:rPr>
        <w:t xml:space="preserve">. Each Note issued upon transfer of, or in exchange for, another Note will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i/>
          <w:color w:val="000000"/>
          <w:sz w:val="24"/>
        </w:rPr>
        <w:t>Settlement of Transfers and Exchanges</w:t>
      </w:r>
      <w:r>
        <w:rPr>
          <w:rFonts w:ascii="Times New Roman" w:hAnsi="Times New Roman"/>
          <w:color w:val="000000"/>
          <w:sz w:val="24"/>
        </w:rPr>
        <w:t>.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- 21 -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i/>
          <w:color w:val="000000"/>
          <w:sz w:val="24"/>
        </w:rPr>
        <w:t>Interpretation</w:t>
      </w:r>
      <w:r>
        <w:rPr>
          <w:rFonts w:ascii="Times New Roman" w:hAnsi="Times New Roman"/>
          <w:color w:val="000000"/>
          <w:sz w:val="24"/>
        </w:rPr>
        <w:t xml:space="preserve">. For the avoidance of doubt, and subject to the terms of this Indenture, as used in this </w:t>
      </w:r>
      <w:r>
        <w:rPr>
          <w:rFonts w:ascii="Times New Roman" w:hAnsi="Times New Roman"/>
          <w:b/>
          <w:color w:val="000000"/>
          <w:sz w:val="24"/>
        </w:rPr>
        <w:t>Section 2.10</w:t>
      </w:r>
      <w:r>
        <w:rPr>
          <w:rFonts w:ascii="Times New Roman" w:hAnsi="Times New Roman"/>
          <w:color w:val="000000"/>
          <w:sz w:val="24"/>
        </w:rPr>
        <w:t>,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Transfers and Exchanges of Global Notes.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Certain Restrictions</w:t>
      </w:r>
      <w:r>
        <w:rPr>
          <w:rFonts w:ascii="Times New Roman" w:hAnsi="Times New Roman"/>
          <w:color w:val="000000"/>
          <w:sz w:val="24"/>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Global Note will be exchanged, pursuant to customary procedures, for one or more Physical Notes if:</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the Company, in its sole discretion, permits the exchange of any beneficial interest in such Global Note for one or more Physical Notes at the request of the owner of such beneficial interest.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Effecting Transfers and Exchanges</w:t>
      </w:r>
      <w:r>
        <w:rPr>
          <w:rFonts w:ascii="Times New Roman" w:hAnsi="Times New Roman"/>
          <w:color w:val="000000"/>
          <w:sz w:val="24"/>
        </w:rPr>
        <w:t>. Upon satisfaction of the requirements of this Indenture to effect a transfer or exchange of any Global Note (or any portion thereof):</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hAnsi="Times New Roman"/>
          <w:b/>
          <w:color w:val="000000"/>
          <w:sz w:val="24"/>
        </w:rPr>
        <w:t>Section 2.15</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- 22 -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 xml:space="preserve">if required to effect such transfer or exchange,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a new Global Note bearing each legend, if any, required by </w:t>
      </w:r>
      <w:r>
        <w:rPr>
          <w:rFonts w:ascii="Times New Roman" w:hAnsi="Times New Roman"/>
          <w:b/>
          <w:color w:val="000000"/>
          <w:sz w:val="24"/>
        </w:rPr>
        <w:t>Section 2.09</w:t>
      </w:r>
      <w:r>
        <w:rPr>
          <w:rFonts w:ascii="Times New Roman" w:hAnsi="Times New Roman"/>
          <w:color w:val="000000"/>
          <w:sz w:val="24"/>
        </w:rPr>
        <w:t>; and</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Compliance with Depositary Procedures</w:t>
      </w:r>
      <w:r>
        <w:rPr>
          <w:rFonts w:ascii="Times New Roman" w:hAnsi="Times New Roman"/>
          <w:color w:val="000000"/>
          <w:sz w:val="24"/>
        </w:rPr>
        <w:t>. Each transfer or exchange of a beneficial interest in any Global Note will be made in accordance with the Depositary Procedures.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Transfers and Exchanges of Physical Notes.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Requirements for Transfers and Exchanges</w:t>
      </w:r>
      <w:r>
        <w:rPr>
          <w:rFonts w:ascii="Times New Roman" w:hAnsi="Times New Roman"/>
          <w:color w:val="000000"/>
          <w:sz w:val="24"/>
        </w:rPr>
        <w:t xml:space="preserve">. Subject to this </w:t>
      </w:r>
      <w:r>
        <w:rPr>
          <w:rFonts w:ascii="Times New Roman" w:hAnsi="Times New Roman"/>
          <w:b/>
          <w:color w:val="000000"/>
          <w:sz w:val="24"/>
        </w:rPr>
        <w:t>Section 2.10</w:t>
      </w:r>
      <w:r>
        <w:rPr>
          <w:rFonts w:ascii="Times New Roman" w:hAnsi="Times New Roman"/>
          <w:color w:val="000000"/>
          <w:sz w:val="24"/>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to effect any such transfer or exchange, such Holder must: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surrender such Physical Note to be transferred or exchanged to the office of the Registrar, together with any endorsements or transfer instruments reasonably required by the Company, the Trustee or the Registrar; and</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 xml:space="preserve">deliver such certificates, documentation or evidence as may be required pursuant to </w:t>
      </w:r>
      <w:r>
        <w:rPr>
          <w:rFonts w:ascii="Times New Roman" w:hAnsi="Times New Roman"/>
          <w:b/>
          <w:color w:val="000000"/>
          <w:sz w:val="24"/>
        </w:rPr>
        <w:t>Section 2.10(D)</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Effecting Transfers and Exchanges</w:t>
      </w:r>
      <w:r>
        <w:rPr>
          <w:rFonts w:ascii="Times New Roman" w:hAnsi="Times New Roman"/>
          <w:color w:val="000000"/>
          <w:sz w:val="24"/>
        </w:rPr>
        <w:t xml:space="preserve">. Upon the satisfaction of the requirements of this Indenture to effect a transfer or exchange of any Physical Note (such Physical Note being referred to as the “old Physical Note” for purposes of this </w:t>
      </w:r>
      <w:r>
        <w:rPr>
          <w:rFonts w:ascii="Times New Roman" w:hAnsi="Times New Roman"/>
          <w:b/>
          <w:color w:val="000000"/>
          <w:sz w:val="24"/>
        </w:rPr>
        <w:t>Section 2.10(C)(ii)</w:t>
      </w:r>
      <w:r>
        <w:rPr>
          <w:rFonts w:ascii="Times New Roman" w:hAnsi="Times New Roman"/>
          <w:color w:val="000000"/>
          <w:sz w:val="24"/>
        </w:rPr>
        <w:t>) of a Holder (or any portion of such old Physical Note in an Authorized Denomination):</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such old Physical Note will be promptly cancelled pursuant to </w:t>
      </w:r>
      <w:r>
        <w:rPr>
          <w:rFonts w:ascii="Times New Roman" w:hAnsi="Times New Roman"/>
          <w:b/>
          <w:color w:val="000000"/>
          <w:sz w:val="24"/>
        </w:rPr>
        <w:t>Section 2.15</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- 23 -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 xml:space="preserve">if such old Physical Note is to be so transferred or exchanged only in part,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in the case of a transfer:</w:t>
      </w:r>
    </w:p>
    <w:p>
      <w:pPr>
        <w:pStyle w:val="TextBody"/>
        <w:bidi w:val="0"/>
        <w:spacing w:before="0" w:after="0"/>
        <w:jc w:val="both"/>
        <w:rPr>
          <w:color w:val="000000"/>
        </w:rPr>
      </w:pPr>
      <w:r>
        <w:rPr>
          <w:color w:val="000000"/>
        </w:rPr>
        <w:t> </w:t>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hAnsi="Times New Roman"/>
          <w:b/>
          <w:color w:val="000000"/>
          <w:sz w:val="24"/>
        </w:rPr>
        <w:t>Section 2.09</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transfer cannot be so effected by notation on one or more existing Global Notes (whether because no Global Notes bearing each legend, if any, required by </w:t>
      </w:r>
      <w:r>
        <w:rPr>
          <w:rFonts w:ascii="Times New Roman" w:hAnsi="Times New Roman"/>
          <w:b/>
          <w:color w:val="000000"/>
          <w:sz w:val="24"/>
        </w:rPr>
        <w:t>Section 2.09</w:t>
      </w:r>
      <w:r>
        <w:rPr>
          <w:rFonts w:ascii="Times New Roman" w:hAnsi="Times New Roman"/>
          <w:color w:val="000000"/>
          <w:sz w:val="24"/>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hAnsi="Times New Roman"/>
          <w:b/>
          <w:color w:val="000000"/>
          <w:sz w:val="24"/>
        </w:rPr>
        <w:t>Section 2.09</w:t>
      </w:r>
      <w:r>
        <w:rPr>
          <w:rFonts w:ascii="Times New Roman" w:hAnsi="Times New Roman"/>
          <w:color w:val="000000"/>
          <w:sz w:val="24"/>
        </w:rPr>
        <w:t>; and</w:t>
      </w:r>
    </w:p>
    <w:p>
      <w:pPr>
        <w:pStyle w:val="TextBody"/>
        <w:bidi w:val="0"/>
        <w:spacing w:before="0" w:after="0"/>
        <w:jc w:val="both"/>
        <w:rPr>
          <w:color w:val="000000"/>
        </w:rPr>
      </w:pPr>
      <w:r>
        <w:rPr>
          <w:color w:val="000000"/>
        </w:rPr>
        <w:t> </w:t>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hAnsi="Times New Roman"/>
          <w:b/>
          <w:color w:val="000000"/>
          <w:sz w:val="24"/>
        </w:rPr>
        <w:t>Section 2.09</w:t>
      </w:r>
      <w:r>
        <w:rPr>
          <w:rFonts w:ascii="Times New Roman" w:hAnsi="Times New Roman"/>
          <w:color w:val="000000"/>
          <w:sz w:val="24"/>
        </w:rPr>
        <w:t>; and</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 xml:space="preserve">in the case of an exchange,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Requirement to Deliver Documentation and Other Evidence</w:t>
      </w:r>
      <w:r>
        <w:rPr>
          <w:rFonts w:ascii="Times New Roman" w:hAnsi="Times New Roman"/>
          <w:color w:val="000000"/>
          <w:sz w:val="24"/>
        </w:rPr>
        <w:t>. If a Holder of any Note that is identified by a “restricted” CUSIP number or that bears a Restricted Note Legend or is a Transfer-Restricted Security requests to:</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cause such Note to be identified by an “unrestricted” CUSIP number;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remove such Restricted Note Legend; or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register the transfer of such Note to the name of another Person,</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for the Company to determine that such identification, removal or transfer, as applicable, complies with the Securities Act and other applicable securities laws;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certificates, documentation or evidence need be so delivered on or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Transfers of Notes Subject to Redemption, Repurchase or Conversion</w:t>
      </w:r>
      <w:r>
        <w:rPr>
          <w:rFonts w:ascii="Times New Roman" w:hAnsi="Times New Roman"/>
          <w:color w:val="000000"/>
          <w:sz w:val="24"/>
        </w:rPr>
        <w:t xml:space="preserve">. Notwithstanding anything to the contrary in 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hAnsi="Times New Roman"/>
          <w:b/>
          <w:color w:val="000000"/>
          <w:sz w:val="24"/>
        </w:rPr>
        <w:t>Section 4.02(F)</w:t>
      </w:r>
      <w:r>
        <w:rPr>
          <w:rFonts w:ascii="Times New Roman" w:hAnsi="Times New Roman"/>
          <w:color w:val="000000"/>
          <w:sz w:val="24"/>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2.11.  Exchange and Cancellation of Notes to Be Converted or to Be Repurchased Pursuant to a Repurchase Upon Fundamental Change or Redemption.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Partial Conversions of Physical Notes and Partial Repurchases of Physical Notes Pursuant to a Repurchase Upon Fundamental Change</w:t>
      </w:r>
      <w:r>
        <w:rPr>
          <w:rFonts w:ascii="Times New Roman" w:hAnsi="Times New Roman"/>
          <w:color w:val="000000"/>
          <w:sz w:val="24"/>
        </w:rPr>
        <w:t> </w:t>
      </w:r>
      <w:r>
        <w:rPr>
          <w:rFonts w:ascii="Times New Roman" w:hAnsi="Times New Roman"/>
          <w:i/>
          <w:color w:val="000000"/>
          <w:sz w:val="24"/>
        </w:rPr>
        <w:t>or Redemption</w:t>
      </w:r>
      <w:r>
        <w:rPr>
          <w:rFonts w:ascii="Times New Roman" w:hAnsi="Times New Roman"/>
          <w:color w:val="000000"/>
          <w:sz w:val="24"/>
        </w:rPr>
        <w:t xml:space="preserve">. If only a portion of a Physical Note of a Holder is to be Converted pursuant to </w:t>
      </w:r>
      <w:r>
        <w:rPr>
          <w:rFonts w:ascii="Times New Roman" w:hAnsi="Times New Roman"/>
          <w:b/>
          <w:color w:val="000000"/>
          <w:sz w:val="24"/>
        </w:rPr>
        <w:t>Article 5</w:t>
      </w:r>
      <w:r>
        <w:rPr>
          <w:rFonts w:ascii="Times New Roman" w:hAnsi="Times New Roman"/>
          <w:color w:val="000000"/>
          <w:sz w:val="24"/>
        </w:rPr>
        <w:t xml:space="preserve"> or repurchased pursuant to a Repurchase Upon 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hAnsi="Times New Roman"/>
          <w:b/>
          <w:color w:val="000000"/>
          <w:sz w:val="24"/>
        </w:rPr>
        <w:t>Section 2.10(C)</w:t>
      </w:r>
      <w:r>
        <w:rPr>
          <w:rFonts w:ascii="Times New Roman" w:hAnsi="Times New Roman"/>
          <w:color w:val="000000"/>
          <w:sz w:val="24"/>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Physical Note referred to in this </w:t>
      </w:r>
      <w:r>
        <w:rPr>
          <w:rFonts w:ascii="Times New Roman" w:hAnsi="Times New Roman"/>
          <w:b/>
          <w:color w:val="000000"/>
          <w:sz w:val="24"/>
        </w:rPr>
        <w:t>clause (ii)</w:t>
      </w:r>
      <w:r>
        <w:rPr>
          <w:rFonts w:ascii="Times New Roman" w:hAnsi="Times New Roman"/>
          <w:color w:val="000000"/>
          <w:sz w:val="24"/>
        </w:rPr>
        <w:t xml:space="preserve"> need not be issued at any time after which such principal amount subject to such Conversion or repurchase, as applicable, is deemed to cease to be outstanding pursuant to </w:t>
      </w:r>
      <w:r>
        <w:rPr>
          <w:rFonts w:ascii="Times New Roman" w:hAnsi="Times New Roman"/>
          <w:b/>
          <w:color w:val="000000"/>
          <w:sz w:val="24"/>
        </w:rPr>
        <w:t>Section 2.18</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- 25 -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Cancellation of Notes that Are Converted and Notes that Are Repurchased Pursuant to a Repurchase Upon Fundamental Change</w:t>
      </w:r>
      <w:r>
        <w:rPr>
          <w:rFonts w:ascii="Times New Roman" w:hAnsi="Times New Roman"/>
          <w:color w:val="000000"/>
          <w:sz w:val="24"/>
        </w:rPr>
        <w:t> </w:t>
      </w:r>
      <w:r>
        <w:rPr>
          <w:rFonts w:ascii="Times New Roman" w:hAnsi="Times New Roman"/>
          <w:i/>
          <w:color w:val="000000"/>
          <w:sz w:val="24"/>
        </w:rPr>
        <w:t>or Redemption</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Physical Notes</w:t>
      </w:r>
      <w:r>
        <w:rPr>
          <w:rFonts w:ascii="Times New Roman" w:hAnsi="Times New Roman"/>
          <w:color w:val="000000"/>
          <w:sz w:val="24"/>
        </w:rPr>
        <w:t xml:space="preserve">. If a Physical Note (or any portion thereof that has not theretofore been exchanged pursuant to </w:t>
      </w:r>
      <w:r>
        <w:rPr>
          <w:rFonts w:ascii="Times New Roman" w:hAnsi="Times New Roman"/>
          <w:b/>
          <w:color w:val="000000"/>
          <w:sz w:val="24"/>
        </w:rPr>
        <w:t>Section 2.11(A)</w:t>
      </w:r>
      <w:r>
        <w:rPr>
          <w:rFonts w:ascii="Times New Roman" w:hAnsi="Times New Roman"/>
          <w:color w:val="000000"/>
          <w:sz w:val="24"/>
        </w:rPr>
        <w:t xml:space="preserve">) of a Holder is to be Converted pursuant to </w:t>
      </w:r>
      <w:r>
        <w:rPr>
          <w:rFonts w:ascii="Times New Roman" w:hAnsi="Times New Roman"/>
          <w:b/>
          <w:color w:val="000000"/>
          <w:sz w:val="24"/>
        </w:rPr>
        <w:t>Article 5</w:t>
      </w:r>
      <w:r>
        <w:rPr>
          <w:rFonts w:ascii="Times New Roman" w:hAnsi="Times New Roman"/>
          <w:color w:val="000000"/>
          <w:sz w:val="24"/>
        </w:rPr>
        <w:t xml:space="preserve"> or repurchased pursuant to a Repurchase Upon Fundamental Change or Redemption, then, promptly after the later of the time such Physical Note (or such portion) is deemed to cease to be outstanding pursuant to </w:t>
      </w:r>
      <w:r>
        <w:rPr>
          <w:rFonts w:ascii="Times New Roman" w:hAnsi="Times New Roman"/>
          <w:b/>
          <w:color w:val="000000"/>
          <w:sz w:val="24"/>
        </w:rPr>
        <w:t>Section 2.18</w:t>
      </w:r>
      <w:r>
        <w:rPr>
          <w:rFonts w:ascii="Times New Roman" w:hAnsi="Times New Roman"/>
          <w:color w:val="000000"/>
          <w:sz w:val="24"/>
        </w:rPr>
        <w:t xml:space="preserve"> and the time such Physical Note is surrendered for such Conversion or repurchase, as applicable, (1) such Physical Note will be cancelled pursuant to </w:t>
      </w:r>
      <w:r>
        <w:rPr>
          <w:rFonts w:ascii="Times New Roman" w:hAnsi="Times New Roman"/>
          <w:b/>
          <w:color w:val="000000"/>
          <w:sz w:val="24"/>
        </w:rPr>
        <w:t>Section 2.15</w:t>
      </w:r>
      <w:r>
        <w:rPr>
          <w:rFonts w:ascii="Times New Roman" w:hAnsi="Times New Roman"/>
          <w:color w:val="000000"/>
          <w:sz w:val="24"/>
        </w:rPr>
        <w:t xml:space="preserve">; and (2) in the case of a partial Conversion or repurchase, as applicable, the Company will issue, execute and deliver to such Holder,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Global Notes</w:t>
      </w:r>
      <w:r>
        <w:rPr>
          <w:rFonts w:ascii="Times New Roman" w:hAnsi="Times New Roman"/>
          <w:color w:val="000000"/>
          <w:sz w:val="24"/>
        </w:rPr>
        <w:t xml:space="preserve">. If a Global Note (or any portion thereof) is to be Converted pursuant to </w:t>
      </w:r>
      <w:r>
        <w:rPr>
          <w:rFonts w:ascii="Times New Roman" w:hAnsi="Times New Roman"/>
          <w:b/>
          <w:color w:val="000000"/>
          <w:sz w:val="24"/>
        </w:rPr>
        <w:t>Article 5</w:t>
      </w:r>
      <w:r>
        <w:rPr>
          <w:rFonts w:ascii="Times New Roman" w:hAnsi="Times New Roman"/>
          <w:color w:val="000000"/>
          <w:sz w:val="24"/>
        </w:rPr>
        <w:t xml:space="preserve"> or repurchased pursuant to a Repurchase Upon Fundamental Change or Redemption, then, promptly after the time such Note (or such portion) is deemed to cease to be outstanding pursuant to </w:t>
      </w:r>
      <w:r>
        <w:rPr>
          <w:rFonts w:ascii="Times New Roman" w:hAnsi="Times New Roman"/>
          <w:b/>
          <w:color w:val="000000"/>
          <w:sz w:val="24"/>
        </w:rPr>
        <w:t>Section 2.18</w:t>
      </w:r>
      <w:r>
        <w:rPr>
          <w:rFonts w:ascii="Times New Roman" w:hAnsi="Times New Roman"/>
          <w:color w:val="000000"/>
          <w:sz w:val="24"/>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hAnsi="Times New Roman"/>
          <w:b/>
          <w:color w:val="000000"/>
          <w:sz w:val="24"/>
        </w:rPr>
        <w:t>Section 2.15</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2.12.     Removal of Transfer Restrictions.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Without limiting the generality of any other provision of this Indenture (including </w:t>
      </w:r>
      <w:r>
        <w:rPr>
          <w:rFonts w:ascii="Times New Roman" w:hAnsi="Times New Roman"/>
          <w:b/>
          <w:color w:val="000000"/>
          <w:sz w:val="24"/>
        </w:rPr>
        <w:t>Section 3.04</w:t>
      </w:r>
      <w:r>
        <w:rPr>
          <w:rFonts w:ascii="Times New Roman" w:hAnsi="Times New Roman"/>
          <w:color w:val="000000"/>
          <w:sz w:val="24"/>
        </w:rPr>
        <w:t xml:space="preserve">), the Restricted Note Legend affixed to any Note will be deemed, pursuant to this </w:t>
      </w:r>
      <w:r>
        <w:rPr>
          <w:rFonts w:ascii="Times New Roman" w:hAnsi="Times New Roman"/>
          <w:b/>
          <w:color w:val="000000"/>
          <w:sz w:val="24"/>
        </w:rPr>
        <w:t>Section 2.12</w:t>
      </w:r>
      <w:r>
        <w:rPr>
          <w:rFonts w:ascii="Times New Roman" w:hAnsi="Times New Roman"/>
          <w:color w:val="000000"/>
          <w:sz w:val="24"/>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 w:hAnsi="Times New Roman"/>
          <w:b/>
          <w:color w:val="000000"/>
          <w:sz w:val="24"/>
        </w:rPr>
        <w:t>Section 2.12</w:t>
      </w:r>
      <w:r>
        <w:rPr>
          <w:rFonts w:ascii="Times New Roman" w:hAnsi="Times New Roman"/>
          <w:color w:val="000000"/>
          <w:sz w:val="24"/>
        </w:rPr>
        <w:t xml:space="preserve"> and the footnotes to the CUSIP and ISIN numbers set forth on the face of the certificate representing such Note, to thereafter bear the “unrestricted” CUSIP and ISIN numbers identified in such footnotes;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Times New Roman" w:hAnsi="Times New Roman"/>
          <w:b/>
          <w:color w:val="000000"/>
          <w:sz w:val="24"/>
        </w:rPr>
        <w:t>Section 3.04</w:t>
      </w:r>
      <w:r>
        <w:rPr>
          <w:rFonts w:ascii="Times New Roman" w:hAnsi="Times New Roman"/>
          <w:color w:val="000000"/>
          <w:sz w:val="24"/>
        </w:rPr>
        <w:t xml:space="preserve"> and the definition of Freely Tradable, such Global Note will not be deemed to be identified by “unrestricted” CUSIP and ISIN numbers until such time as such exchange or procedure is effected.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- 26 -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2.13.     Replacement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w:t>
      </w:r>
      <w:r>
        <w:rPr>
          <w:rFonts w:ascii="Times New Roman" w:hAnsi="Times New Roman"/>
          <w:b/>
          <w:color w:val="000000"/>
          <w:sz w:val="24"/>
        </w:rPr>
        <w:t>Section 2.13</w:t>
      </w:r>
      <w:r>
        <w:rPr>
          <w:rFonts w:ascii="Times New Roman" w:hAnsi="Times New Roman"/>
          <w:color w:val="000000"/>
          <w:sz w:val="24"/>
        </w:rPr>
        <w:t>. In addition,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Every replacement Note issued pursuant to this </w:t>
      </w:r>
      <w:r>
        <w:rPr>
          <w:rFonts w:ascii="Times New Roman" w:hAnsi="Times New Roman"/>
          <w:b/>
          <w:color w:val="000000"/>
          <w:sz w:val="24"/>
        </w:rPr>
        <w:t>Section 2.13</w:t>
      </w:r>
      <w:r>
        <w:rPr>
          <w:rFonts w:ascii="Times New Roman" w:hAnsi="Times New Roman"/>
          <w:color w:val="000000"/>
          <w:sz w:val="24"/>
        </w:rPr>
        <w:t xml:space="preserve"> will be an additional obligation of the Company and will be entitled to all of the benefits of this Indenture equally and ratably with all other Notes issued under this Indenture, regardless of whether the related lost, destroyed or wrongfully taken Note is at any time enforceable by any Person.</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2.14.    Registered Holders; Certain Rights with Respect to Global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Except to the extent rights hereunder are expressly granted to owners of beneficial interests of Notes,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2.15.   Cancellation.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hAnsi="Times New Roman"/>
          <w:b/>
          <w:color w:val="000000"/>
          <w:sz w:val="24"/>
        </w:rPr>
        <w:t>Section 2.03(B)</w:t>
      </w:r>
      <w:r>
        <w:rPr>
          <w:rFonts w:ascii="Times New Roman" w:hAnsi="Times New Roman"/>
          <w:color w:val="000000"/>
          <w:sz w:val="24"/>
        </w:rPr>
        <w:t>, the Company may not originally issue new Notes to replace Notes that it has paid or that have been cancelled upon transfer, exchange, payment or Conversion.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- 27 -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2.16.   Notes Held by the Company or its Affiliates.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Without limiting the generality of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2.18</w:t>
      </w:r>
      <w:r>
        <w:rPr>
          <w:rFonts w:ascii="Times New Roman" w:hAnsi="Times New Roman"/>
          <w:color w:val="000000"/>
          <w:sz w:val="24"/>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for purposes of determining whether the Trustee is protected in relying on any such direction, waiver or consent, only Notes that a Responsible Officer of the Trustee knows are so owned will be so disregarded.</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2.17.     Temporary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Until definitive Notes are ready for delivery, the Company may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definitive Notes in exchange for temporary Notes. Until so exchanged, each temporary Note will in all respects be entitled to the same benefits under this Indenture as definitive Notes.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smallCaps/>
          <w:color w:val="000000"/>
          <w:sz w:val="24"/>
        </w:rPr>
        <w:t>Section 2.18.     Outstanding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 w:hAnsi="Times New Roman"/>
          <w:b/>
          <w:color w:val="000000"/>
          <w:sz w:val="24"/>
        </w:rPr>
        <w:t>Section 2.15</w:t>
      </w:r>
      <w:r>
        <w:rPr>
          <w:rFonts w:ascii="Times New Roman" w:hAnsi="Times New Roman"/>
          <w:color w:val="000000"/>
          <w:sz w:val="24"/>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 w:hAnsi="Times New Roman"/>
          <w:b/>
          <w:color w:val="000000"/>
          <w:sz w:val="24"/>
        </w:rPr>
        <w:t>clause (B)</w:t>
      </w:r>
      <w:r>
        <w:rPr>
          <w:rFonts w:ascii="Times New Roman" w:hAnsi="Times New Roman"/>
          <w:color w:val="000000"/>
          <w:sz w:val="24"/>
        </w:rPr>
        <w:t xml:space="preserve">, </w:t>
      </w:r>
      <w:r>
        <w:rPr>
          <w:rFonts w:ascii="Times New Roman" w:hAnsi="Times New Roman"/>
          <w:b/>
          <w:color w:val="000000"/>
          <w:sz w:val="24"/>
        </w:rPr>
        <w:t>(C)</w:t>
      </w:r>
      <w:r>
        <w:rPr>
          <w:rFonts w:ascii="Times New Roman" w:hAnsi="Times New Roman"/>
          <w:color w:val="000000"/>
          <w:sz w:val="24"/>
        </w:rPr>
        <w:t xml:space="preserve"> or </w:t>
      </w:r>
      <w:r>
        <w:rPr>
          <w:rFonts w:ascii="Times New Roman" w:hAnsi="Times New Roman"/>
          <w:b/>
          <w:color w:val="000000"/>
          <w:sz w:val="24"/>
        </w:rPr>
        <w:t>(D)</w:t>
      </w:r>
      <w:r>
        <w:rPr>
          <w:rFonts w:ascii="Times New Roman" w:hAnsi="Times New Roman"/>
          <w:color w:val="000000"/>
          <w:sz w:val="24"/>
        </w:rPr>
        <w:t xml:space="preserve"> of this </w:t>
      </w:r>
      <w:r>
        <w:rPr>
          <w:rFonts w:ascii="Times New Roman" w:hAnsi="Times New Roman"/>
          <w:b/>
          <w:color w:val="000000"/>
          <w:sz w:val="24"/>
        </w:rPr>
        <w:t>Section 2.18</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Replaced Notes</w:t>
      </w:r>
      <w:r>
        <w:rPr>
          <w:rFonts w:ascii="Times New Roman" w:hAnsi="Times New Roman"/>
          <w:color w:val="000000"/>
          <w:sz w:val="24"/>
        </w:rPr>
        <w:t xml:space="preserve">. If a Note is replaced pursuant to </w:t>
      </w:r>
      <w:r>
        <w:rPr>
          <w:rFonts w:ascii="Times New Roman" w:hAnsi="Times New Roman"/>
          <w:b/>
          <w:color w:val="000000"/>
          <w:sz w:val="24"/>
        </w:rPr>
        <w:t>Section 2.13</w:t>
      </w:r>
      <w:r>
        <w:rPr>
          <w:rFonts w:ascii="Times New Roman" w:hAnsi="Times New Roman"/>
          <w:color w:val="000000"/>
          <w:sz w:val="24"/>
        </w:rPr>
        <w:t>, then such Note will cease to be outstanding at the time of its replacement, unless the Trustee and the Company receive proof reasonably satisfactory to them that such Note is held by a “</w:t>
      </w:r>
      <w:r>
        <w:rPr>
          <w:rFonts w:ascii="Times New Roman" w:hAnsi="Times New Roman"/>
          <w:i/>
          <w:color w:val="000000"/>
          <w:sz w:val="24"/>
        </w:rPr>
        <w:t>bona fide</w:t>
      </w:r>
      <w:r>
        <w:rPr>
          <w:rFonts w:ascii="Times New Roman" w:hAnsi="Times New Roman"/>
          <w:color w:val="000000"/>
          <w:sz w:val="24"/>
        </w:rPr>
        <w:t xml:space="preserve"> purchaser” under applicable law.</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Maturing Notes and Notes Called for Redemption or Subject to Repurchase</w:t>
      </w:r>
      <w:r>
        <w:rPr>
          <w:rFonts w:ascii="Times New Roman" w:hAnsi="Times New Roman"/>
          <w:color w:val="000000"/>
          <w:sz w:val="24"/>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hAnsi="Times New Roman"/>
          <w:b/>
          <w:color w:val="000000"/>
          <w:sz w:val="24"/>
        </w:rPr>
        <w:t>Section 4.02(D)</w:t>
      </w:r>
      <w:r>
        <w:rPr>
          <w:rFonts w:ascii="Times New Roman" w:hAnsi="Times New Roman"/>
          <w:color w:val="000000"/>
          <w:sz w:val="24"/>
        </w:rPr>
        <w:t xml:space="preserve">, </w:t>
      </w:r>
      <w:r>
        <w:rPr>
          <w:rFonts w:ascii="Times New Roman" w:hAnsi="Times New Roman"/>
          <w:b/>
          <w:color w:val="000000"/>
          <w:sz w:val="24"/>
        </w:rPr>
        <w:t>4.03(F)</w:t>
      </w:r>
      <w:r>
        <w:rPr>
          <w:rFonts w:ascii="Times New Roman" w:hAnsi="Times New Roman"/>
          <w:color w:val="000000"/>
          <w:sz w:val="24"/>
        </w:rPr>
        <w:t xml:space="preserve"> or </w:t>
      </w:r>
      <w:r>
        <w:rPr>
          <w:rFonts w:ascii="Times New Roman" w:hAnsi="Times New Roman"/>
          <w:b/>
          <w:color w:val="000000"/>
          <w:sz w:val="24"/>
        </w:rPr>
        <w:t>5.02(D)</w:t>
      </w:r>
      <w:r>
        <w:rPr>
          <w:rFonts w:ascii="Times New Roman" w:hAnsi="Times New Roman"/>
          <w:color w:val="000000"/>
          <w:sz w:val="24"/>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- 28 -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Notes to Be Converted</w:t>
      </w:r>
      <w:r>
        <w:rPr>
          <w:rFonts w:ascii="Times New Roman" w:hAnsi="Times New Roman"/>
          <w:color w:val="000000"/>
          <w:sz w:val="24"/>
        </w:rPr>
        <w:t xml:space="preserve">.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 w:hAnsi="Times New Roman"/>
          <w:b/>
          <w:color w:val="000000"/>
          <w:sz w:val="24"/>
        </w:rPr>
        <w:t>Section 5.03(B)</w:t>
      </w:r>
      <w:r>
        <w:rPr>
          <w:rFonts w:ascii="Times New Roman" w:hAnsi="Times New Roman"/>
          <w:color w:val="000000"/>
          <w:sz w:val="24"/>
        </w:rPr>
        <w:t xml:space="preserve"> or </w:t>
      </w:r>
      <w:r>
        <w:rPr>
          <w:rFonts w:ascii="Times New Roman" w:hAnsi="Times New Roman"/>
          <w:b/>
          <w:color w:val="000000"/>
          <w:sz w:val="24"/>
        </w:rPr>
        <w:t>Section 5.02(D)</w:t>
      </w:r>
      <w:r>
        <w:rPr>
          <w:rFonts w:ascii="Times New Roman" w:hAnsi="Times New Roman"/>
          <w:color w:val="000000"/>
          <w:sz w:val="24"/>
        </w:rPr>
        <w:t xml:space="preserve">, upon such Conversion) be redeemed for an amount equal to the principal amount of such Note and the Holder irrevocably directs the Company to apply the principal amount payable to it in acquiring the Conversion Consideration, with the result that such Note will cease to be outstanding, except to the extent provided in </w:t>
      </w:r>
      <w:r>
        <w:rPr>
          <w:rFonts w:ascii="Times New Roman" w:hAnsi="Times New Roman"/>
          <w:b/>
          <w:color w:val="000000"/>
          <w:sz w:val="24"/>
        </w:rPr>
        <w:t>Section 5.02(D)</w:t>
      </w:r>
      <w:r>
        <w:rPr>
          <w:rFonts w:ascii="Times New Roman" w:hAnsi="Times New Roman"/>
          <w:color w:val="000000"/>
          <w:sz w:val="24"/>
        </w:rPr>
        <w:t xml:space="preserve"> or </w:t>
      </w:r>
      <w:r>
        <w:rPr>
          <w:rFonts w:ascii="Times New Roman" w:hAnsi="Times New Roman"/>
          <w:b/>
          <w:color w:val="000000"/>
          <w:sz w:val="24"/>
        </w:rPr>
        <w:t>Section 5.08</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Cessation of Accrual of Interest</w:t>
      </w:r>
      <w:r>
        <w:rPr>
          <w:rFonts w:ascii="Times New Roman" w:hAnsi="Times New Roman"/>
          <w:color w:val="000000"/>
          <w:sz w:val="24"/>
        </w:rPr>
        <w:t xml:space="preserve">. Except as provided in </w:t>
      </w:r>
      <w:r>
        <w:rPr>
          <w:rFonts w:ascii="Times New Roman" w:hAnsi="Times New Roman"/>
          <w:b/>
          <w:color w:val="000000"/>
          <w:sz w:val="24"/>
        </w:rPr>
        <w:t>Section 4.02(D)</w:t>
      </w:r>
      <w:r>
        <w:rPr>
          <w:rFonts w:ascii="Times New Roman" w:hAnsi="Times New Roman"/>
          <w:color w:val="000000"/>
          <w:sz w:val="24"/>
        </w:rPr>
        <w:t xml:space="preserve">, </w:t>
      </w:r>
      <w:r>
        <w:rPr>
          <w:rFonts w:ascii="Times New Roman" w:hAnsi="Times New Roman"/>
          <w:b/>
          <w:color w:val="000000"/>
          <w:sz w:val="24"/>
        </w:rPr>
        <w:t>4.03(F)</w:t>
      </w:r>
      <w:r>
        <w:rPr>
          <w:rFonts w:ascii="Times New Roman" w:hAnsi="Times New Roman"/>
          <w:color w:val="000000"/>
          <w:sz w:val="24"/>
        </w:rPr>
        <w:t xml:space="preserve"> or </w:t>
      </w:r>
      <w:r>
        <w:rPr>
          <w:rFonts w:ascii="Times New Roman" w:hAnsi="Times New Roman"/>
          <w:b/>
          <w:color w:val="000000"/>
          <w:sz w:val="24"/>
        </w:rPr>
        <w:t>5.02(D)</w:t>
      </w:r>
      <w:r>
        <w:rPr>
          <w:rFonts w:ascii="Times New Roman" w:hAnsi="Times New Roman"/>
          <w:color w:val="000000"/>
          <w:sz w:val="24"/>
        </w:rPr>
        <w:t xml:space="preserve">, interest will cease to accrue on each Note from, and including, the date that such Note is deemed, pursuant to this </w:t>
      </w:r>
      <w:r>
        <w:rPr>
          <w:rFonts w:ascii="Times New Roman" w:hAnsi="Times New Roman"/>
          <w:b/>
          <w:color w:val="000000"/>
          <w:sz w:val="24"/>
        </w:rPr>
        <w:t>Section 2.18</w:t>
      </w:r>
      <w:r>
        <w:rPr>
          <w:rFonts w:ascii="Times New Roman" w:hAnsi="Times New Roman"/>
          <w:color w:val="000000"/>
          <w:sz w:val="24"/>
        </w:rPr>
        <w:t>, to cease to be outstanding, unless there occurs a default in the payment or delivery of any cash or other property due on such Note.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2.19.             Repurchases by the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Without limiting the generality of </w:t>
      </w:r>
      <w:r>
        <w:rPr>
          <w:rFonts w:ascii="Times New Roman" w:hAnsi="Times New Roman"/>
          <w:b/>
          <w:color w:val="000000"/>
          <w:sz w:val="24"/>
        </w:rPr>
        <w:t>Section 2.15</w:t>
      </w:r>
      <w:r>
        <w:rPr>
          <w:rFonts w:ascii="Times New Roman" w:hAnsi="Times New Roman"/>
          <w:color w:val="000000"/>
          <w:sz w:val="24"/>
        </w:rPr>
        <w:t>, the Company may, from time to time, repurchase Notes in open market purchases or in negotiated transactions without delivering prior notice to Holders.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2.20.    CUSIP and ISIN Numbers.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Subject to </w:t>
      </w:r>
      <w:r>
        <w:rPr>
          <w:rFonts w:ascii="Times New Roman" w:hAnsi="Times New Roman"/>
          <w:b/>
          <w:color w:val="000000"/>
          <w:sz w:val="24"/>
        </w:rPr>
        <w:t>Section 2.12</w:t>
      </w:r>
      <w:r>
        <w:rPr>
          <w:rFonts w:ascii="Times New Roman" w:hAnsi="Times New Roman"/>
          <w:color w:val="000000"/>
          <w:sz w:val="24"/>
        </w:rPr>
        <w:t xml:space="preserve">, the Company may use one or more CUSIP or ISIN numbers to identify any of the Notes, and, if so, the Company and the Trustee will use such CUSIP or ISIN number(s) in notices to Holders;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Article 3.     COVENANTS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3.01.    Payment on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The Company will pay or cause to be paid all the principal of, the Fundamental Change Repurchase Price and Redemption Price for, interest on, and other amounts due with respect to, the Notes on the dates and in the manner set forth in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Deposit of Funds</w:t>
      </w:r>
      <w:r>
        <w:rPr>
          <w:rFonts w:ascii="Times New Roman" w:hAnsi="Times New Roman"/>
          <w:color w:val="000000"/>
          <w:sz w:val="24"/>
        </w:rPr>
        <w:t>. Before 11:00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- 29 -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3.02.     Exchange Act Reports.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The Company will send to the Trustee copies of all reports that the Company is required to file with the SEC pursuant to Section 13(a) or 15(d) of the Exchange Act (other than Form 8-K reports) within fifteen (15) calendar days after the date that the Company is required to file the same (after giving effect to all applicable grace periods under the Exchange Act);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Company need not send to the Trustee any material for which the Company has received, or is 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hAnsi="Times New Roman"/>
          <w:b/>
          <w:color w:val="000000"/>
          <w:sz w:val="24"/>
        </w:rPr>
        <w:t>Section 3.02(A)</w:t>
      </w:r>
      <w:r>
        <w:rPr>
          <w:rFonts w:ascii="Times New Roman" w:hAnsi="Times New Roman"/>
          <w:color w:val="000000"/>
          <w:sz w:val="24"/>
        </w:rPr>
        <w:t>, other than a report that is deemed to be sent to the Trustee pursuant to the preceding sentence.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“grace periods” referred to in the preceding paragraph with respect to any report will include the maximum period afforded by Rule 12b-25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Trustee’s Disclaimer</w:t>
      </w:r>
      <w:r>
        <w:rPr>
          <w:rFonts w:ascii="Times New Roman" w:hAnsi="Times New Roman"/>
          <w:color w:val="000000"/>
          <w:sz w:val="24"/>
        </w:rPr>
        <w:t xml:space="preserve">. The Trustee need not determine whether the Company has filed any material via the EDGAR system (or such successor). The sending or filing of reports pursuant to </w:t>
      </w:r>
      <w:r>
        <w:rPr>
          <w:rFonts w:ascii="Times New Roman" w:hAnsi="Times New Roman"/>
          <w:b/>
          <w:color w:val="000000"/>
          <w:sz w:val="24"/>
        </w:rPr>
        <w:t>Section 3.02(A)</w:t>
      </w:r>
      <w:r>
        <w:rPr>
          <w:rFonts w:ascii="Times New Roman" w:hAnsi="Times New Roman"/>
          <w:color w:val="000000"/>
          <w:sz w:val="24"/>
        </w:rPr>
        <w:t xml:space="preserve"> will not be deemed to constitute actual or constructive notice to the Trustee of any information contained, or determinable from information contained, therein, including the Company’s compliance with any of its covenants under this Indenture.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3.03.    Rule 144A Information.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the Company is not subject to Section 13 or 15(d) of the Exchange Act at any time when any Notes or Ordinary Shares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3.04.    Additional Interest.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Accrual of Additional Interest</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If, at any time during the six (6) month period beginning on, and including, the date that is six (6) months after the Last Original Issue Date of any Note,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the Company fails to timely file any report that is required for the Company to satisfy the requirements set forth in Rule 144(c)(1) under the Securities Act (after giving effect to all grace periods permitted thereunder);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such Note is not otherwise Freely Tradable,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then Additional Interest will accrue on such Note for each day during such period on which such failure is continuing or such Note is not Freely Tradable. The “grace periods” referred to in the preceding sentence with respect to any report will include the maximum period afforded by Rule 12b-25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- 30 -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 addition, Additional Interest will accrue on a Note on each day on which such Note is not Freely Tradable on or after the De-Legending Deadline Date for such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Amount and Payment of Additional Interest</w:t>
      </w:r>
      <w:r>
        <w:rPr>
          <w:rFonts w:ascii="Times New Roman" w:hAnsi="Times New Roman"/>
          <w:color w:val="000000"/>
          <w:sz w:val="24"/>
        </w:rPr>
        <w:t xml:space="preserve">. Subject to </w:t>
      </w:r>
      <w:r>
        <w:rPr>
          <w:rFonts w:ascii="Times New Roman" w:hAnsi="Times New Roman"/>
          <w:b/>
          <w:color w:val="000000"/>
          <w:sz w:val="24"/>
        </w:rPr>
        <w:t>Section 3.04(C)</w:t>
      </w:r>
      <w:r>
        <w:rPr>
          <w:rFonts w:ascii="Times New Roman" w:hAnsi="Times New Roman"/>
          <w:color w:val="000000"/>
          <w:sz w:val="24"/>
        </w:rPr>
        <w:t xml:space="preserve">, any Additional Interest that accrues on a Note pursuant to </w:t>
      </w:r>
      <w:r>
        <w:rPr>
          <w:rFonts w:ascii="Times New Roman" w:hAnsi="Times New Roman"/>
          <w:b/>
          <w:color w:val="000000"/>
          <w:sz w:val="24"/>
        </w:rPr>
        <w:t>Section 3.04(A)</w:t>
      </w:r>
      <w:r>
        <w:rPr>
          <w:rFonts w:ascii="Times New Roman" w:hAnsi="Times New Roman"/>
          <w:color w:val="000000"/>
          <w:sz w:val="24"/>
        </w:rPr>
        <w:t xml:space="preserve"> will be payable on the same dates and in the same manner as the Stated Interest on such Note and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in no event will Additional Interest (excluding any interest that accrues on any Deferred Additional Interest pursuant to </w:t>
      </w:r>
      <w:r>
        <w:rPr>
          <w:rFonts w:ascii="Times New Roman" w:hAnsi="Times New Roman"/>
          <w:b/>
          <w:color w:val="000000"/>
          <w:sz w:val="24"/>
        </w:rPr>
        <w:t>Section 3.04(C)</w:t>
      </w:r>
      <w:r>
        <w:rPr>
          <w:rFonts w:ascii="Times New Roman" w:hAnsi="Times New Roman"/>
          <w:color w:val="000000"/>
          <w:sz w:val="24"/>
        </w:rPr>
        <w:t>), together with any Special Interest,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Deferral of Additional Interest</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Notwithstanding anything to the contrary in this </w:t>
      </w:r>
      <w:r>
        <w:rPr>
          <w:rFonts w:ascii="Times New Roman" w:hAnsi="Times New Roman"/>
          <w:b/>
          <w:color w:val="000000"/>
          <w:sz w:val="24"/>
        </w:rPr>
        <w:t>Section 3.04</w:t>
      </w:r>
      <w:r>
        <w:rPr>
          <w:rFonts w:ascii="Times New Roman" w:hAnsi="Times New Roman"/>
          <w:color w:val="000000"/>
          <w:sz w:val="24"/>
        </w:rPr>
        <w:t xml:space="preserve">, but subject to </w:t>
      </w:r>
      <w:r>
        <w:rPr>
          <w:rFonts w:ascii="Times New Roman" w:hAnsi="Times New Roman"/>
          <w:b/>
          <w:color w:val="000000"/>
          <w:sz w:val="24"/>
        </w:rPr>
        <w:t>Section 3.04(C)(iii)</w:t>
      </w:r>
      <w:r>
        <w:rPr>
          <w:rFonts w:ascii="Times New Roman" w:hAnsi="Times New Roman"/>
          <w:color w:val="000000"/>
          <w:sz w:val="24"/>
        </w:rPr>
        <w:t>, Additional Interest that accrues on any Note for any period on or after the De-Legending Deadline Date of such Note will not be payable on any Interest Payment Date occurring on or after such De-Legending Deadline Date unless (1) a Holder (or an owner of a beneficial interest in a Global Note) has delivered to the Company and the Trustee, before the Regular Record Date immediately before such Interest Payment Date, a written notice (a “</w:t>
      </w:r>
      <w:r>
        <w:rPr>
          <w:rFonts w:ascii="Times New Roman" w:hAnsi="Times New Roman"/>
          <w:b/>
          <w:color w:val="000000"/>
          <w:sz w:val="24"/>
        </w:rPr>
        <w:t>Deferred Additional Interest Demand Request</w:t>
      </w:r>
      <w:r>
        <w:rPr>
          <w:rFonts w:ascii="Times New Roman" w:hAnsi="Times New Roman"/>
          <w:color w:val="000000"/>
          <w:sz w:val="24"/>
        </w:rPr>
        <w:t>”) demanding payment of Additional Interest; or (2) the Company, in its sole and absolute discretion, elects, by sending notice of such election (a “</w:t>
      </w:r>
      <w:r>
        <w:rPr>
          <w:rFonts w:ascii="Times New Roman" w:hAnsi="Times New Roman"/>
          <w:b/>
          <w:color w:val="000000"/>
          <w:sz w:val="24"/>
        </w:rPr>
        <w:t>Notice of Election to Pay Deferred Additional Interest</w:t>
      </w:r>
      <w:r>
        <w:rPr>
          <w:rFonts w:ascii="Times New Roman" w:hAnsi="Times New Roman"/>
          <w:color w:val="000000"/>
          <w:sz w:val="24"/>
        </w:rPr>
        <w:t>”) to Holders before such Regular Record Date, to pay such Additional Interest on such Interest Payment Date (any accrued and unpaid Additional Interest that, in accordance with this sentence, is not paid on such Interest Payment Date, “</w:t>
      </w:r>
      <w:r>
        <w:rPr>
          <w:rFonts w:ascii="Times New Roman" w:hAnsi="Times New Roman"/>
          <w:b/>
          <w:color w:val="000000"/>
          <w:sz w:val="24"/>
        </w:rPr>
        <w:t>Deferred Additional Interest</w:t>
      </w:r>
      <w:r>
        <w:rPr>
          <w:rFonts w:ascii="Times New Roman" w:hAnsi="Times New Roman"/>
          <w:color w:val="000000"/>
          <w:sz w:val="24"/>
        </w:rPr>
        <w:t xml:space="preserve">”). Without further action by the Company or any other Person, interest will automatically accrue on such Deferred Additional Interest from, and including, such Interest Payment Date at a rate per annum equal to the rate per annum at which Stated Interest accrues on the Notes to, but excluding, the date on which such Deferred Additional Interest, together with accrued interest thereon, is paid. Once any accrued and unpaid Additional Interest becomes payable on an Interest Payment Date (whether as a result of the delivery of a written notice pursuant to </w:t>
      </w:r>
      <w:r>
        <w:rPr>
          <w:rFonts w:ascii="Times New Roman" w:hAnsi="Times New Roman"/>
          <w:b/>
          <w:color w:val="000000"/>
          <w:sz w:val="24"/>
        </w:rPr>
        <w:t>clause (1)</w:t>
      </w:r>
      <w:r>
        <w:rPr>
          <w:rFonts w:ascii="Times New Roman" w:hAnsi="Times New Roman"/>
          <w:color w:val="000000"/>
          <w:sz w:val="24"/>
        </w:rPr>
        <w:t xml:space="preserve"> above or, if earlier, the Company’s election to pay the same pursuant to </w:t>
      </w:r>
      <w:r>
        <w:rPr>
          <w:rFonts w:ascii="Times New Roman" w:hAnsi="Times New Roman"/>
          <w:b/>
          <w:color w:val="000000"/>
          <w:sz w:val="24"/>
        </w:rPr>
        <w:t>clause (2)</w:t>
      </w:r>
      <w:r>
        <w:rPr>
          <w:rFonts w:ascii="Times New Roman" w:hAnsi="Times New Roman"/>
          <w:color w:val="000000"/>
          <w:sz w:val="24"/>
        </w:rPr>
        <w:t xml:space="preserve"> above), Additional Interest will thereafter not be subject to deferral pursuant to this </w:t>
      </w:r>
      <w:r>
        <w:rPr>
          <w:rFonts w:ascii="Times New Roman" w:hAnsi="Times New Roman"/>
          <w:b/>
          <w:color w:val="000000"/>
          <w:sz w:val="24"/>
        </w:rPr>
        <w:t>Section 3.04(C)</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- 31 -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Interpretive Provisions</w:t>
      </w:r>
      <w:r>
        <w:rPr>
          <w:rFonts w:ascii="Times New Roman" w:hAnsi="Times New Roman"/>
          <w:color w:val="000000"/>
          <w:sz w:val="24"/>
        </w:rPr>
        <w:t xml:space="preserve">. Each reference in this Indenture or the Notes to any accrued interest (including in the definitions of the Redemption Price and the Fundamental Change Repurchase Price for any Note) or to any accrued Additional Interest includes, to the extent applicable, and without duplication, any Deferred Additional Interest, together with accrued and unpaid interest thereon.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 w:hAnsi="Times New Roman"/>
          <w:b/>
          <w:color w:val="000000"/>
          <w:sz w:val="24"/>
        </w:rPr>
        <w:t>Section 3.04(C)(i)</w:t>
      </w:r>
      <w:r>
        <w:rPr>
          <w:rFonts w:ascii="Times New Roman" w:hAnsi="Times New Roman"/>
          <w:color w:val="000000"/>
          <w:sz w:val="24"/>
        </w:rPr>
        <w:t xml:space="preserve">. Otherwise, such a failure to pay will be subject to </w:t>
      </w:r>
      <w:r>
        <w:rPr>
          <w:rFonts w:ascii="Times New Roman" w:hAnsi="Times New Roman"/>
          <w:b/>
          <w:color w:val="000000"/>
          <w:sz w:val="24"/>
        </w:rPr>
        <w:t>Section 7.01(A)(ii)</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Payment or Extinguishment Upon Maturity</w:t>
      </w:r>
      <w:r>
        <w:rPr>
          <w:rFonts w:ascii="Times New Roman" w:hAnsi="Times New Roman"/>
          <w:color w:val="000000"/>
          <w:sz w:val="24"/>
        </w:rPr>
        <w:t xml:space="preserve">. Notwithstanding anything to the contrary in this Indenture or the Notes, if (1) any unpaid Deferred Additional Interest exists on any Notes as of the Close of Business on the Regular Record Date immediately preceding the Maturity Date; (2) no Holder (or owner of a beneficial interest in a Global Note) has delivered a Deferred Additional Interest Demand Request in the manner set forth in </w:t>
      </w:r>
      <w:r>
        <w:rPr>
          <w:rFonts w:ascii="Times New Roman" w:hAnsi="Times New Roman"/>
          <w:b/>
          <w:color w:val="000000"/>
          <w:sz w:val="24"/>
        </w:rPr>
        <w:t>Section 3.04(C)(i)</w:t>
      </w:r>
      <w:r>
        <w:rPr>
          <w:rFonts w:ascii="Times New Roman" w:hAnsi="Times New Roman"/>
          <w:color w:val="000000"/>
          <w:sz w:val="24"/>
        </w:rPr>
        <w:t xml:space="preserve"> before such Regular Record Date; and (3) the Company has not sent a Notice of Election to Pay Deferred Additional Interest in the manner set forth in </w:t>
      </w:r>
      <w:r>
        <w:rPr>
          <w:rFonts w:ascii="Times New Roman" w:hAnsi="Times New Roman"/>
          <w:b/>
          <w:color w:val="000000"/>
          <w:sz w:val="24"/>
        </w:rPr>
        <w:t>Section 3.04(C)(i)</w:t>
      </w:r>
      <w:r>
        <w:rPr>
          <w:rFonts w:ascii="Times New Roman" w:hAnsi="Times New Roman"/>
          <w:color w:val="000000"/>
          <w:sz w:val="24"/>
        </w:rPr>
        <w:t xml:space="preserve"> before such Regular Record Date, then Deferred Additional Interest on each Note then outstanding will cease to accrue, and all Deferred Additional Interest, together with interest thereon, on such Note will be deemed to be extinguished on the following date: (a) if such Note is to be Converted, the Conversion Date for such Conversion (it being understood, for the avoidance of doubt, that the Conversion Consideration therefor need not include, and the amount referred to in </w:t>
      </w:r>
      <w:r>
        <w:rPr>
          <w:rFonts w:ascii="Times New Roman" w:hAnsi="Times New Roman"/>
          <w:b/>
          <w:color w:val="000000"/>
          <w:sz w:val="24"/>
        </w:rPr>
        <w:t>clause (i)</w:t>
      </w:r>
      <w:r>
        <w:rPr>
          <w:rFonts w:ascii="Times New Roman" w:hAnsi="Times New Roman"/>
          <w:color w:val="000000"/>
          <w:sz w:val="24"/>
        </w:rPr>
        <w:t xml:space="preserve"> of </w:t>
      </w:r>
      <w:r>
        <w:rPr>
          <w:rFonts w:ascii="Times New Roman" w:hAnsi="Times New Roman"/>
          <w:b/>
          <w:color w:val="000000"/>
          <w:sz w:val="24"/>
        </w:rPr>
        <w:t>Section 5.02(D)</w:t>
      </w:r>
      <w:r>
        <w:rPr>
          <w:rFonts w:ascii="Times New Roman" w:hAnsi="Times New Roman"/>
          <w:color w:val="000000"/>
          <w:sz w:val="24"/>
        </w:rPr>
        <w:t xml:space="preserve"> need not include, the payment of any such Deferred Additional Interest or any interest thereon); and (b) in all other cases, the later of (x) the Maturity Date; and (y) the first date on which the Company has repaid the principal of, and accrued and unpaid interest (other than such Deferred Additional Interest and any interest thereon) on, such Note in full.</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Notice of Accrual of Additional Interest; Trustee’s Disclaimer</w:t>
      </w:r>
      <w:r>
        <w:rPr>
          <w:rFonts w:ascii="Times New Roman" w:hAnsi="Times New Roman"/>
          <w:color w:val="000000"/>
          <w:sz w:val="24"/>
        </w:rPr>
        <w:t xml:space="preserve">. The Company will send notice to the Holder of each Note, and to the Trustee, of the commencement and termination of any period in which Additional Interest accrues on such Note, except that no such notice is required in respect of any Additional Interest that is deferred in accordance with </w:t>
      </w:r>
      <w:r>
        <w:rPr>
          <w:rFonts w:ascii="Times New Roman" w:hAnsi="Times New Roman"/>
          <w:b/>
          <w:color w:val="000000"/>
          <w:sz w:val="24"/>
        </w:rPr>
        <w:t>Section 3.04(C)</w:t>
      </w:r>
      <w:r>
        <w:rPr>
          <w:rFonts w:ascii="Times New Roman" w:hAnsi="Times New Roman"/>
          <w:color w:val="000000"/>
          <w:sz w:val="24"/>
        </w:rPr>
        <w:t>.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whether the same is deferred or is accruing interest) or the amount thereof and may assume without inquiry that no Additional Interest is payable or has been deferred until written notice of such Additional Interest has been provided to the Trustee by the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Exclusive Remedy</w:t>
      </w:r>
      <w:r>
        <w:rPr>
          <w:rFonts w:ascii="Times New Roman" w:hAnsi="Times New Roman"/>
          <w:color w:val="000000"/>
          <w:sz w:val="24"/>
        </w:rPr>
        <w:t>. The accrual of Additional Interest will be the exclusive remedy available to Holders for the failure of their Notes to become Freely Tradable.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- 32 -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3.05.    Additional Amounts.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Requirement to Pay Additional Amounts</w:t>
      </w:r>
      <w:r>
        <w:rPr>
          <w:rFonts w:ascii="Times New Roman" w:hAnsi="Times New Roman"/>
          <w:color w:val="000000"/>
          <w:sz w:val="24"/>
        </w:rPr>
        <w:t>. All payments and deliveries made by, or on behalf of, the Company under or with respect to the Notes (including payment of the principal of, or the Fundamental Change Repurchase Price or Redemption Price for, or any interest on, or the delivery of any Conversion Consideration due upon Conversion of, any Note) will be made without withholding or deduction for, or on account of, any present or future Taxes, unless such withholding or deduction is required by law or regulation or by governmental policy having the force of law. If any Taxes imposed or levied by or on behalf of any jurisdiction or any political subdivision or taxing authority thereof or therein (in each case, other than the United States of America or any political subdivision or taxing authority thereof or therein) in which the Company or any Successor Entity is, for tax purposes, organized or resident or doing business or through which payment is made or deemed to be made by the Company or its agent (each such jurisdiction, subdivision or authority, as applicable, a “</w:t>
      </w:r>
      <w:r>
        <w:rPr>
          <w:rFonts w:ascii="Times New Roman" w:hAnsi="Times New Roman"/>
          <w:b/>
          <w:color w:val="000000"/>
          <w:sz w:val="24"/>
        </w:rPr>
        <w:t>Relevant Taxing Jurisdiction</w:t>
      </w:r>
      <w:r>
        <w:rPr>
          <w:rFonts w:ascii="Times New Roman" w:hAnsi="Times New Roman"/>
          <w:color w:val="000000"/>
          <w:sz w:val="24"/>
        </w:rPr>
        <w:t xml:space="preserve">”) are required to be withheld or deducted from any payments or deliveries made under or with respect to the Notes (other than any payments that are made upon conversion of the Notes, whether made in cash, Ordinary Shares or other consideration (including, for the avoidance of doubt, any payments of cash for any fractional shares or other consideration) in the event the Company, such Successor Entity or the issuer of the Ordinary Shares or Reference Property Units becomes duly organized or incorporated and existing under the laws of the United States of America, any State thereof or the District of Columbia), then, subject to </w:t>
      </w:r>
      <w:r>
        <w:rPr>
          <w:rFonts w:ascii="Times New Roman" w:hAnsi="Times New Roman"/>
          <w:b/>
          <w:color w:val="000000"/>
          <w:sz w:val="24"/>
        </w:rPr>
        <w:t>Section 4.03(C)(ii)</w:t>
      </w:r>
      <w:r>
        <w:rPr>
          <w:rFonts w:ascii="Times New Roman" w:hAnsi="Times New Roman"/>
          <w:color w:val="000000"/>
          <w:sz w:val="24"/>
        </w:rPr>
        <w:t>, the Company or such Successor Entity, as applicable, will pay to the Holder of each Note such additional amounts (the “</w:t>
      </w:r>
      <w:r>
        <w:rPr>
          <w:rFonts w:ascii="Times New Roman" w:hAnsi="Times New Roman"/>
          <w:b/>
          <w:color w:val="000000"/>
          <w:sz w:val="24"/>
        </w:rPr>
        <w:t>Additional Amounts</w:t>
      </w:r>
      <w:r>
        <w:rPr>
          <w:rFonts w:ascii="Times New Roman" w:hAnsi="Times New Roman"/>
          <w:color w:val="000000"/>
          <w:sz w:val="24"/>
        </w:rPr>
        <w:t xml:space="preserve">”) as may be necessary to ensure that the net amount received by the Holder or beneficial owner of such Note after such withholding or deduction (and after withholding or deducting any Taxes on the Additional Amounts, if applicable) will equal the amounts that would have been received by such Holder or beneficial owner had no such withholding or deduction been required;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obligation to pay Additional Amounts will not apply to:</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w:t>
      </w:r>
      <w:r>
        <w:rPr>
          <w:rFonts w:ascii="Times New Roman" w:hAnsi="Times New Roman"/>
          <w:color w:val="000000"/>
          <w:sz w:val="24"/>
        </w:rPr>
        <w:t>any Tax that would not have been imposed but for: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the existence of any present or former connection between the Holder or beneficial owner of such Note and the Relevant Taxing Jurisdiction (other than merely holding or being a beneficial owner of such Note or the receipt or enforcement of payments or deliveries thereunder), including such Holder or beneficial owner being or having been a national, domiciliary or resident, or treated as a resident, of, or being or having been physically present or engaged in a trade or business, or having had a permanent establishment, in, such Relevant Taxing Jurisdiction;</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in cases where presentation of such Note is required to receive such payment or delivery, the presentation of such Note after a period of thirty (30) days after the later of (x) the date on which such payment or delivery became due and payable or deliverable, as applicable, pursuant to the terms of this Indenture and (y) the date such payment or delivery was made or duly provided for, except, in each case, to the extent that such Holder or beneficial owner would have been entitled to Additional Amounts if it presented such Note for payment or delivery, as applicable, at the end of such thirty (30) day period; 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- 33 -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the failure of such Holder or beneficial owner to comply with a timely request from the Company or the Successor Entity or any applicable withholding agent, addressed to such Holder or beneficial owner, to (x) provide certification, information, documentation or other evidence concerning such Holder’s or beneficial owner’s nationality, residence, identity or connection with such Relevant Taxing Jurisdiction; or (y) make any declaration or satisfy any other reporting requirement relating to such matters, in each case if and to the extent that such Holder or beneficial owner is legally entitled without material burden to comply with such request and due and timely compliance with such request is required by or necessary under statute, regulation or administrative practice of such Relevant Taxing Jurisdiction (including, without limitation, for Australian resident holders or beneficial owners otherwise having such information or documentation, provision of an Australian tax file number, Australian business number or proof of relevant exemption) in order to reduce or eliminate such withholding or deduction;</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 estate, inheritance, gift, sale, transfer, personal property or similar Tax;</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any Tax that is payable other than by withholding or deduction from payments or deliveries under or with respect to the Notes;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any withholding or deduction required by (x) Sections 1471 through 1474 of the Internal Revenue Code and any current or future U.S. Treasury Regulations or rulings promulgated thereunder (“</w:t>
      </w:r>
      <w:r>
        <w:rPr>
          <w:rFonts w:ascii="Times New Roman" w:hAnsi="Times New Roman"/>
          <w:b/>
          <w:color w:val="000000"/>
          <w:sz w:val="24"/>
        </w:rPr>
        <w:t>FATCA</w:t>
      </w:r>
      <w:r>
        <w:rPr>
          <w:rFonts w:ascii="Times New Roman" w:hAnsi="Times New Roman"/>
          <w:color w:val="000000"/>
          <w:sz w:val="24"/>
        </w:rPr>
        <w:t>”); (y) any inter-governmental agreement between the United States and any other non-U.S. jurisdiction to implement FATCA or any law, regulation, rule, practice or other official guidance having the force of law enacted by such other jurisdiction to give effect to such agreement; or (z) any agreement with the U.S. Internal Revenue Service pursuant to Section 1471(b)(1) of the Internal Revenue Code;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any Taxes imposed or withheld by reason of such holder being an “associate” (as defined in Section 128F(9) of the Income Tax Assessment Act 1936 of Australia) of the Company not acting in the capacity of a clearing house, paying agent, custodian, funds manager or responsible entity of a registered scheme within the meaning of the Corporations Act 2001 of Australia;</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any Taxes imposed or withheld by reason of the Australian Commissioner of Taxation giving a notice under section 255 of the Income Tax Assessment Act 1936 of Australia or section 260-5 of Schedule 1 to the Taxation Administration Act 1953 of Australia or similar law;</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any Taxes imposed on or with respect to any payment by the Company to such Holder if such Holder is a fiduciary, partnership or person other than the sole beneficial owner of such payment, to the extent that such payment would be required, under the laws of such Relevant Taxing Jurisdiction, to be included for tax purposes in the income of a beneficiary or settlor with respect to such fiduciary, a partner or member of such partnership, or a beneficial owner, who would not have been entitled to such Additional Amounts had such beneficiary, settlor, partner, member or beneficial owner been the Holder thereof; or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 xml:space="preserve">any combination of items referred to in the preceding </w:t>
      </w:r>
      <w:r>
        <w:rPr>
          <w:rFonts w:ascii="Times New Roman" w:hAnsi="Times New Roman"/>
          <w:b/>
          <w:color w:val="000000"/>
          <w:sz w:val="24"/>
        </w:rPr>
        <w:t>clauses</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through </w:t>
      </w:r>
      <w:r>
        <w:rPr>
          <w:rFonts w:ascii="Times New Roman" w:hAnsi="Times New Roman"/>
          <w:b/>
          <w:color w:val="000000"/>
          <w:sz w:val="24"/>
        </w:rPr>
        <w:t>(vii)</w:t>
      </w:r>
      <w:r>
        <w:rPr>
          <w:rFonts w:ascii="Times New Roman" w:hAnsi="Times New Roman"/>
          <w:color w:val="000000"/>
          <w:sz w:val="24"/>
        </w:rPr>
        <w:t>, inclusive, above.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Special Provision Regarding Interest</w:t>
      </w:r>
      <w:r>
        <w:rPr>
          <w:rFonts w:ascii="Times New Roman" w:hAnsi="Times New Roman"/>
          <w:color w:val="000000"/>
          <w:sz w:val="24"/>
        </w:rPr>
        <w:t>. For the avoidance of doubt, if any Note is called for a Tax Redemption and the Redemption Date is after a Regular Record Date and on or before the next Interest Payment Date, then the Company’s obligation to pay Additional Amounts will apply to the interest payment due on such Note on such Interest Payment Date unless such Note is subject to a Tax Redemption Opt-Out Election Notice.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Tax Receipts</w:t>
      </w:r>
      <w:r>
        <w:rPr>
          <w:rFonts w:ascii="Times New Roman" w:hAnsi="Times New Roman"/>
          <w:color w:val="000000"/>
          <w:sz w:val="24"/>
        </w:rPr>
        <w:t>. If the Company is required to make any deduction or withholding from any payments or deliveries with respect to the Notes, then (i) the Company will deliver to the Trustee official tax receipts (or, if, after expending reasonable efforts, the Company is unable to obtain such receipts, other evidence of payments) evidencing the remittance to the relevant tax authorities of the amounts so withheld or deducted; and (ii) the Trustee or the Company will provide a copy of such receipts or evidence, as applicable, to any Holder or beneficial owner of any Notes upon request.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Interpretation of Indenture and Notes</w:t>
      </w:r>
      <w:r>
        <w:rPr>
          <w:rFonts w:ascii="Times New Roman" w:hAnsi="Times New Roman"/>
          <w:color w:val="000000"/>
          <w:sz w:val="24"/>
        </w:rPr>
        <w:t>. All references in this Indenture or the Notes to any payment on, or delivery with respect to, the Notes (including payment of the principal of, or the Fundamental Change Repurchase Price or Redemption Price for, or any interest on, or the delivery of any Conversion Consideration due upon Conversion of, any Note) will, to the extent that Additional Amounts are payable in respect thereof, be deemed to include the payment of such Additional Amounts.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Survival of Obligations</w:t>
      </w:r>
      <w:r>
        <w:rPr>
          <w:rFonts w:ascii="Times New Roman" w:hAnsi="Times New Roman"/>
          <w:color w:val="000000"/>
          <w:sz w:val="24"/>
        </w:rPr>
        <w:t xml:space="preserve">. The obligations set forth in this </w:t>
      </w:r>
      <w:r>
        <w:rPr>
          <w:rFonts w:ascii="Times New Roman" w:hAnsi="Times New Roman"/>
          <w:b/>
          <w:color w:val="000000"/>
          <w:sz w:val="24"/>
        </w:rPr>
        <w:t>Section 3.05</w:t>
      </w:r>
      <w:r>
        <w:rPr>
          <w:rFonts w:ascii="Times New Roman" w:hAnsi="Times New Roman"/>
          <w:color w:val="000000"/>
          <w:sz w:val="24"/>
        </w:rPr>
        <w:t xml:space="preserve"> will survive any transfer of Notes by a Holder (or, in the case of a Global Note, a holder of a beneficial interest therein).</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3.06.    Compliance and Default Certificates.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Annual Compliance Certificate</w:t>
      </w:r>
      <w:r>
        <w:rPr>
          <w:rFonts w:ascii="Times New Roman" w:hAnsi="Times New Roman"/>
          <w:color w:val="000000"/>
          <w:sz w:val="24"/>
        </w:rPr>
        <w:t>. Within ninety (90) days after the last day of each fiscal year of the Company, beginning with the first 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Default Certificate</w:t>
      </w:r>
      <w:r>
        <w:rPr>
          <w:rFonts w:ascii="Times New Roman" w:hAnsi="Times New Roman"/>
          <w:color w:val="000000"/>
          <w:sz w:val="24"/>
        </w:rPr>
        <w:t xml:space="preserve">. If a Default or Event of Default occurs, then the Company will, within thirty (30) days after the Company first obtains knowledge of the occurrence thereof, deliver an Officer’s Certificate to the Trustee describing the same and what action the Company is taking or proposes to take with respect thereto; </w:t>
      </w:r>
      <w:r>
        <w:rPr>
          <w:rFonts w:ascii="Times New Roman" w:hAnsi="Times New Roman"/>
          <w:i/>
          <w:color w:val="000000"/>
          <w:sz w:val="24"/>
        </w:rPr>
        <w:t>provided</w:t>
      </w:r>
      <w:r>
        <w:rPr>
          <w:rFonts w:ascii="Times New Roman" w:hAnsi="Times New Roman"/>
          <w:color w:val="000000"/>
          <w:sz w:val="24"/>
        </w:rPr>
        <w:t xml:space="preserve"> that the Company will not be required to deliver such Officer’s Certificate if the Default or Event of Default has been cured (or deemed cured) or waived prior to the date that such Officer’s Certificate is due.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- 35 -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3.07.    Stay, Extension and Usury Laws.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3.08.   Acquisition of Notes by the Company and its Affiliates.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Without limiting the generality of </w:t>
      </w:r>
      <w:r>
        <w:rPr>
          <w:rFonts w:ascii="Times New Roman" w:hAnsi="Times New Roman"/>
          <w:b/>
          <w:color w:val="000000"/>
          <w:sz w:val="24"/>
        </w:rPr>
        <w:t>Section 2.18</w:t>
      </w:r>
      <w:r>
        <w:rPr>
          <w:rFonts w:ascii="Times New Roman" w:hAnsi="Times New Roman"/>
          <w:color w:val="000000"/>
          <w:sz w:val="24"/>
        </w:rPr>
        <w:t xml:space="preserve">, Notes that the Company or any of its Subsidiaries have purchased or otherwise acquired will be deemed to remain outstanding (except to the extent provided in </w:t>
      </w:r>
      <w:r>
        <w:rPr>
          <w:rFonts w:ascii="Times New Roman" w:hAnsi="Times New Roman"/>
          <w:b/>
          <w:color w:val="000000"/>
          <w:sz w:val="24"/>
        </w:rPr>
        <w:t>Section 2.16</w:t>
      </w:r>
      <w:r>
        <w:rPr>
          <w:rFonts w:ascii="Times New Roman" w:hAnsi="Times New Roman"/>
          <w:color w:val="000000"/>
          <w:sz w:val="24"/>
        </w:rPr>
        <w:t>) until such time as such Notes are delivered to the Trustee for cancellation. The Company will use commercially reasonable efforts to prevent any of its controlled Affiliates from acquiring any Note (or any beneficial interest therein).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Article 4.     REPURCHASE AND REDEMPTION</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4.01.    No Sinking Fund.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No sinking fund is required to be provided for the Notes.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4.02.    Right of Holders to Require the Company to Repurchase Notes Upon a Fundamental Change.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Right of Holders to Require the Company to Repurchase Notes Upon a Fundamental Change</w:t>
      </w:r>
      <w:r>
        <w:rPr>
          <w:rFonts w:ascii="Times New Roman" w:hAnsi="Times New Roman"/>
          <w:color w:val="000000"/>
          <w:sz w:val="24"/>
        </w:rPr>
        <w:t xml:space="preserve">. Subject to the other terms of this </w:t>
      </w:r>
      <w:r>
        <w:rPr>
          <w:rFonts w:ascii="Times New Roman" w:hAnsi="Times New Roman"/>
          <w:b/>
          <w:color w:val="000000"/>
          <w:sz w:val="24"/>
        </w:rPr>
        <w:t>Section 4.02</w:t>
      </w:r>
      <w:r>
        <w:rPr>
          <w:rFonts w:ascii="Times New Roman" w:hAnsi="Times New Roman"/>
          <w:color w:val="000000"/>
          <w:sz w:val="24"/>
        </w:rPr>
        <w:t>, if a Fundamental Change occurs, then each Holder will have the right (the “</w:t>
      </w:r>
      <w:r>
        <w:rPr>
          <w:rFonts w:ascii="Times New Roman" w:hAnsi="Times New Roman"/>
          <w:b/>
          <w:color w:val="000000"/>
          <w:sz w:val="24"/>
        </w:rPr>
        <w:t>Fundamental Change Repurchase Right</w:t>
      </w:r>
      <w:r>
        <w:rPr>
          <w:rFonts w:ascii="Times New Roman" w:hAnsi="Times New Roman"/>
          <w:color w:val="000000"/>
          <w:sz w:val="24"/>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Repurchase Prohibited in Certain Circumstances</w:t>
      </w:r>
      <w:r>
        <w:rPr>
          <w:rFonts w:ascii="Times New Roman" w:hAnsi="Times New Roman"/>
          <w:color w:val="000000"/>
          <w:sz w:val="24"/>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hAnsi="Times New Roman"/>
          <w:b/>
          <w:color w:val="000000"/>
          <w:sz w:val="24"/>
        </w:rPr>
        <w:t>Section 4.02(D)</w:t>
      </w:r>
      <w:r>
        <w:rPr>
          <w:rFonts w:ascii="Times New Roman" w:hAnsi="Times New Roman"/>
          <w:color w:val="000000"/>
          <w:sz w:val="24"/>
        </w:rPr>
        <w:t xml:space="preserve">, on such Fundamental Change Repurchase Date), then (i) the Company may not repurchase any Notes pursuant to this </w:t>
      </w:r>
      <w:r>
        <w:rPr>
          <w:rFonts w:ascii="Times New Roman" w:hAnsi="Times New Roman"/>
          <w:b/>
          <w:color w:val="000000"/>
          <w:sz w:val="24"/>
        </w:rPr>
        <w:t>Section 4.02</w:t>
      </w:r>
      <w:r>
        <w:rPr>
          <w:rFonts w:ascii="Times New Roman" w:hAnsi="Times New Roman"/>
          <w:color w:val="000000"/>
          <w:sz w:val="24"/>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Fundamental Change Repurchase Date</w:t>
      </w:r>
      <w:r>
        <w:rPr>
          <w:rFonts w:ascii="Times New Roman" w:hAnsi="Times New Roman"/>
          <w:color w:val="000000"/>
          <w:sz w:val="24"/>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 w:hAnsi="Times New Roman"/>
          <w:b/>
          <w:color w:val="000000"/>
          <w:sz w:val="24"/>
        </w:rPr>
        <w:t>Section 4.02(E)</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- 36 -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Fundamental Change Repurchase Price</w:t>
      </w:r>
      <w:r>
        <w:rPr>
          <w:rFonts w:ascii="Times New Roman" w:hAnsi="Times New Roman"/>
          <w:color w:val="000000"/>
          <w:sz w:val="24"/>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hAnsi="Times New Roman"/>
          <w:b/>
          <w:color w:val="000000"/>
          <w:sz w:val="24"/>
        </w:rPr>
        <w:t>Section 2.05(C)</w:t>
      </w:r>
      <w:r>
        <w:rPr>
          <w:rFonts w:ascii="Times New Roman" w:hAnsi="Times New Roman"/>
          <w:color w:val="000000"/>
          <w:sz w:val="24"/>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hAnsi="Times New Roman"/>
          <w:b/>
          <w:color w:val="000000"/>
          <w:sz w:val="24"/>
        </w:rPr>
        <w:t>Section 2.05(C)</w:t>
      </w:r>
      <w:r>
        <w:rPr>
          <w:rFonts w:ascii="Times New Roman" w:hAnsi="Times New Roman"/>
          <w:color w:val="000000"/>
          <w:sz w:val="24"/>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Fundamental Change Notice</w:t>
      </w:r>
      <w:r>
        <w:rPr>
          <w:rFonts w:ascii="Times New Roman" w:hAnsi="Times New Roman"/>
          <w:color w:val="000000"/>
          <w:sz w:val="24"/>
        </w:rPr>
        <w:t>. On or before the twentieth (20th) calendar day after the effective date of a Fundamental Change, the Company will send to each Holder, the Trustee, the Conversion Agent and the Paying Agent a notice of such Fundamental Change (a “</w:t>
      </w:r>
      <w:r>
        <w:rPr>
          <w:rFonts w:ascii="Times New Roman" w:hAnsi="Times New Roman"/>
          <w:b/>
          <w:color w:val="000000"/>
          <w:sz w:val="24"/>
        </w:rPr>
        <w:t>Fundamental Change Notice</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Such Fundamental Change Notice must state: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w:t>
      </w:r>
      <w:r>
        <w:rPr>
          <w:rFonts w:ascii="Times New Roman" w:hAnsi="Times New Roman"/>
          <w:color w:val="000000"/>
          <w:sz w:val="24"/>
        </w:rPr>
        <w:t>briefly, the events causing such Fundamental Change;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effective date of such Fundamental Change;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procedures that a Holder must follow to require the Company to repurchase its Notes pursuant to this </w:t>
      </w:r>
      <w:r>
        <w:rPr>
          <w:rFonts w:ascii="Times New Roman" w:hAnsi="Times New Roman"/>
          <w:b/>
          <w:color w:val="000000"/>
          <w:sz w:val="24"/>
        </w:rPr>
        <w:t>Section 4.02</w:t>
      </w:r>
      <w:r>
        <w:rPr>
          <w:rFonts w:ascii="Times New Roman" w:hAnsi="Times New Roman"/>
          <w:color w:val="000000"/>
          <w:sz w:val="24"/>
        </w:rPr>
        <w:t>, including the deadline for exercising the Fundamental Change Repurchase Right and the procedures for submitting and withdrawing a Fundamental Change Repurchase Notice;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Fundamental Change Repurchase Date for such Fundamental Change;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hAnsi="Times New Roman"/>
          <w:b/>
          <w:color w:val="000000"/>
          <w:sz w:val="24"/>
        </w:rPr>
        <w:t>Section 4.02(D)</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the name and address of the Paying Agent and the Conversion Agent;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- 37 -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hAnsi="Times New Roman"/>
          <w:b/>
          <w:color w:val="000000"/>
          <w:sz w:val="24"/>
        </w:rPr>
        <w:t>Section 5.07</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that Notes for which a Fundamental Change Repurchase Notice has been duly tendered and not duly withdrawn must be delivered to the Paying Agent for the Holder thereof to be entitled to receive the Fundamental Change Repurchase Price;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that Notes (or any portion thereof) that are subject to a Fundamental Change Repurchase Notice that has been duly tendered may be Converted only if such Fundamental Change Repurchase Notice is withdrawn in accordance with this Indenture;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the CUSIP and ISIN numbers, if any, of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Procedures to Exercise the Fundamental Change Repurchase Right</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Delivery of Fundamental Change Repurchase Notice and Notes to Be Repurchased</w:t>
      </w:r>
      <w:r>
        <w:rPr>
          <w:rFonts w:ascii="Times New Roman" w:hAnsi="Times New Roman"/>
          <w:color w:val="000000"/>
          <w:sz w:val="24"/>
        </w:rPr>
        <w:t>. To exercise its Fundamental Change Repurchase Right for a Note following a Fundamental Change, the Holder thereof must deliver to the Paying Agent: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before the Close of Business on the Business Day immediately before the related Fundamental Change Repurchase Date (or such later time as may be required by law), a duly completed, written Fundamental Change Repurchase Notice with respect to such Note; and</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such Note, duly endorsed for transfer (if such Note is a Physical Note) or by book-entry transfer (if such Note is a Global Note).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The Paying Agent will promptly deliver to the Company a copy of each Fundamental Change Repurchase Notice that it receives.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Contents of Fundamental Change Repurchase Notices</w:t>
      </w:r>
      <w:r>
        <w:rPr>
          <w:rFonts w:ascii="Times New Roman" w:hAnsi="Times New Roman"/>
          <w:color w:val="000000"/>
          <w:sz w:val="24"/>
        </w:rPr>
        <w:t>. Each Fundamental Change Repurchase Notice with respect to a Note must state: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if such Note is a Physical Note, the certificate number of such Note;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the principal amount of such Note to be repurchased, which must be an Authorized Denomination; and</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that such Holder is exercising its Fundamental Change Repurchase Right with respect to such principal amount of such Note;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- 38 -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 w:hAnsi="Times New Roman"/>
          <w:b/>
          <w:color w:val="000000"/>
          <w:sz w:val="24"/>
        </w:rPr>
        <w:t>Section 4.02(F)</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Withdrawal of Fundamental Change Repurchase Notice</w:t>
      </w:r>
      <w:r>
        <w:rPr>
          <w:rFonts w:ascii="Times New Roman" w:hAnsi="Times New Roman"/>
          <w:color w:val="000000"/>
          <w:sz w:val="24"/>
        </w:rPr>
        <w:t>.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if such Note is a Physical Note, the certificate number of such Note;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the principal amount of such Note to be withdrawn, which must be an Authorized Denomination; and</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the principal amount of such Note, if any, that remains subject to such Fundamental Change Repurchase Notice, which must be an Authorized Denomination;</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color w:val="000000"/>
          <w:sz w:val="24"/>
        </w:rPr>
        <w:t>Section 4.02(F)</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hAnsi="Times New Roman"/>
          <w:b/>
          <w:color w:val="000000"/>
          <w:sz w:val="24"/>
        </w:rPr>
        <w:t>Section 2.11</w:t>
      </w:r>
      <w:r>
        <w:rPr>
          <w:rFonts w:ascii="Times New Roman" w:hAnsi="Times New Roman"/>
          <w:color w:val="000000"/>
          <w:sz w:val="24"/>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Payment of the Fundamental Change Repurchase Price</w:t>
      </w:r>
      <w:r>
        <w:rPr>
          <w:rFonts w:ascii="Times New Roman" w:hAnsi="Times New Roman"/>
          <w:color w:val="000000"/>
          <w:sz w:val="24"/>
        </w:rPr>
        <w:t xml:space="preserve">. Without limiting the Company’s obligation to deposit the Fundamental Change Repurchase Price within the time prescribed by </w:t>
      </w:r>
      <w:r>
        <w:rPr>
          <w:rFonts w:ascii="Times New Roman" w:hAnsi="Times New Roman"/>
          <w:b/>
          <w:color w:val="000000"/>
          <w:sz w:val="24"/>
        </w:rPr>
        <w:t>Section 3.01(B)</w:t>
      </w:r>
      <w:r>
        <w:rPr>
          <w:rFonts w:ascii="Times New Roman" w:hAnsi="Times New Roman"/>
          <w:color w:val="000000"/>
          <w:sz w:val="24"/>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hAnsi="Times New Roman"/>
          <w:b/>
          <w:color w:val="000000"/>
          <w:sz w:val="24"/>
        </w:rPr>
        <w:t>Section 4.02(D)</w:t>
      </w:r>
      <w:r>
        <w:rPr>
          <w:rFonts w:ascii="Times New Roman" w:hAnsi="Times New Roman"/>
          <w:color w:val="000000"/>
          <w:sz w:val="24"/>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 w:hAnsi="Times New Roman"/>
          <w:b/>
          <w:color w:val="000000"/>
          <w:sz w:val="24"/>
        </w:rPr>
        <w:t>Section 4.02(G)</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- 39 -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Third Party May Conduct Repurchase Offer In Lieu of the Company</w:t>
      </w:r>
      <w:r>
        <w:rPr>
          <w:rFonts w:ascii="Times New Roman" w:hAnsi="Times New Roman"/>
          <w:color w:val="000000"/>
          <w:sz w:val="24"/>
        </w:rPr>
        <w:t xml:space="preserve">. Notwithstanding anything to the contrary in this </w:t>
      </w:r>
      <w:r>
        <w:rPr>
          <w:rFonts w:ascii="Times New Roman" w:hAnsi="Times New Roman"/>
          <w:b/>
          <w:color w:val="000000"/>
          <w:sz w:val="24"/>
        </w:rPr>
        <w:t>Section 4.02</w:t>
      </w:r>
      <w:r>
        <w:rPr>
          <w:rFonts w:ascii="Times New Roman" w:hAnsi="Times New Roman"/>
          <w:color w:val="000000"/>
          <w:sz w:val="24"/>
        </w:rPr>
        <w:t xml:space="preserve">, the Company will be deemed to satisfy its obligations under this </w:t>
      </w:r>
      <w:r>
        <w:rPr>
          <w:rFonts w:ascii="Times New Roman" w:hAnsi="Times New Roman"/>
          <w:b/>
          <w:color w:val="000000"/>
          <w:sz w:val="24"/>
        </w:rPr>
        <w:t>Section 4.02</w:t>
      </w:r>
      <w:r>
        <w:rPr>
          <w:rFonts w:ascii="Times New Roman" w:hAnsi="Times New Roman"/>
          <w:color w:val="000000"/>
          <w:sz w:val="24"/>
        </w:rPr>
        <w:t xml:space="preserve"> if (i) one or more third parties conduct any Repurchase Upon Fundamental Change and related offer to repurchase Notes otherwise required by this </w:t>
      </w:r>
      <w:r>
        <w:rPr>
          <w:rFonts w:ascii="Times New Roman" w:hAnsi="Times New Roman"/>
          <w:b/>
          <w:color w:val="000000"/>
          <w:sz w:val="24"/>
        </w:rPr>
        <w:t>Section 4.02</w:t>
      </w:r>
      <w:r>
        <w:rPr>
          <w:rFonts w:ascii="Times New Roman" w:hAnsi="Times New Roman"/>
          <w:color w:val="000000"/>
          <w:sz w:val="24"/>
        </w:rPr>
        <w:t xml:space="preserve"> in a manner that would have satisfied the requirements of this </w:t>
      </w:r>
      <w:r>
        <w:rPr>
          <w:rFonts w:ascii="Times New Roman" w:hAnsi="Times New Roman"/>
          <w:b/>
          <w:color w:val="000000"/>
          <w:sz w:val="24"/>
        </w:rPr>
        <w:t>Section 4.02</w:t>
      </w:r>
      <w:r>
        <w:rPr>
          <w:rFonts w:ascii="Times New Roman" w:hAnsi="Times New Roman"/>
          <w:color w:val="000000"/>
          <w:sz w:val="24"/>
        </w:rPr>
        <w:t xml:space="preserve"> if conducted directly by the Company; and (ii) an owner of a beneficial interest in any Note repurchased by such third party or parties will not receive a lesser amount (as a result of withholding or other similar taxes) than such owner would have received had the Company repurchased such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No Requirement to Conduct an Offer to Repurchase Notes if the Fundamental Change Results in the Notes Becoming Convertible into an Amount of Cash Exceeding the Fundamental Change Repurchase Price. Notwithstanding anything to the contrary in this </w:t>
      </w:r>
      <w:r>
        <w:rPr>
          <w:rFonts w:ascii="Times New Roman" w:hAnsi="Times New Roman"/>
          <w:b/>
          <w:color w:val="000000"/>
          <w:sz w:val="24"/>
        </w:rPr>
        <w:t>Section 4.02</w:t>
      </w:r>
      <w:r>
        <w:rPr>
          <w:rFonts w:ascii="Times New Roman" w:hAnsi="Times New Roman"/>
          <w:color w:val="000000"/>
          <w:sz w:val="24"/>
        </w:rPr>
        <w:t xml:space="preserve">, the Company will not be required to send a Fundamental Change Notice pursuant to </w:t>
      </w:r>
      <w:r>
        <w:rPr>
          <w:rFonts w:ascii="Times New Roman" w:hAnsi="Times New Roman"/>
          <w:b/>
          <w:color w:val="000000"/>
          <w:sz w:val="24"/>
        </w:rPr>
        <w:t>Section 4.02(E)</w:t>
      </w:r>
      <w:r>
        <w:rPr>
          <w:rFonts w:ascii="Times New Roman" w:hAnsi="Times New Roman"/>
          <w:color w:val="000000"/>
          <w:sz w:val="24"/>
        </w:rPr>
        <w:t xml:space="preserve">, or offer to repurchase or repurchase any Notes pursuant to this </w:t>
      </w:r>
      <w:r>
        <w:rPr>
          <w:rFonts w:ascii="Times New Roman" w:hAnsi="Times New Roman"/>
          <w:b/>
          <w:color w:val="000000"/>
          <w:sz w:val="24"/>
        </w:rPr>
        <w:t>Section 4.02</w:t>
      </w:r>
      <w:r>
        <w:rPr>
          <w:rFonts w:ascii="Times New Roman" w:hAnsi="Times New Roman"/>
          <w:color w:val="000000"/>
          <w:sz w:val="24"/>
        </w:rPr>
        <w:t xml:space="preserve">, in connection with an Ordinary Share Change Event that constitutes a Fundamental Change pursuant to </w:t>
      </w:r>
      <w:r>
        <w:rPr>
          <w:rFonts w:ascii="Times New Roman" w:hAnsi="Times New Roman"/>
          <w:b/>
          <w:color w:val="000000"/>
          <w:sz w:val="24"/>
        </w:rPr>
        <w:t>clause (B)(ii)</w:t>
      </w:r>
      <w:r>
        <w:rPr>
          <w:rFonts w:ascii="Times New Roman" w:hAnsi="Times New Roman"/>
          <w:color w:val="000000"/>
          <w:sz w:val="24"/>
        </w:rPr>
        <w:t xml:space="preserve"> of the definition thereof (regardless of whether such Ordinary Share Change Event also constitutes a Fundamental Change pursuant to any other clause of such definition), if (i) the Reference Property of such Ordinary Share Change Event consists entirely of cash in U.S. dollars; (ii) immediately after such Fundamental Change, the Notes become Convertible, pursuant to </w:t>
      </w:r>
      <w:r>
        <w:rPr>
          <w:rFonts w:ascii="Times New Roman" w:hAnsi="Times New Roman"/>
          <w:b/>
          <w:color w:val="000000"/>
          <w:sz w:val="24"/>
        </w:rPr>
        <w:t>Section 5.09(A)</w:t>
      </w:r>
      <w:r>
        <w:rPr>
          <w:rFonts w:ascii="Times New Roman" w:hAnsi="Times New Roman"/>
          <w:color w:val="000000"/>
          <w:sz w:val="24"/>
        </w:rPr>
        <w:t xml:space="preserve"> and, if applicable, </w:t>
      </w:r>
      <w:r>
        <w:rPr>
          <w:rFonts w:ascii="Times New Roman" w:hAnsi="Times New Roman"/>
          <w:b/>
          <w:color w:val="000000"/>
          <w:sz w:val="24"/>
        </w:rPr>
        <w:t>Section 5.07</w:t>
      </w:r>
      <w:r>
        <w:rPr>
          <w:rFonts w:ascii="Times New Roman" w:hAnsi="Times New Roman"/>
          <w:color w:val="000000"/>
          <w:sz w:val="24"/>
        </w:rPr>
        <w:t xml:space="preserve">, into consideration that consists solely of U.S. dollars in an amount per $1,000 aggregate principal amount of Notes that equals or exceeds the Fundamental Change Repurchase Price per $1,000 aggregate principal amount of Notes (calculated (1) assuming that the same includes accrued and unpaid interest to, but excluding, the latest possible Fundamental Change Repurchase Date for such Fundamental Change and (2) without regard to the proviso to the first sentence of </w:t>
      </w:r>
      <w:r>
        <w:rPr>
          <w:rFonts w:ascii="Times New Roman" w:hAnsi="Times New Roman"/>
          <w:b/>
          <w:color w:val="000000"/>
          <w:sz w:val="24"/>
        </w:rPr>
        <w:t>Section 4.02(D)</w:t>
      </w:r>
      <w:r>
        <w:rPr>
          <w:rFonts w:ascii="Times New Roman" w:hAnsi="Times New Roman"/>
          <w:color w:val="000000"/>
          <w:sz w:val="24"/>
        </w:rPr>
        <w:t xml:space="preserve">); and (iii) the Company timely sends the notice relating to such Fundamental Change required pursuant to </w:t>
      </w:r>
      <w:r>
        <w:rPr>
          <w:rFonts w:ascii="Times New Roman" w:hAnsi="Times New Roman"/>
          <w:b/>
          <w:color w:val="000000"/>
          <w:sz w:val="24"/>
        </w:rPr>
        <w:t>Section 5.01(C)(i)(3)(b)</w:t>
      </w:r>
      <w:r>
        <w:rPr>
          <w:rFonts w:ascii="Times New Roman" w:hAnsi="Times New Roman"/>
          <w:color w:val="000000"/>
          <w:sz w:val="24"/>
        </w:rPr>
        <w:t xml:space="preserve"> and includes, in such notice, a statement that the Company is relying on this </w:t>
      </w:r>
      <w:r>
        <w:rPr>
          <w:rFonts w:ascii="Times New Roman" w:hAnsi="Times New Roman"/>
          <w:b/>
          <w:color w:val="000000"/>
          <w:sz w:val="24"/>
        </w:rPr>
        <w:t>Section 4.02(I)</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Compliance with Applicable Securities Laws</w:t>
      </w:r>
      <w:r>
        <w:rPr>
          <w:rFonts w:ascii="Times New Roman" w:hAnsi="Times New Roman"/>
          <w:color w:val="000000"/>
          <w:sz w:val="24"/>
        </w:rPr>
        <w:t xml:space="preserve">. To the extent applicable, the Company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to the extent that the Company’s obligations pursuant to this </w:t>
      </w:r>
      <w:r>
        <w:rPr>
          <w:rFonts w:ascii="Times New Roman" w:hAnsi="Times New Roman"/>
          <w:b/>
          <w:color w:val="000000"/>
          <w:sz w:val="24"/>
        </w:rPr>
        <w:t>Section 4.02</w:t>
      </w:r>
      <w:r>
        <w:rPr>
          <w:rFonts w:ascii="Times New Roman" w:hAnsi="Times New Roman"/>
          <w:color w:val="000000"/>
          <w:sz w:val="24"/>
        </w:rPr>
        <w:t xml:space="preserve"> conflict with any law or regulation that is applicable to the Company and enacted after the Issue Date, the Company’s compliance with such law or regulation will not be considered to be a Default of such obligations.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Repurchase in Part</w:t>
      </w:r>
      <w:r>
        <w:rPr>
          <w:rFonts w:ascii="Times New Roman" w:hAnsi="Times New Roman"/>
          <w:color w:val="000000"/>
          <w:sz w:val="24"/>
        </w:rPr>
        <w:t xml:space="preserve">. Subject to the terms of this </w:t>
      </w:r>
      <w:r>
        <w:rPr>
          <w:rFonts w:ascii="Times New Roman" w:hAnsi="Times New Roman"/>
          <w:b/>
          <w:color w:val="000000"/>
          <w:sz w:val="24"/>
        </w:rPr>
        <w:t>Section 4.02</w:t>
      </w:r>
      <w:r>
        <w:rPr>
          <w:rFonts w:ascii="Times New Roman" w:hAnsi="Times New Roman"/>
          <w:color w:val="000000"/>
          <w:sz w:val="24"/>
        </w:rPr>
        <w:t xml:space="preserve">, Notes may be repurchased pursuant to a Repurchase Upon Fundamental Change in part, but only in Authorized Denominations. Provisions of this </w:t>
      </w:r>
      <w:r>
        <w:rPr>
          <w:rFonts w:ascii="Times New Roman" w:hAnsi="Times New Roman"/>
          <w:b/>
          <w:color w:val="000000"/>
          <w:sz w:val="24"/>
        </w:rPr>
        <w:t>Section 4.02</w:t>
      </w:r>
      <w:r>
        <w:rPr>
          <w:rFonts w:ascii="Times New Roman" w:hAnsi="Times New Roman"/>
          <w:color w:val="000000"/>
          <w:sz w:val="24"/>
        </w:rPr>
        <w:t xml:space="preserve"> applying to the repurchase of a Note in whole will equally apply to the repurchase of a permitted portion of a Note.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- 40 -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4.03.    Right of the Company to Redeem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No Right to Redeem Before December 6, 2028</w:t>
      </w:r>
      <w:r>
        <w:rPr>
          <w:rFonts w:ascii="Times New Roman" w:hAnsi="Times New Roman"/>
          <w:color w:val="000000"/>
          <w:sz w:val="24"/>
        </w:rPr>
        <w:t> </w:t>
      </w:r>
      <w:r>
        <w:rPr>
          <w:rFonts w:ascii="Times New Roman" w:hAnsi="Times New Roman"/>
          <w:i/>
          <w:color w:val="000000"/>
          <w:sz w:val="24"/>
        </w:rPr>
        <w:t>Except Pursuant to a Tax Redemption.</w:t>
      </w:r>
      <w:r>
        <w:rPr>
          <w:rFonts w:ascii="Times New Roman" w:hAnsi="Times New Roman"/>
          <w:color w:val="000000"/>
          <w:sz w:val="24"/>
        </w:rPr>
        <w:t xml:space="preserve"> The Company may not redeem the Notes at its option pursuant to this </w:t>
      </w:r>
      <w:r>
        <w:rPr>
          <w:rFonts w:ascii="Times New Roman" w:hAnsi="Times New Roman"/>
          <w:b/>
          <w:color w:val="000000"/>
          <w:sz w:val="24"/>
        </w:rPr>
        <w:t>Section 4.03</w:t>
      </w:r>
      <w:r>
        <w:rPr>
          <w:rFonts w:ascii="Times New Roman" w:hAnsi="Times New Roman"/>
          <w:color w:val="000000"/>
          <w:sz w:val="24"/>
        </w:rPr>
        <w:t xml:space="preserve"> at any time before December 6, 2028, except pursuant to a Tax Redemption.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Right to Redeem the Notes On or After December 6, 2028.</w:t>
      </w:r>
      <w:r>
        <w:rPr>
          <w:rFonts w:ascii="Times New Roman" w:hAnsi="Times New Roman"/>
          <w:color w:val="000000"/>
          <w:sz w:val="24"/>
        </w:rPr>
        <w:t xml:space="preserve"> Subject to the terms of this </w:t>
      </w:r>
      <w:r>
        <w:rPr>
          <w:rFonts w:ascii="Times New Roman" w:hAnsi="Times New Roman"/>
          <w:b/>
          <w:color w:val="000000"/>
          <w:sz w:val="24"/>
        </w:rPr>
        <w:t>Section 4.03</w:t>
      </w:r>
      <w:r>
        <w:rPr>
          <w:rFonts w:ascii="Times New Roman" w:hAnsi="Times New Roman"/>
          <w:color w:val="000000"/>
          <w:sz w:val="24"/>
        </w:rPr>
        <w:t xml:space="preserve">, the Company has the right, at its election, to redeem all, or any portion in an Authorized Denomination, of the Notes, at any time, and from time to time, on a Redemption Date on or after December 6, 2028 and on or before the thirtieth (30th) Scheduled Trading Day immediately before the Maturity Date, for a cash purchase price equal to the Redemption Price, but only if (i) the Notes are Freely Tradable as of the Redemption Notice Date for such Redemption and all accrued and unpaid Additional Interest, if any, has been paid in full as of the most recent Interest Payment Date occurring on or before such Redemption Notice Date; and (ii) the Last Reported Sale Price per Ordinary Share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one hundred million dollars ($100,000,000). For the avoidance of doubt, the calling of any Notes for a Provisional Redemption will constitute a Make-Whole Fundamental Change with respect to such Notes pursuant to </w:t>
      </w:r>
      <w:r>
        <w:rPr>
          <w:rFonts w:ascii="Times New Roman" w:hAnsi="Times New Roman"/>
          <w:b/>
          <w:color w:val="000000"/>
          <w:sz w:val="24"/>
        </w:rPr>
        <w:t>clause (B)</w:t>
      </w:r>
      <w:r>
        <w:rPr>
          <w:rFonts w:ascii="Times New Roman" w:hAnsi="Times New Roman"/>
          <w:color w:val="000000"/>
          <w:sz w:val="24"/>
        </w:rPr>
        <w:t xml:space="preserve"> of the definition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Right to Redeem the Notes After a Change in Tax Law</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 xml:space="preserve">Generally. </w:t>
      </w:r>
      <w:r>
        <w:rPr>
          <w:rFonts w:ascii="Times New Roman" w:hAnsi="Times New Roman"/>
          <w:color w:val="000000"/>
          <w:sz w:val="24"/>
        </w:rPr>
        <w:t xml:space="preserve">Subject to the terms of this </w:t>
      </w:r>
      <w:r>
        <w:rPr>
          <w:rFonts w:ascii="Times New Roman" w:hAnsi="Times New Roman"/>
          <w:b/>
          <w:color w:val="000000"/>
          <w:sz w:val="24"/>
        </w:rPr>
        <w:t>Section 4.03</w:t>
      </w:r>
      <w:r>
        <w:rPr>
          <w:rFonts w:ascii="Times New Roman" w:hAnsi="Times New Roman"/>
          <w:color w:val="000000"/>
          <w:sz w:val="24"/>
        </w:rPr>
        <w:t xml:space="preserve">, and without limiting the Company’s right to redeem any Notes pursuant to </w:t>
      </w:r>
      <w:r>
        <w:rPr>
          <w:rFonts w:ascii="Times New Roman" w:hAnsi="Times New Roman"/>
          <w:b/>
          <w:color w:val="000000"/>
          <w:sz w:val="24"/>
        </w:rPr>
        <w:t>Section 4.03(B)</w:t>
      </w:r>
      <w:r>
        <w:rPr>
          <w:rFonts w:ascii="Times New Roman" w:hAnsi="Times New Roman"/>
          <w:color w:val="000000"/>
          <w:sz w:val="24"/>
        </w:rPr>
        <w:t>, the Company has the right, at its election, to redeem all, but not less than all, of the Notes, at any time, on a Redemption Date before the Maturity Date, for a cash purchase price equal to the Redemption Price, but only if the following conditions are satisfied: (1) the Company has (or, on the next Interest Payment Date, would) become obligated to pay any Additional Amounts to Holders as a result of any Change in Tax Law; (2) the Company cannot avoid such obligation by taking reasonable measures available to the Company (</w:t>
      </w:r>
      <w:r>
        <w:rPr>
          <w:rFonts w:ascii="Times New Roman" w:hAnsi="Times New Roman"/>
          <w:i/>
          <w:color w:val="000000"/>
          <w:sz w:val="24"/>
        </w:rPr>
        <w:t>provided</w:t>
      </w:r>
      <w:r>
        <w:rPr>
          <w:rFonts w:ascii="Times New Roman" w:hAnsi="Times New Roman"/>
          <w:color w:val="000000"/>
          <w:sz w:val="24"/>
        </w:rPr>
        <w:t xml:space="preserve"> that changing the Company’s jurisdiction of incorporation or organization or the jurisdiction of incorporation or organization of the issuer of the Ordinary Shares or Reference Property Units shall not be deemed to be a reasonable measure); (3) the Company delivers to the Trustee (x) an Opinion of Counsel from outside legal counsel of recognized standing in the Relevant Taxing Jurisdiction attesting to </w:t>
      </w:r>
      <w:r>
        <w:rPr>
          <w:rFonts w:ascii="Times New Roman" w:hAnsi="Times New Roman"/>
          <w:b/>
          <w:color w:val="000000"/>
          <w:sz w:val="24"/>
        </w:rPr>
        <w:t>clause (1)</w:t>
      </w:r>
      <w:r>
        <w:rPr>
          <w:rFonts w:ascii="Times New Roman" w:hAnsi="Times New Roman"/>
          <w:color w:val="000000"/>
          <w:sz w:val="24"/>
        </w:rPr>
        <w:t xml:space="preserve"> above; and (y) an Officer’s Certificate attesting to </w:t>
      </w:r>
      <w:r>
        <w:rPr>
          <w:rFonts w:ascii="Times New Roman" w:hAnsi="Times New Roman"/>
          <w:b/>
          <w:color w:val="000000"/>
          <w:sz w:val="24"/>
        </w:rPr>
        <w:t>clauses (1)</w:t>
      </w:r>
      <w:r>
        <w:rPr>
          <w:rFonts w:ascii="Times New Roman" w:hAnsi="Times New Roman"/>
          <w:color w:val="000000"/>
          <w:sz w:val="24"/>
        </w:rPr>
        <w:t xml:space="preserve"> and </w:t>
      </w:r>
      <w:r>
        <w:rPr>
          <w:rFonts w:ascii="Times New Roman" w:hAnsi="Times New Roman"/>
          <w:b/>
          <w:color w:val="000000"/>
          <w:sz w:val="24"/>
        </w:rPr>
        <w:t>(2)</w:t>
      </w:r>
      <w:r>
        <w:rPr>
          <w:rFonts w:ascii="Times New Roman" w:hAnsi="Times New Roman"/>
          <w:color w:val="000000"/>
          <w:sz w:val="24"/>
        </w:rPr>
        <w:t xml:space="preserve"> above; and (4) if the Redemption Date is after the De-Legending Deadline Date, the Notes are Freely Tradable as of the Redemption Notice Date for such Redemption and all accrued and unpaid Additional Interest, if any, has been paid in full as of the most recent Interest Payment Date occurring on or before such Redemption Notice Date. For the avoidance of doubt, the calling of any Notes for a Tax Redemption will constitute a Make-Whole Fundamental Change pursuant to </w:t>
      </w:r>
      <w:r>
        <w:rPr>
          <w:rFonts w:ascii="Times New Roman" w:hAnsi="Times New Roman"/>
          <w:b/>
          <w:color w:val="000000"/>
          <w:sz w:val="24"/>
        </w:rPr>
        <w:t>clause (B)</w:t>
      </w:r>
      <w:r>
        <w:rPr>
          <w:rFonts w:ascii="Times New Roman" w:hAnsi="Times New Roman"/>
          <w:color w:val="000000"/>
          <w:sz w:val="24"/>
        </w:rPr>
        <w:t xml:space="preserve"> of the definition thereof.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- 41 -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Tax Redemption Opt-Out Election</w:t>
      </w:r>
      <w:r>
        <w:rPr>
          <w:rFonts w:ascii="Times New Roman" w:hAnsi="Times New Roman"/>
          <w:color w:val="000000"/>
          <w:sz w:val="24"/>
        </w:rPr>
        <w:t xml:space="preserve">. If the Company calls the Notes for a Tax Redemption, then, notwithstanding anything to the contrary in this </w:t>
      </w:r>
      <w:r>
        <w:rPr>
          <w:rFonts w:ascii="Times New Roman" w:hAnsi="Times New Roman"/>
          <w:b/>
          <w:color w:val="000000"/>
          <w:sz w:val="24"/>
        </w:rPr>
        <w:t>Section 4.03</w:t>
      </w:r>
      <w:r>
        <w:rPr>
          <w:rFonts w:ascii="Times New Roman" w:hAnsi="Times New Roman"/>
          <w:color w:val="000000"/>
          <w:sz w:val="24"/>
        </w:rPr>
        <w:t xml:space="preserve"> or in </w:t>
      </w:r>
      <w:r>
        <w:rPr>
          <w:rFonts w:ascii="Times New Roman" w:hAnsi="Times New Roman"/>
          <w:b/>
          <w:color w:val="000000"/>
          <w:sz w:val="24"/>
        </w:rPr>
        <w:t>Section 3.05</w:t>
      </w:r>
      <w:r>
        <w:rPr>
          <w:rFonts w:ascii="Times New Roman" w:hAnsi="Times New Roman"/>
          <w:color w:val="000000"/>
          <w:sz w:val="24"/>
        </w:rPr>
        <w:t>, each Holder will have the right to elect (a “</w:t>
      </w:r>
      <w:r>
        <w:rPr>
          <w:rFonts w:ascii="Times New Roman" w:hAnsi="Times New Roman"/>
          <w:b/>
          <w:color w:val="000000"/>
          <w:sz w:val="24"/>
        </w:rPr>
        <w:t>Tax Redemption Opt-Out Election</w:t>
      </w:r>
      <w:r>
        <w:rPr>
          <w:rFonts w:ascii="Times New Roman" w:hAnsi="Times New Roman"/>
          <w:color w:val="000000"/>
          <w:sz w:val="24"/>
        </w:rPr>
        <w:t xml:space="preserve">”) not to have such Holder’s Notes (or any portion thereof in an Authorized Denomination) redeemed pursuant to such Tax Redemption, in which case, from and after the Redemption Date for such Tax Redemption (or, if the Company fails to pay the Redemption Price due on such Redemption Date in full, from and after such time as the Company pays such Redemption Price in full), the Company will no longer have any obligation to pay any Additional Amounts with respect to such Notes solely as a result of such Change in Tax Law, and all future payments with respect to such Notes will be subject to the deduction or withholding of such Relevant Taxing Jurisdiction’s taxes required by law to be deducted or withheld as a result of such Change in Tax Law;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such Holder Converts such Notes with a Conversion Date occurring before such Redemption Date (or, if the Company fails to pay the Redemption Price due on such Redemption Date in full, such Notes are submitted for Conversion at any time until such time as the Company pays such Redemption Price in full), then the Company will be obligated to pay Additional Amounts, if any, with respect to such Conversion.</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i/>
          <w:color w:val="000000"/>
          <w:sz w:val="24"/>
        </w:rPr>
        <w:t>Tax Redemption Opt-Out Election Notice</w:t>
      </w:r>
      <w:r>
        <w:rPr>
          <w:rFonts w:ascii="Times New Roman" w:hAnsi="Times New Roman"/>
          <w:color w:val="000000"/>
          <w:sz w:val="24"/>
        </w:rPr>
        <w:t>. To make a Tax Redemption Opt-Out Election with respect to any Note (or any portion thereof in an Authorized Denomination), the Holder of such Note must (subject, in the case of a Global Note or any portion thereof, to the Depositary Procedures) deliver a notice (a “</w:t>
      </w:r>
      <w:r>
        <w:rPr>
          <w:rFonts w:ascii="Times New Roman" w:hAnsi="Times New Roman"/>
          <w:b/>
          <w:color w:val="000000"/>
          <w:sz w:val="24"/>
        </w:rPr>
        <w:t>Tax Redemption Opt-Out Election Notice</w:t>
      </w:r>
      <w:r>
        <w:rPr>
          <w:rFonts w:ascii="Times New Roman" w:hAnsi="Times New Roman"/>
          <w:color w:val="000000"/>
          <w:sz w:val="24"/>
        </w:rPr>
        <w:t xml:space="preserve">”) to the Paying Agent before the Close of Business on the second (2nd) Business Day immediately before the related Redemption Date, which notice must state: (x) if such Note is a Physical Note, the certificate number of such Note; (y) the principal amount of such Note as to which the Tax Redemption Opt-Out Election will apply, which must be an Authorized Denomination; and (z) that such Holder is making a Tax Redemption Opt-Out Election with respect to such Note (or such portion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then such notice must comply with the Depositary Procedures (and any such notice delivered in compliance with the Depositary Procedures will be deemed to satisfy the requirements of this </w:t>
      </w:r>
      <w:r>
        <w:rPr>
          <w:rFonts w:ascii="Times New Roman" w:hAnsi="Times New Roman"/>
          <w:b/>
          <w:color w:val="000000"/>
          <w:sz w:val="24"/>
        </w:rPr>
        <w:t>Section 4.03(C)(ii)(1)</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i/>
          <w:color w:val="000000"/>
          <w:sz w:val="24"/>
        </w:rPr>
        <w:t>Withdrawal of Tax Redemption Opt-Out Election Notice</w:t>
      </w:r>
      <w:r>
        <w:rPr>
          <w:rFonts w:ascii="Times New Roman" w:hAnsi="Times New Roman"/>
          <w:color w:val="000000"/>
          <w:sz w:val="24"/>
        </w:rPr>
        <w:t xml:space="preserve">. A Holder that has delivered a Tax Redemption Opt-Out Election Notice with respect to any Note (or any portion thereof in an Authorized Denomination) may (subject, in the case of a Global Note or any portion thereof, to the Depositary Procedures) withdraw such Tax Redemption Opt-Out Election Notice by delivering a withdrawal notice to the Paying Agent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 which withdrawal notice must state: (x) if such Note is a Physical Note, the certificate number of such Note; (y) the principal amount of such Note as to which the Tax Redemption Opt-Out Election is being withdrawn, which must be an Authorized Denomination; and (z) that such Holder is withdrawing the Tax Redemption Opt-Out Election with respect to such Note (or such portion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color w:val="000000"/>
          <w:sz w:val="24"/>
        </w:rPr>
        <w:t>Section 4.03(C)(ii)(2)</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- 42 -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Right to Convert Not Affected</w:t>
      </w:r>
      <w:r>
        <w:rPr>
          <w:rFonts w:ascii="Times New Roman" w:hAnsi="Times New Roman"/>
          <w:color w:val="000000"/>
          <w:sz w:val="24"/>
        </w:rPr>
        <w:t>. For the avoidance of doubt, a Tax Redemption will not affect any Holder’s right to Convert any Notes (or the Company’s obligation, if the Conversion Date for such Conversion occurs before the applicable Redemption Date, to pay any Additional Amounts with respect to such Conversion).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Redemption Prohibited in Certain Circumstances</w:t>
      </w:r>
      <w:r>
        <w:rPr>
          <w:rFonts w:ascii="Times New Roman" w:hAnsi="Times New Roman"/>
          <w:color w:val="000000"/>
          <w:sz w:val="24"/>
        </w:rPr>
        <w:t xml:space="preserve">. If the principal amount of the Notes has been accelerated and such acceleration has not been rescinded on or before the Redemption Date (including as a result of the payment of the related Redemption Price, and any related interest pursuant to the proviso to the first sentence of </w:t>
      </w:r>
      <w:r>
        <w:rPr>
          <w:rFonts w:ascii="Times New Roman" w:hAnsi="Times New Roman"/>
          <w:b/>
          <w:color w:val="000000"/>
          <w:sz w:val="24"/>
        </w:rPr>
        <w:t>Section 4.03(F)</w:t>
      </w:r>
      <w:r>
        <w:rPr>
          <w:rFonts w:ascii="Times New Roman" w:hAnsi="Times New Roman"/>
          <w:color w:val="000000"/>
          <w:sz w:val="24"/>
        </w:rPr>
        <w:t xml:space="preserve">, on such Redemption Date), then (i) the Company may not call for Redemption or otherwise redeem any Notes pursuant to this </w:t>
      </w:r>
      <w:r>
        <w:rPr>
          <w:rFonts w:ascii="Times New Roman" w:hAnsi="Times New Roman"/>
          <w:b/>
          <w:color w:val="000000"/>
          <w:sz w:val="24"/>
        </w:rPr>
        <w:t>Section 4.03</w:t>
      </w:r>
      <w:r>
        <w:rPr>
          <w:rFonts w:ascii="Times New Roman" w:hAnsi="Times New Roman"/>
          <w:color w:val="000000"/>
          <w:sz w:val="24"/>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Redemption Date</w:t>
      </w:r>
      <w:r>
        <w:rPr>
          <w:rFonts w:ascii="Times New Roman" w:hAnsi="Times New Roman"/>
          <w:color w:val="000000"/>
          <w:sz w:val="24"/>
        </w:rPr>
        <w:t xml:space="preserve">. The Redemption Date for any Redemption will be a Business Day of the Company’s choosing that is no more than fifty five (55), nor less than thirty five (35), Scheduled Trading Days after the Redemption Notice Date for such Redemption;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in accordance with </w:t>
      </w:r>
      <w:r>
        <w:rPr>
          <w:rFonts w:ascii="Times New Roman" w:hAnsi="Times New Roman"/>
          <w:b/>
          <w:color w:val="000000"/>
          <w:sz w:val="24"/>
        </w:rPr>
        <w:t>Section 5.03(A)(i)(3)</w:t>
      </w:r>
      <w:r>
        <w:rPr>
          <w:rFonts w:ascii="Times New Roman" w:hAnsi="Times New Roman"/>
          <w:color w:val="000000"/>
          <w:sz w:val="24"/>
        </w:rPr>
        <w:t>, the Company has elected to settle all Conversions of Notes with a Conversion Date that occurs on or after such Redemption Notice Date and on or before the second (2nd) Business Day immediately before the Redemption Date by Physical Settlement, then the Company may instead elect to choose a Redemption Date that is a Business Day no more than forty five (45), nor less than fifteen (15), calendar days after such Redemption Notice Date.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Redemption Price</w:t>
      </w:r>
      <w:r>
        <w:rPr>
          <w:rFonts w:ascii="Times New Roman" w:hAnsi="Times New Roman"/>
          <w:color w:val="000000"/>
          <w:sz w:val="24"/>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hAnsi="Times New Roman"/>
          <w:b/>
          <w:color w:val="000000"/>
          <w:sz w:val="24"/>
        </w:rPr>
        <w:t>Section 2.05(C)</w:t>
      </w:r>
      <w:r>
        <w:rPr>
          <w:rFonts w:ascii="Times New Roman" w:hAnsi="Times New Roman"/>
          <w:color w:val="000000"/>
          <w:sz w:val="24"/>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hAnsi="Times New Roman"/>
          <w:b/>
          <w:color w:val="000000"/>
          <w:sz w:val="24"/>
        </w:rPr>
        <w:t>Section 2.05(C)</w:t>
      </w:r>
      <w:r>
        <w:rPr>
          <w:rFonts w:ascii="Times New Roman" w:hAnsi="Times New Roman"/>
          <w:color w:val="000000"/>
          <w:sz w:val="24"/>
        </w:rPr>
        <w:t>, on the next Business Day to Holders as of the Close of Business on the immediately preceding Regular Record Date; and (y) the Redemption Price will include interest on Notes to be redeemed from, and including, such Interest Payment Date.</w:t>
      </w:r>
    </w:p>
    <w:p>
      <w:pPr>
        <w:pStyle w:val="TextBody"/>
        <w:bidi w:val="0"/>
        <w:spacing w:before="0" w:after="0"/>
        <w:jc w:val="left"/>
        <w:rPr>
          <w:color w:val="000000"/>
        </w:rPr>
      </w:pPr>
      <w:r>
        <w:rPr>
          <w:color w:val="00000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- 43 -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Redemption Notice</w:t>
      </w:r>
      <w:r>
        <w:rPr>
          <w:rFonts w:ascii="Times New Roman" w:hAnsi="Times New Roman"/>
          <w:color w:val="000000"/>
          <w:sz w:val="24"/>
        </w:rPr>
        <w:t>. To call any Notes for Redemption, the Company must send to each Holder of such Notes a written notice of such Redemption (a “</w:t>
      </w:r>
      <w:r>
        <w:rPr>
          <w:rFonts w:ascii="Times New Roman" w:hAnsi="Times New Roman"/>
          <w:b/>
          <w:color w:val="000000"/>
          <w:sz w:val="24"/>
        </w:rPr>
        <w:t>Redemption Notice</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Such Redemption Notice must state: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that such Notes have been called for Redemption, briefly describing the Company’s Redemption right under this Indenture;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Redemption Date for such Redemption;</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hAnsi="Times New Roman"/>
          <w:b/>
          <w:color w:val="000000"/>
          <w:sz w:val="24"/>
        </w:rPr>
        <w:t>Section 4.03(F)</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name and address of the Paying Agent and the Conversion Agent;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hAnsi="Times New Roman"/>
          <w:b/>
          <w:color w:val="000000"/>
          <w:sz w:val="24"/>
        </w:rPr>
        <w:t>Section 5.07</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the Settlement Method that will apply to all Conversions of Notes with a Conversion Date that occurs on or after such Redemption Notice Date and on or before the second (2nd) Business Day before such Redemption Date;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the CUSIP and ISIN numbers, if any, of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On or before the Redemption Notice Date, the Company will send a copy of such Redemption Notice to the Trustee, the Conversion Agent and the Paying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Special Requirement for Notice of Tax Redemption</w:t>
      </w:r>
      <w:r>
        <w:rPr>
          <w:rFonts w:ascii="Times New Roman" w:hAnsi="Times New Roman"/>
          <w:color w:val="000000"/>
          <w:sz w:val="24"/>
        </w:rPr>
        <w:t xml:space="preserve">. A Redemption Notice relating to a Tax Redemption must be sent pursuant to </w:t>
      </w:r>
      <w:r>
        <w:rPr>
          <w:rFonts w:ascii="Times New Roman" w:hAnsi="Times New Roman"/>
          <w:b/>
          <w:color w:val="000000"/>
          <w:sz w:val="24"/>
        </w:rPr>
        <w:t>Section 4.03(G)</w:t>
      </w:r>
      <w:r>
        <w:rPr>
          <w:rFonts w:ascii="Times New Roman" w:hAnsi="Times New Roman"/>
          <w:color w:val="000000"/>
          <w:sz w:val="24"/>
        </w:rPr>
        <w:t xml:space="preserve"> no earlier than sixty (60) Scheduled Trading Days before the earliest date on which the Company would have been required to make the related payment or withholding (assuming a payment in respect of the Notes were then due), and the obligation to pay Additional Amounts must be in effect as of the date the Company sends such Redemption Notice and must be expected to remain in effect at the time of the next payment or delivery in respect of the Notes.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Selection and Conversion of Notes to Be Redeemed in Part</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If only a portion of a Note is subject to Redemption (including as a result of a Tax Redemption Opt-Out Election Notice that applies to only a portion of such Note) and such Note is Converted in part, then the Converted portion of such Note will be deemed to be from the portion of such Note that was subject to Redemption.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Payment of the Redemption Price</w:t>
      </w:r>
      <w:r>
        <w:rPr>
          <w:rFonts w:ascii="Times New Roman" w:hAnsi="Times New Roman"/>
          <w:color w:val="000000"/>
          <w:sz w:val="24"/>
        </w:rPr>
        <w:t xml:space="preserve">. Without limiting the Company’s obligation to deposit the Redemption Price by the time prescribed by </w:t>
      </w:r>
      <w:r>
        <w:rPr>
          <w:rFonts w:ascii="Times New Roman" w:hAnsi="Times New Roman"/>
          <w:b/>
          <w:color w:val="000000"/>
          <w:sz w:val="24"/>
        </w:rPr>
        <w:t>Section 3.01(B)</w:t>
      </w:r>
      <w:r>
        <w:rPr>
          <w:rFonts w:ascii="Times New Roman" w:hAnsi="Times New Roman"/>
          <w:color w:val="000000"/>
          <w:sz w:val="24"/>
        </w:rPr>
        <w:t xml:space="preserve">,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 w:hAnsi="Times New Roman"/>
          <w:b/>
          <w:color w:val="000000"/>
          <w:sz w:val="24"/>
        </w:rPr>
        <w:t>Section 4.03(F)</w:t>
      </w:r>
      <w:r>
        <w:rPr>
          <w:rFonts w:ascii="Times New Roman" w:hAnsi="Times New Roman"/>
          <w:color w:val="000000"/>
          <w:sz w:val="24"/>
        </w:rPr>
        <w:t xml:space="preserve"> on any Note (or portion thereof) subject to Redemption must be paid pursuant to such proviso.</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Special Provisions for Partial Calls</w:t>
      </w:r>
      <w:r>
        <w:rPr>
          <w:rFonts w:ascii="Times New Roman" w:hAnsi="Times New Roman"/>
          <w:color w:val="000000"/>
          <w:sz w:val="24"/>
        </w:rPr>
        <w:t xml:space="preserve">. If the Company elects to redeem less than all of the outstanding Notes pursuant to a Provisional Redemption, and the Holder of any Note, or any owner of a beneficial interest in any Global Note, is reasonably not able to determine, before the Close of Business on the thirty second (32nd) Scheduled Trading Day (or, if, in accordance with </w:t>
      </w:r>
      <w:r>
        <w:rPr>
          <w:rFonts w:ascii="Times New Roman" w:hAnsi="Times New Roman"/>
          <w:b/>
          <w:color w:val="000000"/>
          <w:sz w:val="24"/>
        </w:rPr>
        <w:t>Section 5.03(A)(i)(3)</w:t>
      </w:r>
      <w:r>
        <w:rPr>
          <w:rFonts w:ascii="Times New Roman" w:hAnsi="Times New Roman"/>
          <w:color w:val="000000"/>
          <w:sz w:val="24"/>
        </w:rPr>
        <w:t xml:space="preserve">, the Company has elected to settle all Conversions of Notes with a Conversion Date that occurs on or after the Redemption Notice Date for such Redemption and on or before the second (2nd) Business Day immediately before the Redemption Date by Physical Settlement, the tenth (10th) calendar day) before the Redemption Date for such Provisional Redemption, whether such Note or beneficial interest, as applicable, is to be redeemed pursuant to such Provisional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Provisional Redemption for purposes of this </w:t>
      </w:r>
      <w:r>
        <w:rPr>
          <w:rFonts w:ascii="Times New Roman" w:hAnsi="Times New Roman"/>
          <w:b/>
          <w:color w:val="000000"/>
          <w:sz w:val="24"/>
        </w:rPr>
        <w:t>Section 4.03</w:t>
      </w:r>
      <w:r>
        <w:rPr>
          <w:rFonts w:ascii="Times New Roman" w:hAnsi="Times New Roman"/>
          <w:color w:val="000000"/>
          <w:sz w:val="24"/>
        </w:rPr>
        <w:t xml:space="preserve"> and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5.01(C)(i)(4)</w:t>
      </w:r>
      <w:r>
        <w:rPr>
          <w:rFonts w:ascii="Times New Roman" w:hAnsi="Times New Roman"/>
          <w:color w:val="000000"/>
          <w:sz w:val="24"/>
        </w:rPr>
        <w:t xml:space="preserve"> and </w:t>
      </w:r>
      <w:r>
        <w:rPr>
          <w:rFonts w:ascii="Times New Roman" w:hAnsi="Times New Roman"/>
          <w:b/>
          <w:color w:val="000000"/>
          <w:sz w:val="24"/>
        </w:rPr>
        <w:t>5.07</w:t>
      </w:r>
      <w:r>
        <w:rPr>
          <w:rFonts w:ascii="Times New Roman" w:hAnsi="Times New Roman"/>
          <w:color w:val="000000"/>
          <w:sz w:val="24"/>
        </w:rPr>
        <w:t xml:space="preserve"> and the definition of Make-Whole Fundamental Change. For the avoidance of doubt, each reference in this Indenture or the Notes to (x) any Note that is called for Redemption (or similar language) includes any Note that is deemed to be called for Provisional Redemption pursuant to this </w:t>
      </w:r>
      <w:r>
        <w:rPr>
          <w:rFonts w:ascii="Times New Roman" w:hAnsi="Times New Roman"/>
          <w:b/>
          <w:color w:val="000000"/>
          <w:sz w:val="24"/>
        </w:rPr>
        <w:t>Section 4.03(K)</w:t>
      </w:r>
      <w:r>
        <w:rPr>
          <w:rFonts w:ascii="Times New Roman" w:hAnsi="Times New Roman"/>
          <w:color w:val="000000"/>
          <w:sz w:val="24"/>
        </w:rPr>
        <w:t xml:space="preserve">; and (y) any Note that is not called for Redemption (or similar language) excludes any Note that is deemed to be called for Provisional Redemption pursuant to this </w:t>
      </w:r>
      <w:r>
        <w:rPr>
          <w:rFonts w:ascii="Times New Roman" w:hAnsi="Times New Roman"/>
          <w:b/>
          <w:color w:val="000000"/>
          <w:sz w:val="24"/>
        </w:rPr>
        <w:t>Section 4.03(K)</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i/>
          <w:color w:val="000000"/>
          <w:sz w:val="24"/>
        </w:rPr>
        <w:t>Repurchases or Other Acquisitions Other Than by Redemption Not Affected</w:t>
      </w:r>
      <w:r>
        <w:rPr>
          <w:rFonts w:ascii="Times New Roman" w:hAnsi="Times New Roman"/>
          <w:color w:val="000000"/>
          <w:sz w:val="24"/>
        </w:rPr>
        <w:t xml:space="preserve">. For the avoidance of doubt, nothing in this </w:t>
      </w:r>
      <w:r>
        <w:rPr>
          <w:rFonts w:ascii="Times New Roman" w:hAnsi="Times New Roman"/>
          <w:b/>
          <w:color w:val="000000"/>
          <w:sz w:val="24"/>
        </w:rPr>
        <w:t>Section 4.03</w:t>
      </w:r>
      <w:r>
        <w:rPr>
          <w:rFonts w:ascii="Times New Roman" w:hAnsi="Times New Roman"/>
          <w:color w:val="000000"/>
          <w:sz w:val="24"/>
        </w:rPr>
        <w:t xml:space="preserve"> will limit or otherwise apply to any repurchase or other acquisition, by the Company or its Affiliates, or any other Person, of any Notes not by Redemption (including in open market transactions, private or public tender or exchange offers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- 45 -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Article 5.     THE CONVERSION OF NOTES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5.01.   Right to Convert.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the provisions of this </w:t>
      </w:r>
      <w:r>
        <w:rPr>
          <w:rFonts w:ascii="Times New Roman" w:hAnsi="Times New Roman"/>
          <w:b/>
          <w:color w:val="000000"/>
          <w:sz w:val="24"/>
        </w:rPr>
        <w:t>Article 5</w:t>
      </w:r>
      <w:r>
        <w:rPr>
          <w:rFonts w:ascii="Times New Roman" w:hAnsi="Times New Roman"/>
          <w:color w:val="000000"/>
          <w:sz w:val="24"/>
        </w:rPr>
        <w:t>, each Holder may, at its option, Convert such Holder’s Notes into Conversion Consideration.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Conversions in Part</w:t>
      </w:r>
      <w:r>
        <w:rPr>
          <w:rFonts w:ascii="Times New Roman" w:hAnsi="Times New Roman"/>
          <w:color w:val="000000"/>
          <w:sz w:val="24"/>
        </w:rPr>
        <w:t xml:space="preserve">. Subject to the terms of this Indenture, Notes may be Converted in part, but only in Authorized Denominations. Provisions of this </w:t>
      </w:r>
      <w:r>
        <w:rPr>
          <w:rFonts w:ascii="Times New Roman" w:hAnsi="Times New Roman"/>
          <w:b/>
          <w:color w:val="000000"/>
          <w:sz w:val="24"/>
        </w:rPr>
        <w:t>Article 5</w:t>
      </w:r>
      <w:r>
        <w:rPr>
          <w:rFonts w:ascii="Times New Roman" w:hAnsi="Times New Roman"/>
          <w:color w:val="000000"/>
          <w:sz w:val="24"/>
        </w:rPr>
        <w:t xml:space="preserve"> applying to the Conversion of a Note in whole will equally apply to Conversions of a permitted portion of a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When Notes May Be Converted</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w:t>
      </w:r>
      <w:r>
        <w:rPr>
          <w:rFonts w:ascii="Times New Roman" w:hAnsi="Times New Roman"/>
          <w:b/>
          <w:color w:val="000000"/>
          <w:sz w:val="24"/>
        </w:rPr>
        <w:t>Section 5.01(C)(ii)</w:t>
      </w:r>
      <w:r>
        <w:rPr>
          <w:rFonts w:ascii="Times New Roman" w:hAnsi="Times New Roman"/>
          <w:color w:val="000000"/>
          <w:sz w:val="24"/>
        </w:rPr>
        <w:t>, a Note may be Converted only in the following circumstances:</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i/>
          <w:color w:val="000000"/>
          <w:sz w:val="24"/>
        </w:rPr>
        <w:t>Conversion Upon Satisfaction of Ordinary Share Sale Price Condition</w:t>
      </w:r>
      <w:r>
        <w:rPr>
          <w:rFonts w:ascii="Times New Roman" w:hAnsi="Times New Roman"/>
          <w:color w:val="000000"/>
          <w:sz w:val="24"/>
        </w:rPr>
        <w:t>. A Holder may Convert its Notes during any calendar quarter (and only during such calendar quarter) commencing after the calendar quarter ending on March 31, 2026, if the Last Reported Sale Price per Ordinary Share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i/>
          <w:color w:val="000000"/>
          <w:sz w:val="24"/>
        </w:rPr>
        <w:t>Conversion Upon Satisfaction of Note Trading Price Condition</w:t>
      </w:r>
      <w:r>
        <w:rPr>
          <w:rFonts w:ascii="Times New Roman" w:hAnsi="Times New Roman"/>
          <w:color w:val="000000"/>
          <w:sz w:val="24"/>
        </w:rPr>
        <w:t>. A Holder may Convert its Notes during the five (5) consecutive Business Days immediately after any ten (10) consecutive Trading Day period (such ten (10) consecutive Trading Day period, the “</w:t>
      </w:r>
      <w:r>
        <w:rPr>
          <w:rFonts w:ascii="Times New Roman" w:hAnsi="Times New Roman"/>
          <w:b/>
          <w:color w:val="000000"/>
          <w:sz w:val="24"/>
        </w:rPr>
        <w:t>Measurement Period</w:t>
      </w:r>
      <w:r>
        <w:rPr>
          <w:rFonts w:ascii="Times New Roman" w:hAnsi="Times New Roman"/>
          <w:color w:val="000000"/>
          <w:sz w:val="24"/>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Ordinary Share on such Trading Day and the Conversion Rate on such Trading Day. The condition set forth in the preceding sentence is referred to in this Indenture as the “</w:t>
      </w:r>
      <w:r>
        <w:rPr>
          <w:rFonts w:ascii="Times New Roman" w:hAnsi="Times New Roman"/>
          <w:b/>
          <w:color w:val="000000"/>
          <w:sz w:val="24"/>
        </w:rPr>
        <w:t>Trading Price Condition</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 xml:space="preserve">The Trading Price will be determined by the Bid Solicitation Agent pursuant to this </w:t>
      </w:r>
      <w:r>
        <w:rPr>
          <w:rFonts w:ascii="Times New Roman" w:hAnsi="Times New Roman"/>
          <w:b/>
          <w:color w:val="000000"/>
          <w:sz w:val="24"/>
        </w:rPr>
        <w:t>Section 5.01(C)(i)(2)</w:t>
      </w:r>
      <w:r>
        <w:rPr>
          <w:rFonts w:ascii="Times New Roman" w:hAnsi="Times New Roman"/>
          <w:color w:val="000000"/>
          <w:sz w:val="24"/>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Ordinary Share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Ordinary Share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Ordinary Share on such Trading Day and the Conversion Rate on such Trading Day, then the Company will notify the Holders, the Trustee and the Conversion Agent of the same.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- 46 -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i/>
          <w:color w:val="000000"/>
          <w:sz w:val="24"/>
        </w:rPr>
        <w:t>Conversion Upon Specified Corporate Events</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Certain Distributions</w:t>
      </w:r>
      <w:r>
        <w:rPr>
          <w:rFonts w:ascii="Times New Roman" w:hAnsi="Times New Roman"/>
          <w:color w:val="000000"/>
          <w:sz w:val="24"/>
        </w:rPr>
        <w:t>. If the Company elects to:</w:t>
      </w:r>
    </w:p>
    <w:p>
      <w:pPr>
        <w:pStyle w:val="TextBody"/>
        <w:bidi w:val="0"/>
        <w:spacing w:before="0" w:after="0"/>
        <w:jc w:val="both"/>
        <w:rPr>
          <w:color w:val="000000"/>
        </w:rPr>
      </w:pPr>
      <w:r>
        <w:rPr>
          <w:color w:val="000000"/>
        </w:rPr>
        <w:t> </w:t>
      </w:r>
    </w:p>
    <w:p>
      <w:pPr>
        <w:pStyle w:val="TextBody"/>
        <w:bidi w:val="0"/>
        <w:spacing w:before="0" w:after="0"/>
        <w:ind w:left="288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distribute, to all or substantially all holders of Ordinary Shares, any rights, options or warrants (other than rights issued pursuant to a shareholder rights plan, so long as such rights have not separated from the Ordinary Shares and are not exercisable until the occurrence of a triggering event, except that such rights will be deemed to be distributed under this </w:t>
      </w:r>
      <w:r>
        <w:rPr>
          <w:rFonts w:ascii="Times New Roman" w:hAnsi="Times New Roman"/>
          <w:b/>
          <w:color w:val="000000"/>
          <w:sz w:val="24"/>
        </w:rPr>
        <w:t>clause (I)</w:t>
      </w:r>
      <w:r>
        <w:rPr>
          <w:rFonts w:ascii="Times New Roman" w:hAnsi="Times New Roman"/>
          <w:color w:val="000000"/>
          <w:sz w:val="24"/>
        </w:rPr>
        <w:t xml:space="preserve"> upon their separation from the Ordinary Shares or upon the occurrence of such triggering event) entitling them, for a period of not more than sixty (60) calendar days after the record date of such distribution, to subscribe for or purchase Ordinary Shares at a price per share that is less than the average of the Last Reported Sale Prices per Ordinary Share for the ten (10) consecutive Trading Days ending on, and including, the Trading Day immediately before the date such distribution is announced (determined in the manner set forth in the third paragraph of </w:t>
      </w:r>
      <w:r>
        <w:rPr>
          <w:rFonts w:ascii="Times New Roman" w:hAnsi="Times New Roman"/>
          <w:b/>
          <w:color w:val="000000"/>
          <w:sz w:val="24"/>
        </w:rPr>
        <w:t>Section 5.05(A)(ii)</w:t>
      </w:r>
      <w:r>
        <w:rPr>
          <w:rFonts w:ascii="Times New Roman" w:hAnsi="Times New Roman"/>
          <w:color w:val="000000"/>
          <w:sz w:val="24"/>
        </w:rPr>
        <w:t>); or</w:t>
      </w:r>
    </w:p>
    <w:p>
      <w:pPr>
        <w:pStyle w:val="TextBody"/>
        <w:bidi w:val="0"/>
        <w:spacing w:before="0" w:after="0"/>
        <w:jc w:val="both"/>
        <w:rPr>
          <w:color w:val="000000"/>
        </w:rPr>
      </w:pPr>
      <w:r>
        <w:rPr>
          <w:color w:val="000000"/>
        </w:rPr>
        <w:t> </w:t>
      </w:r>
    </w:p>
    <w:p>
      <w:pPr>
        <w:pStyle w:val="TextBody"/>
        <w:bidi w:val="0"/>
        <w:spacing w:before="0" w:after="0"/>
        <w:ind w:left="288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distribute, to all or substantially all holders of Ordinary Shares, assets or securities of the Company or rights to purchase the Company’s securities, which distribution per Ordinary Share has a value, as reasonably determined by the Board of Directors, exceeding ten percent (10%) of the Last Reported Sale Price per Ordinary Share on the Trading Day immediately before the date such distribution is announced,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- 47 -</w:t>
      </w:r>
    </w:p>
    <w:p>
      <w:pPr>
        <w:pStyle w:val="HorizontalLine"/>
        <w:pBdr>
          <w:bottom w:val="single" w:sz="12" w:space="0" w:color="808080"/>
        </w:pBdr>
        <w:bidi w:val="0"/>
        <w:spacing w:before="200" w:after="200"/>
        <w:jc w:val="left"/>
        <w:rPr/>
      </w:pPr>
      <w:r>
        <w:rPr/>
      </w:r>
    </w:p>
    <w:p>
      <w:pPr>
        <w:pStyle w:val="TextBody"/>
        <w:bidi w:val="0"/>
        <w:spacing w:before="0" w:after="0"/>
        <w:ind w:left="2160" w:right="0" w:hanging="0"/>
        <w:jc w:val="both"/>
        <w:rPr>
          <w:rFonts w:ascii="Times New Roman" w:hAnsi="Times New Roman"/>
          <w:color w:val="000000"/>
          <w:sz w:val="24"/>
        </w:rPr>
      </w:pPr>
      <w:r>
        <w:rPr>
          <w:rFonts w:ascii="Times New Roman" w:hAnsi="Times New Roman"/>
          <w:color w:val="000000"/>
          <w:sz w:val="24"/>
        </w:rPr>
        <w:t xml:space="preserve">then, in either case, (x) the Company will send notice of such distribution, and of the related right to Convert Notes, to Holders, the Trustee and the Conversion Agent at least thirty five (35) Scheduled Trading Days before the Ex-Dividend Date for such distribution (or, if later in the case of any such separation of rights issued pursuant to a shareholder rights plan or the occurrence of any such triggering event under a shareholder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Notes will not become Convertible pursuant to </w:t>
      </w:r>
      <w:r>
        <w:rPr>
          <w:rFonts w:ascii="Times New Roman" w:hAnsi="Times New Roman"/>
          <w:b/>
          <w:color w:val="000000"/>
          <w:sz w:val="24"/>
        </w:rPr>
        <w:t>clause (y)</w:t>
      </w:r>
      <w:r>
        <w:rPr>
          <w:rFonts w:ascii="Times New Roman" w:hAnsi="Times New Roman"/>
          <w:color w:val="000000"/>
          <w:sz w:val="24"/>
        </w:rPr>
        <w:t xml:space="preserve"> above (but the Company will be required to send notice of such distribution pursuant to </w:t>
      </w:r>
      <w:r>
        <w:rPr>
          <w:rFonts w:ascii="Times New Roman" w:hAnsi="Times New Roman"/>
          <w:b/>
          <w:color w:val="000000"/>
          <w:sz w:val="24"/>
        </w:rPr>
        <w:t>clause (x)</w:t>
      </w:r>
      <w:r>
        <w:rPr>
          <w:rFonts w:ascii="Times New Roman" w:hAnsi="Times New Roman"/>
          <w:color w:val="000000"/>
          <w:sz w:val="24"/>
        </w:rPr>
        <w:t xml:space="preserve"> above) on account of such distribution if each Holder participates, at the same time and on the same terms as holders of Ordinary Shares, and solely by virtue of being a Holder, in such distribution without having to Convert such Holder’s Notes and as if such Holder held a number of Ordinary Shares equal to the product of (i) the Conversion Rate in effect on the record date for such distribution; and (ii) the aggregate principal amount (expressed in thousands) of Notes held by such Holder on such record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if the Company is then otherwise permitted to settle Conversions of Notes by Physical Settlement (and, for the avoidance of doubt, the Company has not elected another Settlement Method to apply, including pursuant to </w:t>
      </w:r>
      <w:r>
        <w:rPr>
          <w:rFonts w:ascii="Times New Roman" w:hAnsi="Times New Roman"/>
          <w:b/>
          <w:color w:val="000000"/>
          <w:sz w:val="24"/>
        </w:rPr>
        <w:t>Section 5.03(A)(i)(1)</w:t>
      </w:r>
      <w:r>
        <w:rPr>
          <w:rFonts w:ascii="Times New Roman" w:hAnsi="Times New Roman"/>
          <w:color w:val="000000"/>
          <w:sz w:val="24"/>
        </w:rPr>
        <w:t>),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pStyle w:val="TextBody"/>
        <w:bidi w:val="0"/>
        <w:spacing w:before="0" w:after="0"/>
        <w:jc w:val="left"/>
        <w:rPr/>
      </w:pPr>
      <w:r>
        <w:rPr/>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Certain Corporate Events</w:t>
      </w:r>
      <w:r>
        <w:rPr>
          <w:rFonts w:ascii="Times New Roman" w:hAnsi="Times New Roman"/>
          <w:color w:val="000000"/>
          <w:sz w:val="24"/>
        </w:rPr>
        <w:t xml:space="preserve">. If a Fundamental Change, Make-Whole Fundamental Change (other than a Make-Whole Fundamental Change pursuant to </w:t>
      </w:r>
      <w:r>
        <w:rPr>
          <w:rFonts w:ascii="Times New Roman" w:hAnsi="Times New Roman"/>
          <w:b/>
          <w:color w:val="000000"/>
          <w:sz w:val="24"/>
        </w:rPr>
        <w:t>clause (B)</w:t>
      </w:r>
      <w:r>
        <w:rPr>
          <w:rFonts w:ascii="Times New Roman" w:hAnsi="Times New Roman"/>
          <w:color w:val="000000"/>
          <w:sz w:val="24"/>
        </w:rPr>
        <w:t xml:space="preserve"> of the definition thereof) or Ordinary Share Change Event occurs (other than a merger or other business combination transaction that is effected solely to change the Company’s jurisdiction of incorporation or organization or the jurisdiction of incorporation or organization of the issuer of the Ordinary Shares or Reference Property Units and, in each case,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No later than the Business Day after such effective date, the Company will send notice to the Holders, the Trustee and the Conversion Agent of such transaction or event, such effective date and the related right to Convert Notes.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- 48 -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i/>
          <w:color w:val="000000"/>
          <w:sz w:val="24"/>
        </w:rPr>
        <w:t>Conversion Upon Redemption</w:t>
      </w:r>
      <w:r>
        <w:rPr>
          <w:rFonts w:ascii="Times New Roman" w:hAnsi="Times New Roman"/>
          <w:color w:val="000000"/>
          <w:sz w:val="24"/>
        </w:rPr>
        <w:t>. If the Company calls any Note for Redemption, then the Holder of such Note may Convert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i/>
          <w:color w:val="000000"/>
          <w:sz w:val="24"/>
        </w:rPr>
        <w:t>Conversions During Free Convertibility Period</w:t>
      </w:r>
      <w:r>
        <w:rPr>
          <w:rFonts w:ascii="Times New Roman" w:hAnsi="Times New Roman"/>
          <w:color w:val="000000"/>
          <w:sz w:val="24"/>
        </w:rPr>
        <w:t>. A Holder may Convert its Notes at any time from, and including, March 1, 2032 until the Close of Business on the second (2nd) Scheduled Trading Day immediately before the Maturity Date.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For the avoidance of doubt, the Notes may become Convertible pursuant to any one or more of the preceding sub-paragraphs of this </w:t>
      </w:r>
      <w:r>
        <w:rPr>
          <w:rFonts w:ascii="Times New Roman" w:hAnsi="Times New Roman"/>
          <w:b/>
          <w:color w:val="000000"/>
          <w:sz w:val="24"/>
        </w:rPr>
        <w:t>Section 5.01(C)(i)</w:t>
      </w:r>
      <w:r>
        <w:rPr>
          <w:rFonts w:ascii="Times New Roman" w:hAnsi="Times New Roman"/>
          <w:color w:val="000000"/>
          <w:sz w:val="24"/>
        </w:rPr>
        <w:t xml:space="preserve"> and the Notes ceasing to be Convertible pursuant to a particular sub-paragraph of this </w:t>
      </w:r>
      <w:r>
        <w:rPr>
          <w:rFonts w:ascii="Times New Roman" w:hAnsi="Times New Roman"/>
          <w:b/>
          <w:color w:val="000000"/>
          <w:sz w:val="24"/>
        </w:rPr>
        <w:t>Section 5.01(C)(i)</w:t>
      </w:r>
      <w:r>
        <w:rPr>
          <w:rFonts w:ascii="Times New Roman" w:hAnsi="Times New Roman"/>
          <w:color w:val="000000"/>
          <w:sz w:val="24"/>
        </w:rPr>
        <w:t xml:space="preserve"> will not preclude the Notes from being Convertible pursuant to any other sub-paragraph of this </w:t>
      </w:r>
      <w:r>
        <w:rPr>
          <w:rFonts w:ascii="Times New Roman" w:hAnsi="Times New Roman"/>
          <w:b/>
          <w:color w:val="000000"/>
          <w:sz w:val="24"/>
        </w:rPr>
        <w:t>Section 5.01(C)(i)</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Limitations and Closed Periods</w:t>
      </w:r>
      <w:r>
        <w:rPr>
          <w:rFonts w:ascii="Times New Roman" w:hAnsi="Times New Roman"/>
          <w:color w:val="000000"/>
          <w:sz w:val="24"/>
        </w:rPr>
        <w:t>. Notwithstanding anything to the contrary in this Indenture or the Notes:</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Notes may be surrendered for Conversion only after the Open of Business and before the Close of Business on a day that is a Business Day;</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in no event may any Note be Converted after the Close of Business on the second (2nd) Scheduled Trading Day immediately before the Maturity Date;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 xml:space="preserve">if the Company calls any Note for Redemption pursuant to </w:t>
      </w:r>
      <w:r>
        <w:rPr>
          <w:rFonts w:ascii="Times New Roman" w:hAnsi="Times New Roman"/>
          <w:b/>
          <w:color w:val="000000"/>
          <w:sz w:val="24"/>
        </w:rPr>
        <w:t>Section 4.03</w:t>
      </w:r>
      <w:r>
        <w:rPr>
          <w:rFonts w:ascii="Times New Roman" w:hAnsi="Times New Roman"/>
          <w:color w:val="000000"/>
          <w:sz w:val="24"/>
        </w:rPr>
        <w:t>,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 xml:space="preserve">if a Fundamental Change Repurchase Notice is validly delivered pursuant to </w:t>
      </w:r>
      <w:r>
        <w:rPr>
          <w:rFonts w:ascii="Times New Roman" w:hAnsi="Times New Roman"/>
          <w:b/>
          <w:color w:val="000000"/>
          <w:sz w:val="24"/>
        </w:rPr>
        <w:t>Section 4.02(F)</w:t>
      </w:r>
      <w:r>
        <w:rPr>
          <w:rFonts w:ascii="Times New Roman" w:hAnsi="Times New Roman"/>
          <w:color w:val="000000"/>
          <w:sz w:val="24"/>
        </w:rPr>
        <w:t xml:space="preserve"> with respect to any Note, then such Note may not be Converted, except to the extent (a) such Note is not subject to such notice; (b) such notice is withdrawn in accordance with </w:t>
      </w:r>
      <w:r>
        <w:rPr>
          <w:rFonts w:ascii="Times New Roman" w:hAnsi="Times New Roman"/>
          <w:b/>
          <w:color w:val="000000"/>
          <w:sz w:val="24"/>
        </w:rPr>
        <w:t>Section 4.02(F)</w:t>
      </w:r>
      <w:r>
        <w:rPr>
          <w:rFonts w:ascii="Times New Roman" w:hAnsi="Times New Roman"/>
          <w:color w:val="000000"/>
          <w:sz w:val="24"/>
        </w:rPr>
        <w:t>; or (c) the Company fails to pay the Fundamental Change Repurchase Price for such Note in accordance with this Indenture.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5.02.   Conversion Procedures.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- 49 -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Global Notes</w:t>
      </w:r>
      <w:r>
        <w:rPr>
          <w:rFonts w:ascii="Times New Roman" w:hAnsi="Times New Roman"/>
          <w:color w:val="000000"/>
          <w:sz w:val="24"/>
        </w:rPr>
        <w:t xml:space="preserve">. To Convert a beneficial interest in a Global Note that is Convertible pursuant to </w:t>
      </w:r>
      <w:r>
        <w:rPr>
          <w:rFonts w:ascii="Times New Roman" w:hAnsi="Times New Roman"/>
          <w:b/>
          <w:color w:val="000000"/>
          <w:sz w:val="24"/>
        </w:rPr>
        <w:t>Section 5.01(C)</w:t>
      </w:r>
      <w:r>
        <w:rPr>
          <w:rFonts w:ascii="Times New Roman" w:hAnsi="Times New Roman"/>
          <w:color w:val="000000"/>
          <w:sz w:val="24"/>
        </w:rPr>
        <w:t xml:space="preserve">, the owner of such beneficial interest must (1) comply with the Depositary Procedures for Converting such beneficial interest (at which time such Conversion will become irrevocable); and (2) pay any amounts due pursuant to </w:t>
      </w:r>
      <w:r>
        <w:rPr>
          <w:rFonts w:ascii="Times New Roman" w:hAnsi="Times New Roman"/>
          <w:b/>
          <w:color w:val="000000"/>
          <w:sz w:val="24"/>
        </w:rPr>
        <w:t>Section 5.02(D)</w:t>
      </w:r>
      <w:r>
        <w:rPr>
          <w:rFonts w:ascii="Times New Roman" w:hAnsi="Times New Roman"/>
          <w:color w:val="000000"/>
          <w:sz w:val="24"/>
        </w:rPr>
        <w:t xml:space="preserve"> or </w:t>
      </w:r>
      <w:r>
        <w:rPr>
          <w:rFonts w:ascii="Times New Roman" w:hAnsi="Times New Roman"/>
          <w:b/>
          <w:color w:val="000000"/>
          <w:sz w:val="24"/>
        </w:rPr>
        <w:t>Section 5.02(E)</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Physical Notes</w:t>
      </w:r>
      <w:r>
        <w:rPr>
          <w:rFonts w:ascii="Times New Roman" w:hAnsi="Times New Roman"/>
          <w:color w:val="000000"/>
          <w:sz w:val="24"/>
        </w:rPr>
        <w:t xml:space="preserve">. To Convert all or a portion of a Physical Note that is Convertible pursuant to </w:t>
      </w:r>
      <w:r>
        <w:rPr>
          <w:rFonts w:ascii="Times New Roman" w:hAnsi="Times New Roman"/>
          <w:b/>
          <w:color w:val="000000"/>
          <w:sz w:val="24"/>
        </w:rPr>
        <w:t>Section 5.01(C)</w:t>
      </w:r>
      <w:r>
        <w:rPr>
          <w:rFonts w:ascii="Times New Roman" w:hAnsi="Times New Roman"/>
          <w:color w:val="000000"/>
          <w:sz w:val="24"/>
        </w:rPr>
        <w:t xml:space="preserve">,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hAnsi="Times New Roman"/>
          <w:b/>
          <w:color w:val="000000"/>
          <w:sz w:val="24"/>
        </w:rPr>
        <w:t>Section 5.02(D)</w:t>
      </w:r>
      <w:r>
        <w:rPr>
          <w:rFonts w:ascii="Times New Roman" w:hAnsi="Times New Roman"/>
          <w:color w:val="000000"/>
          <w:sz w:val="24"/>
        </w:rPr>
        <w:t xml:space="preserve"> or </w:t>
      </w:r>
      <w:r>
        <w:rPr>
          <w:rFonts w:ascii="Times New Roman" w:hAnsi="Times New Roman"/>
          <w:b/>
          <w:color w:val="000000"/>
          <w:sz w:val="24"/>
        </w:rPr>
        <w:t>Section 5.02(E)</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Effect of Converting a Note</w:t>
      </w:r>
      <w:r>
        <w:rPr>
          <w:rFonts w:ascii="Times New Roman" w:hAnsi="Times New Roman"/>
          <w:color w:val="000000"/>
          <w:sz w:val="24"/>
        </w:rPr>
        <w:t xml:space="preserve">. At the Close of Business on the Conversion Date for a Note (or any portion thereof) to be Converted, such Note (or such portion) will (unless there occurs a Default in the delivery of the Conversion Consideration or interest due,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5.03(B)</w:t>
      </w:r>
      <w:r>
        <w:rPr>
          <w:rFonts w:ascii="Times New Roman" w:hAnsi="Times New Roman"/>
          <w:color w:val="000000"/>
          <w:sz w:val="24"/>
        </w:rPr>
        <w:t xml:space="preserve"> or </w:t>
      </w:r>
      <w:r>
        <w:rPr>
          <w:rFonts w:ascii="Times New Roman" w:hAnsi="Times New Roman"/>
          <w:b/>
          <w:color w:val="000000"/>
          <w:sz w:val="24"/>
        </w:rPr>
        <w:t>5.02(D)</w:t>
      </w:r>
      <w:r>
        <w:rPr>
          <w:rFonts w:ascii="Times New Roman" w:hAnsi="Times New Roman"/>
          <w:color w:val="000000"/>
          <w:sz w:val="24"/>
        </w:rPr>
        <w:t xml:space="preserve">, upon such Conversion) be redeemed for an amount equal to the principal amount of such Note and the Holder irrevocably directs the Company to apply the principal amount payable to it in acquiring the Conversion Consideration, with the result that such Note will cease to be outstanding (and, for the avoidance of doubt, no Person will be deemed to be a Holder of such Note (or such portion thereof) as of the Close of Business on such Conversion Date), except to the extent provided in </w:t>
      </w:r>
      <w:r>
        <w:rPr>
          <w:rFonts w:ascii="Times New Roman" w:hAnsi="Times New Roman"/>
          <w:b/>
          <w:color w:val="000000"/>
          <w:sz w:val="24"/>
        </w:rPr>
        <w:t>Section 5.02(D)</w:t>
      </w:r>
      <w:r>
        <w:rPr>
          <w:rFonts w:ascii="Times New Roman" w:hAnsi="Times New Roman"/>
          <w:color w:val="000000"/>
          <w:sz w:val="24"/>
        </w:rPr>
        <w:t xml:space="preserve"> or </w:t>
      </w:r>
      <w:r>
        <w:rPr>
          <w:rFonts w:ascii="Times New Roman" w:hAnsi="Times New Roman"/>
          <w:b/>
          <w:color w:val="000000"/>
          <w:sz w:val="24"/>
        </w:rPr>
        <w:t>Section 5.08</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Holder of Record of Conversion Shares</w:t>
      </w:r>
      <w:r>
        <w:rPr>
          <w:rFonts w:ascii="Times New Roman" w:hAnsi="Times New Roman"/>
          <w:color w:val="000000"/>
          <w:sz w:val="24"/>
        </w:rPr>
        <w:t>. The Person in whose name any Ordinary Share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Interest Payable Upon Conversion in Certain Circumstances</w:t>
      </w:r>
      <w:r>
        <w:rPr>
          <w:rFonts w:ascii="Times New Roman" w:hAnsi="Times New Roman"/>
          <w:color w:val="000000"/>
          <w:sz w:val="24"/>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hAnsi="Times New Roman"/>
          <w:b/>
          <w:color w:val="000000"/>
          <w:sz w:val="24"/>
        </w:rPr>
        <w:t>clause (i)</w:t>
      </w:r>
      <w:r>
        <w:rPr>
          <w:rFonts w:ascii="Times New Roman" w:hAnsi="Times New Roman"/>
          <w:color w:val="000000"/>
          <w:sz w:val="24"/>
        </w:rPr>
        <w:t xml:space="preserve"> above;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Holder surrendering such Note for Conversion need not deliver such cash (v) if the Company has specified a Redemption Date that is after such Regular Record Date and on or before the second (2nd)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Additional Interest, Special Interest,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hAnsi="Times New Roman"/>
          <w:b/>
          <w:color w:val="000000"/>
          <w:sz w:val="24"/>
        </w:rPr>
        <w:t>Section 5.02(D)</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- 50 -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Taxes and Duties</w:t>
      </w:r>
      <w:r>
        <w:rPr>
          <w:rFonts w:ascii="Times New Roman" w:hAnsi="Times New Roman"/>
          <w:color w:val="000000"/>
          <w:sz w:val="24"/>
        </w:rPr>
        <w:t xml:space="preserve">. If a Holder Converts a Note, the Company will pay any documentary, stamp or similar issue or transfer tax or duty due on the issue or delivery of any Ordinary Shares upon such Conversion;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Conversion Agent to Notify Company of Conversions</w:t>
      </w:r>
      <w:r>
        <w:rPr>
          <w:rFonts w:ascii="Times New Roman" w:hAnsi="Times New Roman"/>
          <w:color w:val="000000"/>
          <w:sz w:val="24"/>
        </w:rPr>
        <w:t>. If any Note is submitted for Conversion to the Conversion Agent or the 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5.03.    Settlement Upon Conversion.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Settlement Method</w:t>
      </w:r>
      <w:r>
        <w:rPr>
          <w:rFonts w:ascii="Times New Roman" w:hAnsi="Times New Roman"/>
          <w:color w:val="000000"/>
          <w:sz w:val="24"/>
        </w:rPr>
        <w:t xml:space="preserve">. Upon the Conversion of any Note, the Company must redeem such Note for an amount equal to the principal amount of such Note and the Holder irrevocably directs the Company to apply such principal amount payable to it in acquiring the relevant Conversion Consideration. In such circumstances, the Company will settle such Conversion by paying or delivering, as applicable and as provided in this </w:t>
      </w:r>
      <w:r>
        <w:rPr>
          <w:rFonts w:ascii="Times New Roman" w:hAnsi="Times New Roman"/>
          <w:b/>
          <w:color w:val="000000"/>
          <w:sz w:val="24"/>
        </w:rPr>
        <w:t>Article 5</w:t>
      </w:r>
      <w:r>
        <w:rPr>
          <w:rFonts w:ascii="Times New Roman" w:hAnsi="Times New Roman"/>
          <w:color w:val="000000"/>
          <w:sz w:val="24"/>
        </w:rPr>
        <w:t xml:space="preserve">, either (x) Ordinary Shares, together, if applicable, with cash in lieu of fractional shares as provided in </w:t>
      </w:r>
      <w:r>
        <w:rPr>
          <w:rFonts w:ascii="Times New Roman" w:hAnsi="Times New Roman"/>
          <w:b/>
          <w:color w:val="000000"/>
          <w:sz w:val="24"/>
        </w:rPr>
        <w:t>Section 5.03(B)(i)(1)</w:t>
      </w:r>
      <w:r>
        <w:rPr>
          <w:rFonts w:ascii="Times New Roman" w:hAnsi="Times New Roman"/>
          <w:color w:val="000000"/>
          <w:sz w:val="24"/>
        </w:rPr>
        <w:t xml:space="preserve"> (a “</w:t>
      </w:r>
      <w:r>
        <w:rPr>
          <w:rFonts w:ascii="Times New Roman" w:hAnsi="Times New Roman"/>
          <w:b/>
          <w:color w:val="000000"/>
          <w:sz w:val="24"/>
        </w:rPr>
        <w:t>Physical Settlement</w:t>
      </w:r>
      <w:r>
        <w:rPr>
          <w:rFonts w:ascii="Times New Roman" w:hAnsi="Times New Roman"/>
          <w:color w:val="000000"/>
          <w:sz w:val="24"/>
        </w:rPr>
        <w:t xml:space="preserve">”); (y) solely cash as provided in </w:t>
      </w:r>
      <w:r>
        <w:rPr>
          <w:rFonts w:ascii="Times New Roman" w:hAnsi="Times New Roman"/>
          <w:b/>
          <w:color w:val="000000"/>
          <w:sz w:val="24"/>
        </w:rPr>
        <w:t>Section 5.03(B)(i)(2)</w:t>
      </w:r>
      <w:r>
        <w:rPr>
          <w:rFonts w:ascii="Times New Roman" w:hAnsi="Times New Roman"/>
          <w:color w:val="000000"/>
          <w:sz w:val="24"/>
        </w:rPr>
        <w:t xml:space="preserve"> (a “</w:t>
      </w:r>
      <w:r>
        <w:rPr>
          <w:rFonts w:ascii="Times New Roman" w:hAnsi="Times New Roman"/>
          <w:b/>
          <w:color w:val="000000"/>
          <w:sz w:val="24"/>
        </w:rPr>
        <w:t>Cash Settlement</w:t>
      </w:r>
      <w:r>
        <w:rPr>
          <w:rFonts w:ascii="Times New Roman" w:hAnsi="Times New Roman"/>
          <w:color w:val="000000"/>
          <w:sz w:val="24"/>
        </w:rPr>
        <w:t xml:space="preserve">”); or (z) a combination of cash and Ordinary Shares, together, if applicable, with cash in lieu of fractional shares as provided in </w:t>
      </w:r>
      <w:r>
        <w:rPr>
          <w:rFonts w:ascii="Times New Roman" w:hAnsi="Times New Roman"/>
          <w:b/>
          <w:color w:val="000000"/>
          <w:sz w:val="24"/>
        </w:rPr>
        <w:t>Section 5.03(B)(i)(3)</w:t>
      </w:r>
      <w:r>
        <w:rPr>
          <w:rFonts w:ascii="Times New Roman" w:hAnsi="Times New Roman"/>
          <w:color w:val="000000"/>
          <w:sz w:val="24"/>
        </w:rPr>
        <w:t xml:space="preserve"> (a “</w:t>
      </w:r>
      <w:r>
        <w:rPr>
          <w:rFonts w:ascii="Times New Roman" w:hAnsi="Times New Roman"/>
          <w:b/>
          <w:color w:val="000000"/>
          <w:sz w:val="24"/>
        </w:rPr>
        <w:t>Combination Settlement</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The Company’s Right to Elect Settlement Method</w:t>
      </w:r>
      <w:r>
        <w:rPr>
          <w:rFonts w:ascii="Times New Roman" w:hAnsi="Times New Roman"/>
          <w:color w:val="000000"/>
          <w:sz w:val="24"/>
        </w:rPr>
        <w:t xml:space="preserve">. The Company will have the right to elect the Settlement Method applicable to any Conversion of a Note;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subject to </w:t>
      </w:r>
      <w:r>
        <w:rPr>
          <w:rFonts w:ascii="Times New Roman" w:hAnsi="Times New Roman"/>
          <w:b/>
          <w:color w:val="000000"/>
          <w:sz w:val="24"/>
        </w:rPr>
        <w:t>clause (3)</w:t>
      </w:r>
      <w:r>
        <w:rPr>
          <w:rFonts w:ascii="Times New Roman" w:hAnsi="Times New Roman"/>
          <w:color w:val="000000"/>
          <w:sz w:val="24"/>
        </w:rPr>
        <w:t xml:space="preserve"> below, all Conversions of Notes with a Conversion Date that occurs on or after March 1, 2032 will be settled using the same Settlement Method, and the Company will send notice of such Settlement Method to Holders no later than the Open of Business on March 1, 2032;</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- 51 -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 xml:space="preserve">subject to </w:t>
      </w:r>
      <w:r>
        <w:rPr>
          <w:rFonts w:ascii="Times New Roman" w:hAnsi="Times New Roman"/>
          <w:b/>
          <w:color w:val="000000"/>
          <w:sz w:val="24"/>
        </w:rPr>
        <w:t>clause (3)</w:t>
      </w:r>
      <w:r>
        <w:rPr>
          <w:rFonts w:ascii="Times New Roman" w:hAnsi="Times New Roman"/>
          <w:color w:val="000000"/>
          <w:sz w:val="24"/>
        </w:rPr>
        <w:t xml:space="preserve"> below, if the Company elects a Settlement Method with respect to the Conversion of any Note whose Conversion Date occurs before March 1, 2032, then the Company will send notice of such Settlement Method to the Holder of such Note no later than the Close of Business on the Business Day immediately after such Conversion Date;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 xml:space="preserve">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hAnsi="Times New Roman"/>
          <w:b/>
          <w:color w:val="000000"/>
          <w:sz w:val="24"/>
        </w:rPr>
        <w:t>Section 4.03(G)</w:t>
      </w:r>
      <w:r>
        <w:rPr>
          <w:rFonts w:ascii="Times New Roman" w:hAnsi="Times New Roman"/>
          <w:color w:val="000000"/>
          <w:sz w:val="24"/>
        </w:rPr>
        <w:t xml:space="preserve">, the Settlement Method that will apply to all Conversions of Notes with a Conversion Date that occurs on or after the related Redemption Notice Date and on or before the second (2nd) Business Day before the related Redemption Date; and (b) if such Redemption Date occurs on or after March 1, 2032, then such Settlement Method must be the same Settlement Method that, pursuant to </w:t>
      </w:r>
      <w:r>
        <w:rPr>
          <w:rFonts w:ascii="Times New Roman" w:hAnsi="Times New Roman"/>
          <w:b/>
          <w:color w:val="000000"/>
          <w:sz w:val="24"/>
        </w:rPr>
        <w:t>clause (1)</w:t>
      </w:r>
      <w:r>
        <w:rPr>
          <w:rFonts w:ascii="Times New Roman" w:hAnsi="Times New Roman"/>
          <w:color w:val="000000"/>
          <w:sz w:val="24"/>
        </w:rPr>
        <w:t xml:space="preserve"> above, applies to all Conversions of Notes with a Conversion Date that occurs on or after March 1, 2032;</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hAnsi="Times New Roman"/>
          <w:b/>
          <w:color w:val="000000"/>
          <w:sz w:val="24"/>
        </w:rPr>
        <w:t>clause (1)</w:t>
      </w:r>
      <w:r>
        <w:rPr>
          <w:rFonts w:ascii="Times New Roman" w:hAnsi="Times New Roman"/>
          <w:color w:val="000000"/>
          <w:sz w:val="24"/>
        </w:rPr>
        <w:t xml:space="preserve"> or </w:t>
      </w:r>
      <w:r>
        <w:rPr>
          <w:rFonts w:ascii="Times New Roman" w:hAnsi="Times New Roman"/>
          <w:b/>
          <w:color w:val="000000"/>
          <w:sz w:val="24"/>
        </w:rPr>
        <w:t>(3)</w:t>
      </w:r>
      <w:r>
        <w:rPr>
          <w:rFonts w:ascii="Times New Roman" w:hAnsi="Times New Roman"/>
          <w:color w:val="000000"/>
          <w:sz w:val="24"/>
        </w:rPr>
        <w:t xml:space="preserve"> above);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color w:val="000000"/>
          <w:sz w:val="24"/>
        </w:rPr>
        <w:t xml:space="preserve">the Settlement Method will be subject to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4.03(E)</w:t>
      </w:r>
      <w:r>
        <w:rPr>
          <w:rFonts w:ascii="Times New Roman" w:hAnsi="Times New Roman"/>
          <w:color w:val="000000"/>
          <w:sz w:val="24"/>
        </w:rPr>
        <w:t xml:space="preserve"> and </w:t>
      </w:r>
      <w:r>
        <w:rPr>
          <w:rFonts w:ascii="Times New Roman" w:hAnsi="Times New Roman"/>
          <w:b/>
          <w:color w:val="000000"/>
          <w:sz w:val="24"/>
        </w:rPr>
        <w:t>5.01(C)(i)(3)(a)</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At or before the time the Company sends any notice referred to in the preceding sentence, the Company will send a copy of such notice to the Trustee and the Conversion Agent, but the failure to timely send such copy will not affect the validity of any Settlement Method election.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- 52 -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The Company’s Right to Irrevocably Fix or Eliminate Settlement Methods</w:t>
      </w:r>
      <w:r>
        <w:rPr>
          <w:rFonts w:ascii="Times New Roman" w:hAnsi="Times New Roman"/>
          <w:color w:val="000000"/>
          <w:sz w:val="24"/>
        </w:rPr>
        <w:t xml:space="preserve">. The Company will have the right, exercisable at its 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hAnsi="Times New Roman"/>
          <w:i/>
          <w:color w:val="000000"/>
          <w:sz w:val="24"/>
        </w:rPr>
        <w:t>provided</w:t>
      </w:r>
      <w:r>
        <w:rPr>
          <w:rFonts w:ascii="Times New Roman" w:hAnsi="Times New Roman"/>
          <w:color w:val="000000"/>
          <w:sz w:val="24"/>
        </w:rPr>
        <w:t xml:space="preserve">, in each case, that (w) the Settlement Method so elected pursuant to </w:t>
      </w:r>
      <w:r>
        <w:rPr>
          <w:rFonts w:ascii="Times New Roman" w:hAnsi="Times New Roman"/>
          <w:b/>
          <w:color w:val="000000"/>
          <w:sz w:val="24"/>
        </w:rPr>
        <w:t>clause (1)</w:t>
      </w:r>
      <w:r>
        <w:rPr>
          <w:rFonts w:ascii="Times New Roman" w:hAnsi="Times New Roman"/>
          <w:color w:val="000000"/>
          <w:sz w:val="24"/>
        </w:rPr>
        <w:t xml:space="preserve"> above, or the Settlement Method(s) remaining after any elimination pursuant to </w:t>
      </w:r>
      <w:r>
        <w:rPr>
          <w:rFonts w:ascii="Times New Roman" w:hAnsi="Times New Roman"/>
          <w:b/>
          <w:color w:val="000000"/>
          <w:sz w:val="24"/>
        </w:rPr>
        <w:t>clause (2)</w:t>
      </w:r>
      <w:r>
        <w:rPr>
          <w:rFonts w:ascii="Times New Roman" w:hAnsi="Times New Roman"/>
          <w:color w:val="000000"/>
          <w:sz w:val="24"/>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hAnsi="Times New Roman"/>
          <w:b/>
          <w:color w:val="000000"/>
          <w:sz w:val="24"/>
        </w:rPr>
        <w:t>Section 5.03(A)</w:t>
      </w:r>
      <w:r>
        <w:rPr>
          <w:rFonts w:ascii="Times New Roman" w:hAnsi="Times New Roman"/>
          <w:color w:val="000000"/>
          <w:sz w:val="24"/>
        </w:rPr>
        <w:t xml:space="preserve">); (x) no such irrevocable election will affect any Settlement Method theretofore elected (or deemed to be elected) with respect to any Note pursuant to this Indenture (including pursuant to </w:t>
      </w:r>
      <w:r>
        <w:rPr>
          <w:rFonts w:ascii="Times New Roman" w:hAnsi="Times New Roman"/>
          <w:b/>
          <w:color w:val="000000"/>
          <w:sz w:val="24"/>
        </w:rPr>
        <w:t>Section 8.01(G)</w:t>
      </w:r>
      <w:r>
        <w:rPr>
          <w:rFonts w:ascii="Times New Roman" w:hAnsi="Times New Roman"/>
          <w:color w:val="000000"/>
          <w:sz w:val="24"/>
        </w:rPr>
        <w:t xml:space="preserve"> or this </w:t>
      </w:r>
      <w:r>
        <w:rPr>
          <w:rFonts w:ascii="Times New Roman" w:hAnsi="Times New Roman"/>
          <w:b/>
          <w:color w:val="000000"/>
          <w:sz w:val="24"/>
        </w:rPr>
        <w:t>Section 5.03(A)</w:t>
      </w:r>
      <w:r>
        <w:rPr>
          <w:rFonts w:ascii="Times New Roman" w:hAnsi="Times New Roman"/>
          <w:color w:val="000000"/>
          <w:sz w:val="24"/>
        </w:rPr>
        <w:t xml:space="preserve">); (y) upon any such irrevocable election pursuant to </w:t>
      </w:r>
      <w:r>
        <w:rPr>
          <w:rFonts w:ascii="Times New Roman" w:hAnsi="Times New Roman"/>
          <w:b/>
          <w:color w:val="000000"/>
          <w:sz w:val="24"/>
        </w:rPr>
        <w:t>clause (1)</w:t>
      </w:r>
      <w:r>
        <w:rPr>
          <w:rFonts w:ascii="Times New Roman" w:hAnsi="Times New Roman"/>
          <w:color w:val="000000"/>
          <w:sz w:val="24"/>
        </w:rPr>
        <w:t xml:space="preserve"> above, the Default Settlement Method will automatically be deemed to be set to the Settlement Method so fixed; and (z) upon any such irrevocable election pursuant to </w:t>
      </w:r>
      <w:r>
        <w:rPr>
          <w:rFonts w:ascii="Times New Roman" w:hAnsi="Times New Roman"/>
          <w:b/>
          <w:color w:val="000000"/>
          <w:sz w:val="24"/>
        </w:rPr>
        <w:t>clause (2)</w:t>
      </w:r>
      <w:r>
        <w:rPr>
          <w:rFonts w:ascii="Times New Roman" w:hAnsi="Times New Roman"/>
          <w:color w:val="000000"/>
          <w:sz w:val="24"/>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 w:hAnsi="Times New Roman"/>
          <w:b/>
          <w:color w:val="000000"/>
          <w:sz w:val="24"/>
        </w:rPr>
        <w:t>Section 8.01(G)</w:t>
      </w:r>
      <w:r>
        <w:rPr>
          <w:rFonts w:ascii="Times New Roman" w:hAnsi="Times New Roman"/>
          <w:color w:val="000000"/>
          <w:sz w:val="24"/>
        </w:rPr>
        <w:t xml:space="preserve"> (it being understood, however, that the Company may nonetheless choose to execute such an amendment at its option).</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Requirement to Publicly Disclose the Fixed or Default Settlement Method.</w:t>
      </w:r>
      <w:r>
        <w:rPr>
          <w:rFonts w:ascii="Times New Roman" w:hAnsi="Times New Roman"/>
          <w:color w:val="000000"/>
          <w:sz w:val="24"/>
        </w:rPr>
        <w:t xml:space="preserve"> If the Company changes the Default Settlement Method pursuant to </w:t>
      </w:r>
      <w:r>
        <w:rPr>
          <w:rFonts w:ascii="Times New Roman" w:hAnsi="Times New Roman"/>
          <w:b/>
          <w:color w:val="000000"/>
          <w:sz w:val="24"/>
        </w:rPr>
        <w:t>clause (x)</w:t>
      </w:r>
      <w:r>
        <w:rPr>
          <w:rFonts w:ascii="Times New Roman" w:hAnsi="Times New Roman"/>
          <w:color w:val="000000"/>
          <w:sz w:val="24"/>
        </w:rPr>
        <w:t xml:space="preserve"> of the proviso to the definition of such term or irrevocably fixes the Settlement Method(s) pursuant to </w:t>
      </w:r>
      <w:r>
        <w:rPr>
          <w:rFonts w:ascii="Times New Roman" w:hAnsi="Times New Roman"/>
          <w:b/>
          <w:color w:val="000000"/>
          <w:sz w:val="24"/>
        </w:rPr>
        <w:t>Section 5.03(A)(ii)</w:t>
      </w:r>
      <w:r>
        <w:rPr>
          <w:rFonts w:ascii="Times New Roman" w:hAnsi="Times New Roman"/>
          <w:color w:val="000000"/>
          <w:sz w:val="24"/>
        </w:rPr>
        <w:t>, then the Company will, substantially concurrently therewith, either post the Default Settlement Method or fixed Settlement Method(s), as applicable, on its website or disclose the same in a report on Form 8-K (or any successor form) that is filed with, or furnished to, the SEC.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Conversion Consideration</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5.03(B)(ii)</w:t>
      </w:r>
      <w:r>
        <w:rPr>
          <w:rFonts w:ascii="Times New Roman" w:hAnsi="Times New Roman"/>
          <w:color w:val="000000"/>
          <w:sz w:val="24"/>
        </w:rPr>
        <w:t xml:space="preserve">, </w:t>
      </w:r>
      <w:r>
        <w:rPr>
          <w:rFonts w:ascii="Times New Roman" w:hAnsi="Times New Roman"/>
          <w:b/>
          <w:color w:val="000000"/>
          <w:sz w:val="24"/>
        </w:rPr>
        <w:t>5.03(B)(iii)</w:t>
      </w:r>
      <w:r>
        <w:rPr>
          <w:rFonts w:ascii="Times New Roman" w:hAnsi="Times New Roman"/>
          <w:color w:val="000000"/>
          <w:sz w:val="24"/>
        </w:rPr>
        <w:t xml:space="preserve"> and </w:t>
      </w:r>
      <w:r>
        <w:rPr>
          <w:rFonts w:ascii="Times New Roman" w:hAnsi="Times New Roman"/>
          <w:b/>
          <w:color w:val="000000"/>
          <w:sz w:val="24"/>
        </w:rPr>
        <w:t>5.09(A)(2)</w:t>
      </w:r>
      <w:r>
        <w:rPr>
          <w:rFonts w:ascii="Times New Roman" w:hAnsi="Times New Roman"/>
          <w:color w:val="000000"/>
          <w:sz w:val="24"/>
        </w:rPr>
        <w:t>, the type and amount of consideration (the “</w:t>
      </w:r>
      <w:r>
        <w:rPr>
          <w:rFonts w:ascii="Times New Roman" w:hAnsi="Times New Roman"/>
          <w:b/>
          <w:color w:val="000000"/>
          <w:sz w:val="24"/>
        </w:rPr>
        <w:t>Conversion Consideration</w:t>
      </w:r>
      <w:r>
        <w:rPr>
          <w:rFonts w:ascii="Times New Roman" w:hAnsi="Times New Roman"/>
          <w:color w:val="000000"/>
          <w:sz w:val="24"/>
        </w:rPr>
        <w:t>”) due in respect of each $1,000 principal amount of a Note to be Converted that the Company applies the redemption proceeds to provide the Holder with will be as follows:</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if Physical Settlement applies to such Conversion, a number of Ordinary Shares equal to the Conversion Rate in effect on the Conversion Date for such Conversion;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- 53 -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if Cash Settlement applies to such Conversion, cash in an amount equal to the sum of the Daily Conversion Values for each VWAP Trading Day in the Observation Period for such Conversion;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if Combination Settlement applies to such Conversion, consideration consisting of (a) a number of Ordinary Shares equal to the sum of the Daily Share Amounts for each VWAP Trading Day in the Observation Period for such Conversion; and (b) an amount of cash equal to the sum of the Daily Cash Amounts for each VWAP Trading Day in such Observation Period.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Cash in Lieu of Fractional Shares</w:t>
      </w:r>
      <w:r>
        <w:rPr>
          <w:rFonts w:ascii="Times New Roman" w:hAnsi="Times New Roman"/>
          <w:color w:val="000000"/>
          <w:sz w:val="24"/>
        </w:rPr>
        <w:t xml:space="preserve">. If Physical Settlement or Combination Settlement applies to the Conversion of any Note and the number of Ordinary Shares deliverable pursuant to </w:t>
      </w:r>
      <w:r>
        <w:rPr>
          <w:rFonts w:ascii="Times New Roman" w:hAnsi="Times New Roman"/>
          <w:b/>
          <w:color w:val="000000"/>
          <w:sz w:val="24"/>
        </w:rPr>
        <w:t>Section 5.03(B)(i)</w:t>
      </w:r>
      <w:r>
        <w:rPr>
          <w:rFonts w:ascii="Times New Roman" w:hAnsi="Times New Roman"/>
          <w:color w:val="000000"/>
          <w:sz w:val="24"/>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Conversion of Multiple Notes by a Single Holder</w:t>
      </w:r>
      <w:r>
        <w:rPr>
          <w:rFonts w:ascii="Times New Roman" w:hAnsi="Times New Roman"/>
          <w:color w:val="000000"/>
          <w:sz w:val="24"/>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Notice of Calculation of Conversion Consideration</w:t>
      </w:r>
      <w:r>
        <w:rPr>
          <w:rFonts w:ascii="Times New Roman" w:hAnsi="Times New Roman"/>
          <w:color w:val="000000"/>
          <w:sz w:val="24"/>
        </w:rPr>
        <w:t>. If Cash Settlement or Combination Settlement applies 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Delivery of the Conversion Consideration</w:t>
      </w:r>
      <w:r>
        <w:rPr>
          <w:rFonts w:ascii="Times New Roman" w:hAnsi="Times New Roman"/>
          <w:color w:val="000000"/>
          <w:sz w:val="24"/>
        </w:rPr>
        <w:t xml:space="preserve">. Except as set forth in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5.05(D)</w:t>
      </w:r>
      <w:r>
        <w:rPr>
          <w:rFonts w:ascii="Times New Roman" w:hAnsi="Times New Roman"/>
          <w:color w:val="000000"/>
          <w:sz w:val="24"/>
        </w:rPr>
        <w:t xml:space="preserve"> and </w:t>
      </w:r>
      <w:r>
        <w:rPr>
          <w:rFonts w:ascii="Times New Roman" w:hAnsi="Times New Roman"/>
          <w:b/>
          <w:color w:val="000000"/>
          <w:sz w:val="24"/>
        </w:rPr>
        <w:t>5.09</w:t>
      </w:r>
      <w:r>
        <w:rPr>
          <w:rFonts w:ascii="Times New Roman" w:hAnsi="Times New Roman"/>
          <w:color w:val="000000"/>
          <w:sz w:val="24"/>
        </w:rPr>
        <w:t xml:space="preserve">, the Company will pay or deliver, 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Physical Settlement applies to the Conversion of any Note with a Conversion Date that is after the Regular Record Date immediately before the Maturity Date, or of any Note that has been called for Redemption with a Conversion Date that occurs during the fifteen (15) calendar days preceding the related Redemption Date, then, solely for purposes of such Conversion, (x) the Company will pay or deliver, as applicable, the Conversion Consideration due upon such Conversion on or before the Maturity Date (or, if the Maturity Date is not a Business Day, the next Business Day), in the case of a Conversion of any Note with a Conversion Date that is after the Regular Record Date immediately before the Maturity Date, or the related Redemption Date, in the case of a Conversion of any Note that has been called for Redemption with a Conversion Date that occurs during the fifteen (15) calendar days preceding such Redemption Date; and (y) the Conversion Date will instead be deemed to be the second (2nd) Business Day immediately before the date referred to in </w:t>
      </w:r>
      <w:r>
        <w:rPr>
          <w:rFonts w:ascii="Times New Roman" w:hAnsi="Times New Roman"/>
          <w:b/>
          <w:color w:val="000000"/>
          <w:sz w:val="24"/>
        </w:rPr>
        <w:t>clause (x)</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Deemed Payment of Principal and Interest; Settlement of Accrued Interest Notwithstanding Conversion</w:t>
      </w:r>
      <w:r>
        <w:rPr>
          <w:rFonts w:ascii="Times New Roman" w:hAnsi="Times New Roman"/>
          <w:color w:val="000000"/>
          <w:sz w:val="24"/>
        </w:rPr>
        <w:t xml:space="preserve">. If a Holder Converts a Note, then the Company will not adjust the Conversion Rate to account for any accrued and unpaid interest on such Note, and, except as provided in </w:t>
      </w:r>
      <w:r>
        <w:rPr>
          <w:rFonts w:ascii="Times New Roman" w:hAnsi="Times New Roman"/>
          <w:b/>
          <w:color w:val="000000"/>
          <w:sz w:val="24"/>
        </w:rPr>
        <w:t>Section 5.02(D)</w:t>
      </w:r>
      <w:r>
        <w:rPr>
          <w:rFonts w:ascii="Times New Roman" w:hAnsi="Times New Roman"/>
          <w:color w:val="000000"/>
          <w:sz w:val="24"/>
        </w:rPr>
        <w:t xml:space="preserve">, the Company’s delivery of the Conversion Consideration due in respect of such Conversion will fully satisfy and discharge the Company’s obligation to pay the principal of, and accrued and unpaid interest, if any, on, such Note to, but excluding the Conversion Date. As a result, except as provided in </w:t>
      </w:r>
      <w:r>
        <w:rPr>
          <w:rFonts w:ascii="Times New Roman" w:hAnsi="Times New Roman"/>
          <w:b/>
          <w:color w:val="000000"/>
          <w:sz w:val="24"/>
        </w:rPr>
        <w:t>Section 5.02(D)</w:t>
      </w:r>
      <w:r>
        <w:rPr>
          <w:rFonts w:ascii="Times New Roman" w:hAnsi="Times New Roman"/>
          <w:color w:val="000000"/>
          <w:sz w:val="24"/>
        </w:rPr>
        <w:t xml:space="preserve">, any accrued and unpaid interest on, a Converted Note will be deemed to be paid in full rather than cancelled, extinguished or forfeited. In addition, subject to </w:t>
      </w:r>
      <w:r>
        <w:rPr>
          <w:rFonts w:ascii="Times New Roman" w:hAnsi="Times New Roman"/>
          <w:b/>
          <w:color w:val="000000"/>
          <w:sz w:val="24"/>
        </w:rPr>
        <w:t>Section 5.02(D)</w:t>
      </w:r>
      <w:r>
        <w:rPr>
          <w:rFonts w:ascii="Times New Roman" w:hAnsi="Times New Roman"/>
          <w:color w:val="000000"/>
          <w:sz w:val="24"/>
        </w:rPr>
        <w:t>, if the Conversion Consideration for a Note consists of both cash and Ordinary Shares, then accrued and unpaid interest that is paid therewith will be deemed to be paid first out of such cash.</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5.04.     Status of Ordinary Shares Issued Upon Conversion.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Each Conversion Share, if any, delivered upon Conversion of any Note will be a newly issued share (except that any Conversion Share delivered by a designated financial institution pursuant to </w:t>
      </w:r>
      <w:r>
        <w:rPr>
          <w:rFonts w:ascii="Times New Roman" w:hAnsi="Times New Roman"/>
          <w:b/>
          <w:color w:val="000000"/>
          <w:sz w:val="24"/>
        </w:rPr>
        <w:t>Section 5.08</w:t>
      </w:r>
      <w:r>
        <w:rPr>
          <w:rFonts w:ascii="Times New Roman" w:hAnsi="Times New Roman"/>
          <w:color w:val="000000"/>
          <w:sz w:val="24"/>
        </w:rPr>
        <w:t xml:space="preserve"> need not be a newly issued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Ordinary Shares are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5.05.     Adjustments to the Conversion Rate.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Events Requiring an Adjustment to the Conversion Rate</w:t>
      </w:r>
      <w:r>
        <w:rPr>
          <w:rFonts w:ascii="Times New Roman" w:hAnsi="Times New Roman"/>
          <w:color w:val="000000"/>
          <w:sz w:val="24"/>
        </w:rPr>
        <w:t>. The Conversion Rate will be adjusted from time to time as follows: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w:t>
      </w:r>
      <w:r>
        <w:rPr>
          <w:rFonts w:ascii="Times New Roman" w:hAnsi="Times New Roman"/>
          <w:i/>
          <w:color w:val="000000"/>
          <w:sz w:val="24"/>
        </w:rPr>
        <w:t>Share Dividends, Splits and Combinations</w:t>
      </w:r>
      <w:r>
        <w:rPr>
          <w:rFonts w:ascii="Times New Roman" w:hAnsi="Times New Roman"/>
          <w:color w:val="000000"/>
          <w:sz w:val="24"/>
        </w:rPr>
        <w:t xml:space="preserve">. If the Company issues solely Ordinary Shares as a dividend or distribution on all or substantially all shares of the Ordinary Shares, or if the Company effects a share split or a share combination of the Ordinary Shares (in each case excluding an issuance solely pursuant to an Ordinary Share Change Event, as to which </w:t>
      </w:r>
      <w:r>
        <w:rPr>
          <w:rFonts w:ascii="Times New Roman" w:hAnsi="Times New Roman"/>
          <w:b/>
          <w:color w:val="000000"/>
          <w:sz w:val="24"/>
        </w:rPr>
        <w:t>Section 5.09</w:t>
      </w:r>
      <w:r>
        <w:rPr>
          <w:rFonts w:ascii="Times New Roman" w:hAnsi="Times New Roman"/>
          <w:color w:val="000000"/>
          <w:sz w:val="24"/>
        </w:rPr>
        <w:t xml:space="preserve"> will apply), then the Conversion Rate will be adjusted based on the following formula:</w:t>
      </w:r>
    </w:p>
    <w:p>
      <w:pPr>
        <w:pStyle w:val="TextBody"/>
        <w:bidi w:val="0"/>
        <w:spacing w:before="0" w:after="0"/>
        <w:jc w:val="left"/>
        <w:rPr>
          <w:color w:val="000000"/>
        </w:rPr>
      </w:pPr>
      <w:r>
        <w:rPr>
          <w:color w:val="000000"/>
        </w:rPr>
        <w:t> </w:t>
      </w:r>
    </w:p>
    <w:p>
      <w:pPr>
        <w:pStyle w:val="TextBody"/>
        <w:bidi w:val="0"/>
        <w:spacing w:before="0" w:after="0"/>
        <w:ind w:left="720" w:right="0" w:hanging="0"/>
        <w:jc w:val="center"/>
        <w:rPr>
          <w:color w:val="000000"/>
        </w:rPr>
      </w:pPr>
      <w:r>
        <w:rPr>
          <w:color w:val="000000"/>
        </w:rPr>
        <w:drawing>
          <wp:inline distT="0" distB="0" distL="0" distR="0">
            <wp:extent cx="11430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504825"/>
                    </a:xfrm>
                    <a:prstGeom prst="rect">
                      <a:avLst/>
                    </a:prstGeom>
                  </pic:spPr>
                </pic:pic>
              </a:graphicData>
            </a:graphic>
          </wp:inline>
        </w:drawing>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- 55 -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33e191b230554ca8a5ded46d8a8e1a10"/>
      <w:bookmarkStart w:id="41" w:name="z33e191b230554ca8a5ded46d8a8e1a10"/>
      <w:bookmarkEnd w:id="41"/>
    </w:p>
    <w:tbl>
      <w:tblPr>
        <w:tblW w:w="10205" w:type="dxa"/>
        <w:jc w:val="left"/>
        <w:tblInd w:w="0" w:type="dxa"/>
        <w:tblLayout w:type="fixed"/>
        <w:tblCellMar>
          <w:top w:w="0" w:type="dxa"/>
          <w:left w:w="0" w:type="dxa"/>
          <w:bottom w:w="0" w:type="dxa"/>
          <w:right w:w="0" w:type="dxa"/>
        </w:tblCellMar>
      </w:tblPr>
      <w:tblGrid>
        <w:gridCol w:w="60"/>
        <w:gridCol w:w="455"/>
        <w:gridCol w:w="155"/>
        <w:gridCol w:w="9535"/>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CR0</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the Conversion Rate in effect immediately before the Open of Business on the Ex-Dividend Date for such dividend or distribution, or immediately before the Open of Business on the Effective Date of such share split or share combination, as applicable;</w:t>
            </w:r>
          </w:p>
        </w:tc>
      </w:tr>
      <w:tr>
        <w:trPr/>
        <w:tc>
          <w:tcPr>
            <w:tcW w:w="60" w:type="dxa"/>
            <w:tcBorders/>
            <w:vAlign w:val="center"/>
          </w:tcPr>
          <w:p>
            <w:pPr>
              <w:pStyle w:val="TableContents"/>
              <w:bidi w:val="0"/>
              <w:spacing w:before="0" w:after="283"/>
              <w:jc w:val="left"/>
              <w:rPr/>
            </w:pPr>
            <w:r>
              <w:rPr/>
            </w:r>
          </w:p>
        </w:tc>
        <w:tc>
          <w:tcPr>
            <w:tcW w:w="455"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r>
          </w:p>
        </w:tc>
        <w:tc>
          <w:tcPr>
            <w:tcW w:w="953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CR1</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the Conversion Rate in effect immediately after the Open of Business on such Ex-Dividend Date or Effective Date, as applicable;</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OS0</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the number of Ordinary Shares outstanding immediately before the Open of Business on such Ex-Dividend Date or Effective Date, as applicable, without giving effect to such dividend, distribution, share split or share combination; and</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OS1</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the number of Ordinary Shares outstanding immediately after giving effect to such dividend, distribution, share split or share combination.</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If any dividend, distribution, share split or share combination of the type described in this </w:t>
      </w:r>
      <w:r>
        <w:rPr>
          <w:rFonts w:ascii="Times New Roman" w:hAnsi="Times New Roman"/>
          <w:b/>
          <w:color w:val="000000"/>
          <w:sz w:val="24"/>
        </w:rPr>
        <w:t>Section 5.05(A)(i)</w:t>
      </w:r>
      <w:r>
        <w:rPr>
          <w:rFonts w:ascii="Times New Roman" w:hAnsi="Times New Roman"/>
          <w:color w:val="000000"/>
          <w:sz w:val="24"/>
        </w:rPr>
        <w:t xml:space="preserve"> is declared or announced, but not so paid or made, then the Conversion Rate will be readjusted, effective as of the date the Board of Directors determines not to pay such dividend or distribution or to effect such share split or share combination, to the Conversion Rate that would then be in effect had such dividend, distribution, share split or share combination not been declared or announced.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Rights, Options and Warrants</w:t>
      </w:r>
      <w:r>
        <w:rPr>
          <w:rFonts w:ascii="Times New Roman" w:hAnsi="Times New Roman"/>
          <w:color w:val="000000"/>
          <w:sz w:val="24"/>
        </w:rPr>
        <w:t xml:space="preserve">. If the Company distributes, to all or substantially all holders of Ordinary Shares, rights, options or warrants (other than rights issued or otherwise distributed pursuant to a shareholder rights plan, as to which </w:t>
      </w:r>
      <w:r>
        <w:rPr>
          <w:rFonts w:ascii="Times New Roman" w:hAnsi="Times New Roman"/>
          <w:b/>
          <w:color w:val="000000"/>
          <w:sz w:val="24"/>
        </w:rPr>
        <w:t>Sections 5.05(A)(iii)(1)</w:t>
      </w:r>
      <w:r>
        <w:rPr>
          <w:rFonts w:ascii="Times New Roman" w:hAnsi="Times New Roman"/>
          <w:color w:val="000000"/>
          <w:sz w:val="24"/>
        </w:rPr>
        <w:t xml:space="preserve"> and </w:t>
      </w:r>
      <w:r>
        <w:rPr>
          <w:rFonts w:ascii="Times New Roman" w:hAnsi="Times New Roman"/>
          <w:b/>
          <w:color w:val="000000"/>
          <w:sz w:val="24"/>
        </w:rPr>
        <w:t>5.05(F)</w:t>
      </w:r>
      <w:r>
        <w:rPr>
          <w:rFonts w:ascii="Times New Roman" w:hAnsi="Times New Roman"/>
          <w:color w:val="000000"/>
          <w:sz w:val="24"/>
        </w:rPr>
        <w:t xml:space="preserve"> will apply) entitling such holders, for a period of not more than sixty (60) calendar days after the record date of such distribution, to subscribe for or purchase Ordinary Shares at a price per share that is less than the average of the Last Reported Sale Prices per Ordinary Share for the ten (10) consecutive Trading Days ending on, and including, the Trading Day immediately before the date such distribution is announced, then the Conversion Rate will be increased based on the following formula:</w:t>
      </w:r>
    </w:p>
    <w:p>
      <w:pPr>
        <w:pStyle w:val="TextBody"/>
        <w:bidi w:val="0"/>
        <w:spacing w:before="0" w:after="0"/>
        <w:jc w:val="left"/>
        <w:rPr>
          <w:color w:val="000000"/>
        </w:rPr>
      </w:pPr>
      <w:r>
        <w:rPr>
          <w:color w:val="000000"/>
        </w:rPr>
        <w:t> </w:t>
      </w:r>
    </w:p>
    <w:p>
      <w:pPr>
        <w:pStyle w:val="TextBody"/>
        <w:bidi w:val="0"/>
        <w:spacing w:before="0" w:after="0"/>
        <w:ind w:left="720" w:right="0" w:hanging="0"/>
        <w:jc w:val="center"/>
        <w:rPr>
          <w:color w:val="000000"/>
        </w:rPr>
      </w:pPr>
      <w:r>
        <w:rPr>
          <w:color w:val="000000"/>
        </w:rPr>
        <w:drawing>
          <wp:inline distT="0" distB="0" distL="0" distR="0">
            <wp:extent cx="1285875"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45720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70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42" w:name="zbc0bedb11fcc4a839deed80ed69a5582"/>
      <w:bookmarkStart w:id="43" w:name="zbc0bedb11fcc4a839deed80ed69a5582"/>
      <w:bookmarkEnd w:id="43"/>
    </w:p>
    <w:tbl>
      <w:tblPr>
        <w:tblW w:w="10205" w:type="dxa"/>
        <w:jc w:val="left"/>
        <w:tblInd w:w="0" w:type="dxa"/>
        <w:tblLayout w:type="fixed"/>
        <w:tblCellMar>
          <w:top w:w="0" w:type="dxa"/>
          <w:left w:w="0" w:type="dxa"/>
          <w:bottom w:w="0" w:type="dxa"/>
          <w:right w:w="0" w:type="dxa"/>
        </w:tblCellMar>
      </w:tblPr>
      <w:tblGrid>
        <w:gridCol w:w="60"/>
        <w:gridCol w:w="455"/>
        <w:gridCol w:w="155"/>
        <w:gridCol w:w="9535"/>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CR0</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the Conversion Rate in effect immediately before the Open of Business on the Ex-Dividend Date for such distribution;</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CR1</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the Conversion Rate in effect immediately after the Open of Business on such Ex-Dividend Date;</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both"/>
              <w:rPr>
                <w:i/>
                <w:sz w:val="24"/>
              </w:rPr>
            </w:pPr>
            <w:r>
              <w:rPr>
                <w:i/>
                <w:sz w:val="24"/>
              </w:rPr>
              <w:t>OS</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the number of Ordinary Shares outstanding immediately before the Open of Business on such Ex-Dividend Date;</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both"/>
              <w:rPr>
                <w:i/>
                <w:sz w:val="24"/>
              </w:rPr>
            </w:pPr>
            <w:r>
              <w:rPr>
                <w:i/>
                <w:sz w:val="24"/>
              </w:rPr>
              <w:t>X</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the total number of Ordinary Shares issuable pursuant to such rights, options or warrants; and</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both"/>
              <w:rPr>
                <w:i/>
                <w:sz w:val="24"/>
              </w:rPr>
            </w:pPr>
            <w:r>
              <w:rPr>
                <w:i/>
                <w:sz w:val="24"/>
              </w:rPr>
              <w:t>Y</w:t>
            </w:r>
          </w:p>
        </w:tc>
        <w:tc>
          <w:tcPr>
            <w:tcW w:w="155" w:type="dxa"/>
            <w:tcBorders/>
            <w:vAlign w:val="center"/>
          </w:tcPr>
          <w:p>
            <w:pPr>
              <w:pStyle w:val="TableContents"/>
              <w:bidi w:val="0"/>
              <w:spacing w:before="0" w:after="0"/>
              <w:jc w:val="both"/>
              <w:rPr>
                <w:sz w:val="24"/>
              </w:rPr>
            </w:pPr>
            <w:r>
              <w:rPr>
                <w:sz w:val="24"/>
              </w:rPr>
              <w:t>=</w:t>
            </w:r>
          </w:p>
        </w:tc>
        <w:tc>
          <w:tcPr>
            <w:tcW w:w="9535" w:type="dxa"/>
            <w:tcBorders/>
            <w:vAlign w:val="center"/>
          </w:tcPr>
          <w:p>
            <w:pPr>
              <w:pStyle w:val="TableContents"/>
              <w:bidi w:val="0"/>
              <w:spacing w:before="0" w:after="0"/>
              <w:jc w:val="both"/>
              <w:rPr>
                <w:sz w:val="24"/>
              </w:rPr>
            </w:pPr>
            <w:r>
              <w:rPr>
                <w:sz w:val="24"/>
              </w:rPr>
              <w:t>a number of Ordinary Shares obtained by dividing (x) the aggregate price payable to exercise such rights, options or warrants by (y) the average of the Last Reported Sale Prices per Ordinary Share for the ten (10) consecutive Trading Days ending on, and including, the Trading Day immediately before the date such distribution is announced.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- 56 -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Ordinary Shares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Ordinary Shares actually delivered upon exercise of such rights, options or warrants.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For purposes of this </w:t>
      </w:r>
      <w:r>
        <w:rPr>
          <w:rFonts w:ascii="Times New Roman" w:hAnsi="Times New Roman"/>
          <w:b/>
          <w:color w:val="000000"/>
          <w:sz w:val="24"/>
        </w:rPr>
        <w:t>Section 5.05(A)(ii)</w:t>
      </w:r>
      <w:r>
        <w:rPr>
          <w:rFonts w:ascii="Times New Roman" w:hAnsi="Times New Roman"/>
          <w:color w:val="000000"/>
          <w:sz w:val="24"/>
        </w:rPr>
        <w:t xml:space="preserve"> and </w:t>
      </w:r>
      <w:r>
        <w:rPr>
          <w:rFonts w:ascii="Times New Roman" w:hAnsi="Times New Roman"/>
          <w:b/>
          <w:color w:val="000000"/>
          <w:sz w:val="24"/>
        </w:rPr>
        <w:t>Section 5.01(C)(i)(3)(a)(I)</w:t>
      </w:r>
      <w:r>
        <w:rPr>
          <w:rFonts w:ascii="Times New Roman" w:hAnsi="Times New Roman"/>
          <w:color w:val="000000"/>
          <w:sz w:val="24"/>
        </w:rPr>
        <w:t>, in determining whether any rights, options or warrants entitle holders of Ordinary Shares to subscribe for or purchase Ordinary Shares at a price per share that is less than the average of the Last Reported Sale Prices per Ordinary Share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Spin-Offs and Other Distributed Property</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i/>
          <w:color w:val="000000"/>
          <w:sz w:val="24"/>
        </w:rPr>
        <w:t>Distributions Other than Spin-Offs</w:t>
      </w:r>
      <w:r>
        <w:rPr>
          <w:rFonts w:ascii="Times New Roman" w:hAnsi="Times New Roman"/>
          <w:color w:val="000000"/>
          <w:sz w:val="24"/>
        </w:rPr>
        <w:t>. If the Company distributes shares of its Capital Stock, evidences of its indebtedness or other assets or property of the Company, or rights, options or warrants to acquire Capital Stock of the Company or other securities, to all or substantially all holders of the Ordinary Shares, excluding:</w:t>
      </w:r>
    </w:p>
    <w:p>
      <w:pPr>
        <w:pStyle w:val="TextBody"/>
        <w:bidi w:val="0"/>
        <w:spacing w:before="0" w:after="0"/>
        <w:jc w:val="both"/>
        <w:rPr>
          <w:color w:val="000000"/>
        </w:rPr>
      </w:pPr>
      <w:r>
        <w:rPr>
          <w:color w:val="000000"/>
        </w:rPr>
        <w:t> </w:t>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(u)</w:t>
      </w:r>
      <w:r>
        <w:rPr>
          <w:rFonts w:ascii="Times New Roman" w:hAnsi="Times New Roman"/>
          <w:color w:val="000000"/>
          <w:sz w:val="20"/>
        </w:rPr>
        <w:t xml:space="preserve">        </w:t>
      </w:r>
      <w:r>
        <w:rPr>
          <w:rFonts w:ascii="Times New Roman" w:hAnsi="Times New Roman"/>
          <w:color w:val="000000"/>
          <w:sz w:val="24"/>
        </w:rPr>
        <w:t xml:space="preserve">dividends, distributions, rights, options or warrants for which an adjustment to the Conversion Rate is required (or would be required without regard to </w:t>
      </w:r>
      <w:r>
        <w:rPr>
          <w:rFonts w:ascii="Times New Roman" w:hAnsi="Times New Roman"/>
          <w:b/>
          <w:color w:val="000000"/>
          <w:sz w:val="24"/>
        </w:rPr>
        <w:t>Section 5.05(C)</w:t>
      </w:r>
      <w:r>
        <w:rPr>
          <w:rFonts w:ascii="Times New Roman" w:hAnsi="Times New Roman"/>
          <w:color w:val="000000"/>
          <w:sz w:val="24"/>
        </w:rPr>
        <w:t xml:space="preserve">)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5.05(A)(i)</w:t>
      </w:r>
      <w:r>
        <w:rPr>
          <w:rFonts w:ascii="Times New Roman" w:hAnsi="Times New Roman"/>
          <w:color w:val="000000"/>
          <w:sz w:val="24"/>
        </w:rPr>
        <w:t xml:space="preserve"> or </w:t>
      </w:r>
      <w:r>
        <w:rPr>
          <w:rFonts w:ascii="Times New Roman" w:hAnsi="Times New Roman"/>
          <w:b/>
          <w:color w:val="000000"/>
          <w:sz w:val="24"/>
        </w:rPr>
        <w:t>5.05(A)(ii)</w:t>
      </w:r>
      <w:r>
        <w:rPr>
          <w:rFonts w:ascii="Times New Roman" w:hAnsi="Times New Roman"/>
          <w:color w:val="000000"/>
          <w:sz w:val="24"/>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- 57 -</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dividends or distributions paid exclusively in cash for which an adjustment to the Conversion Rate is required (or would be required without regard to </w:t>
      </w:r>
      <w:r>
        <w:rPr>
          <w:rFonts w:ascii="Times New Roman" w:hAnsi="Times New Roman"/>
          <w:b/>
          <w:color w:val="000000"/>
          <w:sz w:val="24"/>
        </w:rPr>
        <w:t>Section 5.05(C)</w:t>
      </w:r>
      <w:r>
        <w:rPr>
          <w:rFonts w:ascii="Times New Roman" w:hAnsi="Times New Roman"/>
          <w:color w:val="000000"/>
          <w:sz w:val="24"/>
        </w:rPr>
        <w:t xml:space="preserve">) pursuant to </w:t>
      </w:r>
      <w:r>
        <w:rPr>
          <w:rFonts w:ascii="Times New Roman" w:hAnsi="Times New Roman"/>
          <w:b/>
          <w:color w:val="000000"/>
          <w:sz w:val="24"/>
        </w:rPr>
        <w:t>Section 5.05(A)(iv)</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(w)</w:t>
      </w:r>
      <w:r>
        <w:rPr>
          <w:rFonts w:ascii="Times New Roman" w:hAnsi="Times New Roman"/>
          <w:color w:val="000000"/>
          <w:sz w:val="20"/>
        </w:rPr>
        <w:t xml:space="preserve">     </w:t>
      </w:r>
      <w:r>
        <w:rPr>
          <w:rFonts w:ascii="Times New Roman" w:hAnsi="Times New Roman"/>
          <w:color w:val="000000"/>
          <w:sz w:val="24"/>
        </w:rPr>
        <w:t xml:space="preserve">rights issued or otherwise distributed pursuant to a shareholder rights plan, except to the extent provided in </w:t>
      </w:r>
      <w:r>
        <w:rPr>
          <w:rFonts w:ascii="Times New Roman" w:hAnsi="Times New Roman"/>
          <w:b/>
          <w:color w:val="000000"/>
          <w:sz w:val="24"/>
        </w:rPr>
        <w:t>Section 5.05(F)</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 xml:space="preserve">Spin-Offs for which an adjustment to the Conversion Rate is required (or would be required without regard to </w:t>
      </w:r>
      <w:r>
        <w:rPr>
          <w:rFonts w:ascii="Times New Roman" w:hAnsi="Times New Roman"/>
          <w:b/>
          <w:color w:val="000000"/>
          <w:sz w:val="24"/>
        </w:rPr>
        <w:t>Section 5.05(C)</w:t>
      </w:r>
      <w:r>
        <w:rPr>
          <w:rFonts w:ascii="Times New Roman" w:hAnsi="Times New Roman"/>
          <w:color w:val="000000"/>
          <w:sz w:val="24"/>
        </w:rPr>
        <w:t xml:space="preserve">) pursuant to </w:t>
      </w:r>
      <w:r>
        <w:rPr>
          <w:rFonts w:ascii="Times New Roman" w:hAnsi="Times New Roman"/>
          <w:b/>
          <w:color w:val="000000"/>
          <w:sz w:val="24"/>
        </w:rPr>
        <w:t>Section 5.05(A)(iii)(2)</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 xml:space="preserve">a distribution solely pursuant to a tender offer or exchange offer for Ordinary Shares, as to which </w:t>
      </w:r>
      <w:r>
        <w:rPr>
          <w:rFonts w:ascii="Times New Roman" w:hAnsi="Times New Roman"/>
          <w:b/>
          <w:color w:val="000000"/>
          <w:sz w:val="24"/>
        </w:rPr>
        <w:t>Section 5.05(A)(v)</w:t>
      </w:r>
      <w:r>
        <w:rPr>
          <w:rFonts w:ascii="Times New Roman" w:hAnsi="Times New Roman"/>
          <w:color w:val="000000"/>
          <w:sz w:val="24"/>
        </w:rPr>
        <w:t xml:space="preserve"> will apply; and</w:t>
      </w:r>
    </w:p>
    <w:p>
      <w:pPr>
        <w:pStyle w:val="TextBody"/>
        <w:bidi w:val="0"/>
        <w:spacing w:before="0" w:after="0"/>
        <w:jc w:val="left"/>
        <w:rPr/>
      </w:pPr>
      <w:r>
        <w:rPr/>
      </w:r>
    </w:p>
    <w:p>
      <w:pPr>
        <w:pStyle w:val="TextBody"/>
        <w:bidi w:val="0"/>
        <w:spacing w:before="0" w:after="0"/>
        <w:ind w:left="2160" w:right="0" w:firstLine="720"/>
        <w:jc w:val="both"/>
        <w:rPr>
          <w:rFonts w:ascii="Times New Roman" w:hAnsi="Times New Roman"/>
          <w:color w:val="000000"/>
          <w:sz w:val="20"/>
        </w:rPr>
      </w:pPr>
      <w:r>
        <w:rPr>
          <w:rFonts w:ascii="Times New Roman" w:hAnsi="Times New Roman"/>
          <w:color w:val="000000"/>
          <w:sz w:val="24"/>
        </w:rPr>
        <w:t>(z)</w:t>
      </w:r>
      <w:r>
        <w:rPr>
          <w:rFonts w:ascii="Times New Roman" w:hAnsi="Times New Roman"/>
          <w:color w:val="000000"/>
          <w:sz w:val="20"/>
        </w:rPr>
        <w:t xml:space="preserve">         </w:t>
      </w:r>
      <w:r>
        <w:rPr>
          <w:rFonts w:ascii="Times New Roman" w:hAnsi="Times New Roman"/>
          <w:color w:val="000000"/>
          <w:sz w:val="24"/>
        </w:rPr>
        <w:t xml:space="preserve">a distribution solely pursuant to an Ordinary Share Change Event, as to which </w:t>
      </w:r>
      <w:r>
        <w:rPr>
          <w:rFonts w:ascii="Times New Roman" w:hAnsi="Times New Roman"/>
          <w:b/>
          <w:color w:val="000000"/>
          <w:sz w:val="24"/>
        </w:rPr>
        <w:t>Section 5.09</w:t>
      </w:r>
      <w:r>
        <w:rPr>
          <w:rFonts w:ascii="Times New Roman" w:hAnsi="Times New Roman"/>
          <w:color w:val="000000"/>
          <w:sz w:val="24"/>
        </w:rPr>
        <w:t xml:space="preserve"> will apply,</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then the Conversion Rate will be increased based on the following formula:</w:t>
      </w:r>
    </w:p>
    <w:p>
      <w:pPr>
        <w:pStyle w:val="TextBody"/>
        <w:bidi w:val="0"/>
        <w:spacing w:before="0" w:after="0"/>
        <w:jc w:val="left"/>
        <w:rPr>
          <w:color w:val="000000"/>
        </w:rPr>
      </w:pPr>
      <w:r>
        <w:rPr>
          <w:color w:val="000000"/>
        </w:rPr>
        <w:t> </w:t>
      </w:r>
    </w:p>
    <w:p>
      <w:pPr>
        <w:pStyle w:val="TextBody"/>
        <w:bidi w:val="0"/>
        <w:spacing w:before="0" w:after="0"/>
        <w:ind w:left="1440" w:right="0" w:hanging="0"/>
        <w:jc w:val="center"/>
        <w:rPr>
          <w:color w:val="000000"/>
        </w:rPr>
      </w:pPr>
      <w:r>
        <w:rPr>
          <w:color w:val="000000"/>
        </w:rPr>
        <w:drawing>
          <wp:inline distT="0" distB="0" distL="0" distR="0">
            <wp:extent cx="1476375"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76375" cy="43815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44" w:name="z9c7d245ec6fb41a3b70997080a85f310"/>
      <w:bookmarkStart w:id="45" w:name="z9c7d245ec6fb41a3b70997080a85f310"/>
      <w:bookmarkEnd w:id="45"/>
    </w:p>
    <w:tbl>
      <w:tblPr>
        <w:tblW w:w="10205" w:type="dxa"/>
        <w:jc w:val="left"/>
        <w:tblInd w:w="0" w:type="dxa"/>
        <w:tblLayout w:type="fixed"/>
        <w:tblCellMar>
          <w:top w:w="0" w:type="dxa"/>
          <w:left w:w="0" w:type="dxa"/>
          <w:bottom w:w="0" w:type="dxa"/>
          <w:right w:w="0" w:type="dxa"/>
        </w:tblCellMar>
      </w:tblPr>
      <w:tblGrid>
        <w:gridCol w:w="60"/>
        <w:gridCol w:w="515"/>
        <w:gridCol w:w="155"/>
        <w:gridCol w:w="9475"/>
      </w:tblGrid>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240" w:before="0" w:after="0"/>
              <w:jc w:val="both"/>
              <w:rPr>
                <w:i/>
                <w:sz w:val="24"/>
              </w:rPr>
            </w:pPr>
            <w:r>
              <w:rPr>
                <w:i/>
                <w:sz w:val="24"/>
              </w:rPr>
              <w:t>CR0</w:t>
            </w:r>
          </w:p>
        </w:tc>
        <w:tc>
          <w:tcPr>
            <w:tcW w:w="155" w:type="dxa"/>
            <w:tcBorders/>
            <w:vAlign w:val="center"/>
          </w:tcPr>
          <w:p>
            <w:pPr>
              <w:pStyle w:val="TableContents"/>
              <w:bidi w:val="0"/>
              <w:spacing w:before="0" w:after="0"/>
              <w:jc w:val="both"/>
              <w:rPr>
                <w:sz w:val="24"/>
              </w:rPr>
            </w:pPr>
            <w:r>
              <w:rPr>
                <w:sz w:val="24"/>
              </w:rPr>
              <w:t>=</w:t>
            </w:r>
          </w:p>
        </w:tc>
        <w:tc>
          <w:tcPr>
            <w:tcW w:w="9475" w:type="dxa"/>
            <w:tcBorders/>
            <w:vAlign w:val="center"/>
          </w:tcPr>
          <w:p>
            <w:pPr>
              <w:pStyle w:val="TableContents"/>
              <w:bidi w:val="0"/>
              <w:spacing w:before="0" w:after="0"/>
              <w:jc w:val="both"/>
              <w:rPr>
                <w:sz w:val="24"/>
              </w:rPr>
            </w:pPr>
            <w:r>
              <w:rPr>
                <w:sz w:val="24"/>
              </w:rPr>
              <w:t>the Conversion Rate in effect immediately before the Open of Business on the Ex-Dividend Date for such distribution;</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240" w:before="0" w:after="0"/>
              <w:jc w:val="both"/>
              <w:rPr>
                <w:i/>
                <w:sz w:val="24"/>
              </w:rPr>
            </w:pPr>
            <w:r>
              <w:rPr>
                <w:i/>
                <w:sz w:val="24"/>
              </w:rPr>
              <w:t>CR1</w:t>
            </w:r>
          </w:p>
        </w:tc>
        <w:tc>
          <w:tcPr>
            <w:tcW w:w="155" w:type="dxa"/>
            <w:tcBorders/>
            <w:vAlign w:val="center"/>
          </w:tcPr>
          <w:p>
            <w:pPr>
              <w:pStyle w:val="TableContents"/>
              <w:bidi w:val="0"/>
              <w:spacing w:before="0" w:after="0"/>
              <w:jc w:val="both"/>
              <w:rPr>
                <w:sz w:val="24"/>
              </w:rPr>
            </w:pPr>
            <w:r>
              <w:rPr>
                <w:sz w:val="24"/>
              </w:rPr>
              <w:t>=</w:t>
            </w:r>
          </w:p>
        </w:tc>
        <w:tc>
          <w:tcPr>
            <w:tcW w:w="9475" w:type="dxa"/>
            <w:tcBorders/>
            <w:vAlign w:val="center"/>
          </w:tcPr>
          <w:p>
            <w:pPr>
              <w:pStyle w:val="TableContents"/>
              <w:bidi w:val="0"/>
              <w:spacing w:before="0" w:after="0"/>
              <w:jc w:val="both"/>
              <w:rPr>
                <w:sz w:val="24"/>
              </w:rPr>
            </w:pPr>
            <w:r>
              <w:rPr>
                <w:sz w:val="24"/>
              </w:rPr>
              <w:t>the Conversion Rate in effect immediately after the Open of Business on such Ex-Dividend Date;</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i/>
                <w:sz w:val="24"/>
              </w:rPr>
            </w:pPr>
            <w:r>
              <w:rPr>
                <w:i/>
                <w:sz w:val="24"/>
              </w:rPr>
              <w:t>SP</w:t>
            </w:r>
          </w:p>
        </w:tc>
        <w:tc>
          <w:tcPr>
            <w:tcW w:w="155" w:type="dxa"/>
            <w:tcBorders/>
            <w:vAlign w:val="center"/>
          </w:tcPr>
          <w:p>
            <w:pPr>
              <w:pStyle w:val="TableContents"/>
              <w:bidi w:val="0"/>
              <w:spacing w:before="0" w:after="0"/>
              <w:jc w:val="both"/>
              <w:rPr>
                <w:sz w:val="24"/>
              </w:rPr>
            </w:pPr>
            <w:r>
              <w:rPr>
                <w:sz w:val="24"/>
              </w:rPr>
              <w:t>=</w:t>
            </w:r>
          </w:p>
        </w:tc>
        <w:tc>
          <w:tcPr>
            <w:tcW w:w="9475" w:type="dxa"/>
            <w:tcBorders/>
            <w:vAlign w:val="center"/>
          </w:tcPr>
          <w:p>
            <w:pPr>
              <w:pStyle w:val="TableContents"/>
              <w:bidi w:val="0"/>
              <w:spacing w:before="0" w:after="0"/>
              <w:jc w:val="both"/>
              <w:rPr>
                <w:sz w:val="24"/>
              </w:rPr>
            </w:pPr>
            <w:r>
              <w:rPr>
                <w:sz w:val="24"/>
              </w:rPr>
              <w:t>the average of the Last Reported Sale Prices per Ordinary Share for the ten (10) consecutive Trading Days ending on, and including, the Trading Day immediately before such Ex-Dividend Date; and</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i/>
                <w:sz w:val="24"/>
              </w:rPr>
            </w:pPr>
            <w:r>
              <w:rPr>
                <w:i/>
                <w:sz w:val="24"/>
              </w:rPr>
              <w:t>FMV</w:t>
            </w:r>
          </w:p>
        </w:tc>
        <w:tc>
          <w:tcPr>
            <w:tcW w:w="155" w:type="dxa"/>
            <w:tcBorders/>
            <w:vAlign w:val="center"/>
          </w:tcPr>
          <w:p>
            <w:pPr>
              <w:pStyle w:val="TableContents"/>
              <w:bidi w:val="0"/>
              <w:spacing w:before="0" w:after="0"/>
              <w:jc w:val="both"/>
              <w:rPr>
                <w:sz w:val="24"/>
              </w:rPr>
            </w:pPr>
            <w:r>
              <w:rPr>
                <w:sz w:val="24"/>
              </w:rPr>
              <w:t>=</w:t>
            </w:r>
          </w:p>
        </w:tc>
        <w:tc>
          <w:tcPr>
            <w:tcW w:w="9475" w:type="dxa"/>
            <w:tcBorders/>
            <w:vAlign w:val="center"/>
          </w:tcPr>
          <w:p>
            <w:pPr>
              <w:pStyle w:val="TableContents"/>
              <w:bidi w:val="0"/>
              <w:spacing w:before="0" w:after="0"/>
              <w:jc w:val="both"/>
              <w:rPr>
                <w:sz w:val="24"/>
              </w:rPr>
            </w:pPr>
            <w:r>
              <w:rPr>
                <w:sz w:val="24"/>
              </w:rPr>
              <w:t>the fair market value (as determined by the Company in good faith and in a commercially reasonable manner), as of such Ex-Dividend Date, of the shares of Capital Stock, evidences of indebtedness, assets, property, rights, options or warrants distributed per Ordinary Share pursuant to such distribution;</w:t>
            </w:r>
          </w:p>
        </w:tc>
      </w:tr>
    </w:tbl>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w:t>
      </w:r>
      <w:r>
        <w:rPr>
          <w:rFonts w:ascii="Times New Roman" w:hAnsi="Times New Roman"/>
          <w:i/>
          <w:color w:val="000000"/>
          <w:sz w:val="24"/>
        </w:rPr>
        <w:t>FMV</w:t>
      </w:r>
      <w:r>
        <w:rPr>
          <w:rFonts w:ascii="Times New Roman" w:hAnsi="Times New Roman"/>
          <w:color w:val="000000"/>
          <w:sz w:val="24"/>
        </w:rPr>
        <w:t xml:space="preserve"> is equal to or greater than </w:t>
      </w:r>
      <w:r>
        <w:rPr>
          <w:rFonts w:ascii="Times New Roman" w:hAnsi="Times New Roman"/>
          <w:i/>
          <w:color w:val="000000"/>
          <w:sz w:val="24"/>
        </w:rPr>
        <w:t>SP</w:t>
      </w:r>
      <w:r>
        <w:rPr>
          <w:rFonts w:ascii="Times New Roman" w:hAnsi="Times New Roman"/>
          <w:color w:val="000000"/>
          <w:sz w:val="24"/>
        </w:rPr>
        <w:t>, then, in lieu of the foregoing adjustment to the Conversion Rate, each Holder will receive, for each $1,000 principal amount of Notes held by such Holder on the record date for such distribution, at the same time and on the same terms as holders of Ordinary Shares, the amount and kind of shares of Capital Stock, evidences of indebtedness, assets, property, rights, options or warrants that such Holder would have received in such distribution if such Holder had owned, on such record date, a number of Ordinary Shares equal to the Conversion Rate in effect on such record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- 58 -</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To the extent such distribution is not so paid or made, the Conversion Rate will be readjusted to the Conversion Rate that would then be in effect had the adjustment been made on the basis of only the distribution, if any, actually made or paid.</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i/>
          <w:color w:val="000000"/>
          <w:sz w:val="24"/>
        </w:rPr>
        <w:t>Spin-Offs</w:t>
      </w:r>
      <w:r>
        <w:rPr>
          <w:rFonts w:ascii="Times New Roman" w:hAnsi="Times New Roman"/>
          <w:color w:val="000000"/>
          <w:sz w:val="24"/>
        </w:rPr>
        <w:t xml:space="preserve">. If the Company distributes or dividends shares of Capital Stock of any class or series, or similar equity interests, of or relating to an Affiliate, a Subsidiary or other business unit of the Company to all or substantially all holders of the Ordinary Shares (other than solely pursuant to (x) an Ordinary Share Change Event, as to which </w:t>
      </w:r>
      <w:r>
        <w:rPr>
          <w:rFonts w:ascii="Times New Roman" w:hAnsi="Times New Roman"/>
          <w:b/>
          <w:color w:val="000000"/>
          <w:sz w:val="24"/>
        </w:rPr>
        <w:t>Section 5.09</w:t>
      </w:r>
      <w:r>
        <w:rPr>
          <w:rFonts w:ascii="Times New Roman" w:hAnsi="Times New Roman"/>
          <w:color w:val="000000"/>
          <w:sz w:val="24"/>
        </w:rPr>
        <w:t xml:space="preserve"> will apply; or (y) a tender offer or exchange offer for Ordinary Shares, as to which </w:t>
      </w:r>
      <w:r>
        <w:rPr>
          <w:rFonts w:ascii="Times New Roman" w:hAnsi="Times New Roman"/>
          <w:b/>
          <w:color w:val="000000"/>
          <w:sz w:val="24"/>
        </w:rPr>
        <w:t>Section 5.05(A)(v)</w:t>
      </w:r>
      <w:r>
        <w:rPr>
          <w:rFonts w:ascii="Times New Roman" w:hAnsi="Times New Roman"/>
          <w:color w:val="000000"/>
          <w:sz w:val="24"/>
        </w:rPr>
        <w:t xml:space="preserve"> will apply), and such Capital Stock or equity interests are listed or quoted (or will be listed or quoted upon the consummation of the transaction) on a U.S. national securities exchange (a “</w:t>
      </w:r>
      <w:r>
        <w:rPr>
          <w:rFonts w:ascii="Times New Roman" w:hAnsi="Times New Roman"/>
          <w:b/>
          <w:color w:val="000000"/>
          <w:sz w:val="24"/>
        </w:rPr>
        <w:t>Spin-Off</w:t>
      </w:r>
      <w:r>
        <w:rPr>
          <w:rFonts w:ascii="Times New Roman" w:hAnsi="Times New Roman"/>
          <w:color w:val="000000"/>
          <w:sz w:val="24"/>
        </w:rPr>
        <w:t>”), then the Conversion Rate will be increased based on the following formula:</w:t>
      </w:r>
    </w:p>
    <w:p>
      <w:pPr>
        <w:pStyle w:val="TextBody"/>
        <w:bidi w:val="0"/>
        <w:spacing w:before="0" w:after="0"/>
        <w:jc w:val="left"/>
        <w:rPr>
          <w:color w:val="000000"/>
        </w:rPr>
      </w:pPr>
      <w:r>
        <w:rPr>
          <w:color w:val="000000"/>
        </w:rPr>
        <w:t> </w:t>
      </w:r>
    </w:p>
    <w:p>
      <w:pPr>
        <w:pStyle w:val="TextBody"/>
        <w:bidi w:val="0"/>
        <w:spacing w:before="0" w:after="0"/>
        <w:ind w:left="1440" w:right="0" w:hanging="0"/>
        <w:jc w:val="center"/>
        <w:rPr>
          <w:color w:val="000000"/>
        </w:rPr>
      </w:pPr>
      <w:r>
        <w:rPr>
          <w:color w:val="000000"/>
        </w:rPr>
        <w:drawing>
          <wp:inline distT="0" distB="0" distL="0" distR="0">
            <wp:extent cx="1466850"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6850" cy="38100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e512af03cb3843cbb8ef7550567c1dc6"/>
      <w:bookmarkStart w:id="47" w:name="ze512af03cb3843cbb8ef7550567c1dc6"/>
      <w:bookmarkEnd w:id="47"/>
    </w:p>
    <w:tbl>
      <w:tblPr>
        <w:tblW w:w="10205" w:type="dxa"/>
        <w:jc w:val="left"/>
        <w:tblInd w:w="0" w:type="dxa"/>
        <w:tblLayout w:type="fixed"/>
        <w:tblCellMar>
          <w:top w:w="0" w:type="dxa"/>
          <w:left w:w="0" w:type="dxa"/>
          <w:bottom w:w="0" w:type="dxa"/>
          <w:right w:w="0" w:type="dxa"/>
        </w:tblCellMar>
      </w:tblPr>
      <w:tblGrid>
        <w:gridCol w:w="60"/>
        <w:gridCol w:w="515"/>
        <w:gridCol w:w="155"/>
        <w:gridCol w:w="9475"/>
      </w:tblGrid>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240" w:before="0" w:after="0"/>
              <w:jc w:val="both"/>
              <w:rPr>
                <w:i/>
                <w:sz w:val="24"/>
              </w:rPr>
            </w:pPr>
            <w:r>
              <w:rPr>
                <w:i/>
                <w:sz w:val="24"/>
              </w:rPr>
              <w:t>CR0</w:t>
            </w:r>
          </w:p>
        </w:tc>
        <w:tc>
          <w:tcPr>
            <w:tcW w:w="155" w:type="dxa"/>
            <w:tcBorders/>
            <w:vAlign w:val="center"/>
          </w:tcPr>
          <w:p>
            <w:pPr>
              <w:pStyle w:val="TableContents"/>
              <w:bidi w:val="0"/>
              <w:spacing w:before="0" w:after="0"/>
              <w:jc w:val="both"/>
              <w:rPr>
                <w:sz w:val="24"/>
              </w:rPr>
            </w:pPr>
            <w:r>
              <w:rPr>
                <w:sz w:val="24"/>
              </w:rPr>
              <w:t>=</w:t>
            </w:r>
          </w:p>
        </w:tc>
        <w:tc>
          <w:tcPr>
            <w:tcW w:w="9475" w:type="dxa"/>
            <w:tcBorders/>
            <w:vAlign w:val="center"/>
          </w:tcPr>
          <w:p>
            <w:pPr>
              <w:pStyle w:val="TableContents"/>
              <w:bidi w:val="0"/>
              <w:spacing w:before="0" w:after="0"/>
              <w:jc w:val="both"/>
              <w:rPr>
                <w:sz w:val="24"/>
              </w:rPr>
            </w:pPr>
            <w:r>
              <w:rPr>
                <w:sz w:val="24"/>
              </w:rPr>
              <w:t>the Conversion Rate in effect immediately before the Close of Business on the last Trading Day of the Spin-Off Valuation Period for such Spin-Off;</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240" w:before="0" w:after="0"/>
              <w:jc w:val="both"/>
              <w:rPr>
                <w:i/>
                <w:sz w:val="24"/>
              </w:rPr>
            </w:pPr>
            <w:r>
              <w:rPr>
                <w:i/>
                <w:sz w:val="24"/>
              </w:rPr>
              <w:t>CR1</w:t>
            </w:r>
          </w:p>
        </w:tc>
        <w:tc>
          <w:tcPr>
            <w:tcW w:w="155" w:type="dxa"/>
            <w:tcBorders/>
            <w:vAlign w:val="center"/>
          </w:tcPr>
          <w:p>
            <w:pPr>
              <w:pStyle w:val="TableContents"/>
              <w:bidi w:val="0"/>
              <w:spacing w:before="0" w:after="0"/>
              <w:jc w:val="both"/>
              <w:rPr>
                <w:sz w:val="24"/>
              </w:rPr>
            </w:pPr>
            <w:r>
              <w:rPr>
                <w:sz w:val="24"/>
              </w:rPr>
              <w:t>=</w:t>
            </w:r>
          </w:p>
        </w:tc>
        <w:tc>
          <w:tcPr>
            <w:tcW w:w="9475" w:type="dxa"/>
            <w:tcBorders/>
            <w:vAlign w:val="center"/>
          </w:tcPr>
          <w:p>
            <w:pPr>
              <w:pStyle w:val="TableContents"/>
              <w:bidi w:val="0"/>
              <w:spacing w:before="0" w:after="0"/>
              <w:jc w:val="both"/>
              <w:rPr>
                <w:sz w:val="24"/>
              </w:rPr>
            </w:pPr>
            <w:r>
              <w:rPr>
                <w:sz w:val="24"/>
              </w:rPr>
              <w:t>the Conversion Rate in effect immediately after the Close of Business on the last Trading Day of the Spin-Off Valuation Period;</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i/>
                <w:sz w:val="24"/>
              </w:rPr>
            </w:pPr>
            <w:r>
              <w:rPr>
                <w:i/>
                <w:sz w:val="24"/>
              </w:rPr>
              <w:t>FMV</w:t>
            </w:r>
          </w:p>
        </w:tc>
        <w:tc>
          <w:tcPr>
            <w:tcW w:w="155" w:type="dxa"/>
            <w:tcBorders/>
            <w:vAlign w:val="center"/>
          </w:tcPr>
          <w:p>
            <w:pPr>
              <w:pStyle w:val="TableContents"/>
              <w:bidi w:val="0"/>
              <w:spacing w:before="0" w:after="0"/>
              <w:jc w:val="both"/>
              <w:rPr>
                <w:sz w:val="24"/>
              </w:rPr>
            </w:pPr>
            <w:r>
              <w:rPr>
                <w:sz w:val="24"/>
              </w:rPr>
              <w:t>=</w:t>
            </w:r>
          </w:p>
        </w:tc>
        <w:tc>
          <w:tcPr>
            <w:tcW w:w="9475" w:type="dxa"/>
            <w:tcBorders/>
            <w:vAlign w:val="center"/>
          </w:tcPr>
          <w:p>
            <w:pPr>
              <w:pStyle w:val="TableContents"/>
              <w:bidi w:val="0"/>
              <w:spacing w:before="0" w:after="0"/>
              <w:jc w:val="both"/>
              <w:rPr>
                <w:sz w:val="24"/>
              </w:rPr>
            </w:pPr>
            <w:r>
              <w:rPr>
                <w:sz w:val="24"/>
              </w:rPr>
              <w:t>the product of (x) the average of the Last Reported Sale Prices per share or unit of the Capital Stock or equity interests distributed in such Spin-Off over the ten (10) consecutive Trading Day period (the “</w:t>
            </w:r>
            <w:r>
              <w:rPr>
                <w:b/>
                <w:sz w:val="24"/>
              </w:rPr>
              <w:t>Spin-Off Valuation Period</w:t>
            </w:r>
            <w:r>
              <w:rPr>
                <w:sz w:val="24"/>
              </w:rPr>
              <w:t>”) beginning on, and including, the Ex-Dividend Date for such Spin-Off (such average to be determined as if references to Ordinary Shares in the definitions of Last Reported Sale Price, Trading Day and Market Disruption Event were instead references to such Capital Stock or equity interests); and (y) the number of shares or units of such Capital Stock or equity interests distributed per Ordinary Share in such Spin-Off; and</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i/>
                <w:sz w:val="24"/>
              </w:rPr>
            </w:pPr>
            <w:r>
              <w:rPr>
                <w:i/>
                <w:sz w:val="24"/>
              </w:rPr>
              <w:t>SP</w:t>
            </w:r>
          </w:p>
        </w:tc>
        <w:tc>
          <w:tcPr>
            <w:tcW w:w="155" w:type="dxa"/>
            <w:tcBorders/>
            <w:vAlign w:val="center"/>
          </w:tcPr>
          <w:p>
            <w:pPr>
              <w:pStyle w:val="TableContents"/>
              <w:bidi w:val="0"/>
              <w:spacing w:before="0" w:after="0"/>
              <w:jc w:val="both"/>
              <w:rPr>
                <w:sz w:val="24"/>
              </w:rPr>
            </w:pPr>
            <w:r>
              <w:rPr>
                <w:sz w:val="24"/>
              </w:rPr>
              <w:t>=</w:t>
            </w:r>
          </w:p>
        </w:tc>
        <w:tc>
          <w:tcPr>
            <w:tcW w:w="9475" w:type="dxa"/>
            <w:tcBorders/>
            <w:vAlign w:val="center"/>
          </w:tcPr>
          <w:p>
            <w:pPr>
              <w:pStyle w:val="TableContents"/>
              <w:bidi w:val="0"/>
              <w:spacing w:before="0" w:after="0"/>
              <w:jc w:val="both"/>
              <w:rPr>
                <w:sz w:val="24"/>
              </w:rPr>
            </w:pPr>
            <w:r>
              <w:rPr>
                <w:sz w:val="24"/>
              </w:rPr>
              <w:t>the average of the Last Reported Sale Prices per Ordinary Share for each Trading Day in the Spin-Off Valuation Period.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- 59 -</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 xml:space="preserve">Notwithstanding anything to the contrary in this </w:t>
      </w:r>
      <w:r>
        <w:rPr>
          <w:rFonts w:ascii="Times New Roman" w:hAnsi="Times New Roman"/>
          <w:b/>
          <w:color w:val="000000"/>
          <w:sz w:val="24"/>
        </w:rPr>
        <w:t>Section 5.05(A)(iii)(2)</w:t>
      </w:r>
      <w:r>
        <w:rPr>
          <w:rFonts w:ascii="Times New Roman" w:hAnsi="Times New Roman"/>
          <w:color w:val="000000"/>
          <w:sz w:val="24"/>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 xml:space="preserve">To the extent any dividend or distribution of the type set forth in this </w:t>
      </w:r>
      <w:r>
        <w:rPr>
          <w:rFonts w:ascii="Times New Roman" w:hAnsi="Times New Roman"/>
          <w:b/>
          <w:color w:val="000000"/>
          <w:sz w:val="24"/>
        </w:rPr>
        <w:t>Section 5.05(A)(iii)(2)</w:t>
      </w:r>
      <w:r>
        <w:rPr>
          <w:rFonts w:ascii="Times New Roman" w:hAnsi="Times New Roman"/>
          <w:color w:val="000000"/>
          <w:sz w:val="24"/>
        </w:rPr>
        <w:t xml:space="preserve">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Cash Dividends or Distributions</w:t>
      </w:r>
      <w:r>
        <w:rPr>
          <w:rFonts w:ascii="Times New Roman" w:hAnsi="Times New Roman"/>
          <w:color w:val="000000"/>
          <w:sz w:val="24"/>
        </w:rPr>
        <w:t>. If any cash dividend or distribution is made to all or substantially all holders of Ordinary Shares, then the Conversion Rate will be increased based on the following formula:</w:t>
      </w:r>
    </w:p>
    <w:p>
      <w:pPr>
        <w:pStyle w:val="TextBody"/>
        <w:bidi w:val="0"/>
        <w:spacing w:before="0" w:after="0"/>
        <w:jc w:val="left"/>
        <w:rPr>
          <w:color w:val="000000"/>
        </w:rPr>
      </w:pPr>
      <w:r>
        <w:rPr>
          <w:color w:val="000000"/>
        </w:rPr>
        <w:t> </w:t>
      </w:r>
    </w:p>
    <w:p>
      <w:pPr>
        <w:pStyle w:val="TextBody"/>
        <w:bidi w:val="0"/>
        <w:spacing w:before="0" w:after="0"/>
        <w:ind w:left="720" w:right="0" w:hanging="0"/>
        <w:jc w:val="center"/>
        <w:rPr>
          <w:color w:val="000000"/>
        </w:rPr>
      </w:pPr>
      <w:r>
        <w:rPr>
          <w:color w:val="000000"/>
        </w:rPr>
        <w:drawing>
          <wp:inline distT="0" distB="0" distL="0" distR="0">
            <wp:extent cx="12573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57300" cy="41910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5f8d7937aea0440c8c86fd4d2071d521"/>
      <w:bookmarkStart w:id="49" w:name="z5f8d7937aea0440c8c86fd4d2071d521"/>
      <w:bookmarkEnd w:id="49"/>
    </w:p>
    <w:tbl>
      <w:tblPr>
        <w:tblW w:w="10205" w:type="dxa"/>
        <w:jc w:val="left"/>
        <w:tblInd w:w="0" w:type="dxa"/>
        <w:tblLayout w:type="fixed"/>
        <w:tblCellMar>
          <w:top w:w="0" w:type="dxa"/>
          <w:left w:w="0" w:type="dxa"/>
          <w:bottom w:w="0" w:type="dxa"/>
          <w:right w:w="0" w:type="dxa"/>
        </w:tblCellMar>
      </w:tblPr>
      <w:tblGrid>
        <w:gridCol w:w="23"/>
        <w:gridCol w:w="455"/>
        <w:gridCol w:w="155"/>
        <w:gridCol w:w="9572"/>
      </w:tblGrid>
      <w:tr>
        <w:trPr/>
        <w:tc>
          <w:tcPr>
            <w:tcW w:w="23" w:type="dxa"/>
            <w:tcBorders/>
            <w:vAlign w:val="center"/>
          </w:tcPr>
          <w:p>
            <w:pPr>
              <w:pStyle w:val="TableContents"/>
              <w:bidi w:val="0"/>
              <w:spacing w:before="0" w:after="283"/>
              <w:jc w:val="left"/>
              <w:rPr/>
            </w:pPr>
            <w:r>
              <w:rPr/>
            </w:r>
          </w:p>
        </w:tc>
        <w:tc>
          <w:tcPr>
            <w:tcW w:w="455" w:type="dxa"/>
            <w:tcBorders/>
            <w:vAlign w:val="center"/>
          </w:tcPr>
          <w:p>
            <w:pPr>
              <w:pStyle w:val="TableContents"/>
              <w:bidi w:val="0"/>
              <w:spacing w:lineRule="auto" w:line="240" w:before="0" w:after="0"/>
              <w:jc w:val="both"/>
              <w:rPr>
                <w:i/>
                <w:sz w:val="24"/>
              </w:rPr>
            </w:pPr>
            <w:r>
              <w:rPr>
                <w:i/>
                <w:sz w:val="24"/>
              </w:rPr>
              <w:t>CR0</w:t>
            </w:r>
          </w:p>
        </w:tc>
        <w:tc>
          <w:tcPr>
            <w:tcW w:w="155" w:type="dxa"/>
            <w:tcBorders/>
            <w:vAlign w:val="center"/>
          </w:tcPr>
          <w:p>
            <w:pPr>
              <w:pStyle w:val="TableContents"/>
              <w:bidi w:val="0"/>
              <w:spacing w:before="0" w:after="0"/>
              <w:jc w:val="both"/>
              <w:rPr>
                <w:sz w:val="24"/>
              </w:rPr>
            </w:pPr>
            <w:r>
              <w:rPr>
                <w:sz w:val="24"/>
              </w:rPr>
              <w:t>=</w:t>
            </w:r>
          </w:p>
        </w:tc>
        <w:tc>
          <w:tcPr>
            <w:tcW w:w="9572" w:type="dxa"/>
            <w:tcBorders/>
            <w:vAlign w:val="center"/>
          </w:tcPr>
          <w:p>
            <w:pPr>
              <w:pStyle w:val="TableContents"/>
              <w:bidi w:val="0"/>
              <w:spacing w:before="0" w:after="0"/>
              <w:jc w:val="both"/>
              <w:rPr>
                <w:sz w:val="24"/>
              </w:rPr>
            </w:pPr>
            <w:r>
              <w:rPr>
                <w:sz w:val="24"/>
              </w:rPr>
              <w:t>the Conversion Rate in effect immediately before the Open of Business on the Ex-Dividend Date for such dividend or distribution;</w:t>
            </w:r>
          </w:p>
        </w:tc>
      </w:tr>
      <w:tr>
        <w:trPr/>
        <w:tc>
          <w:tcPr>
            <w:tcW w:w="23" w:type="dxa"/>
            <w:tcBorders/>
            <w:vAlign w:val="center"/>
          </w:tcPr>
          <w:p>
            <w:pPr>
              <w:pStyle w:val="TableContents"/>
              <w:bidi w:val="0"/>
              <w:spacing w:before="0" w:after="283"/>
              <w:jc w:val="left"/>
              <w:rPr/>
            </w:pPr>
            <w:r>
              <w:rPr/>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72"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455" w:type="dxa"/>
            <w:tcBorders/>
            <w:vAlign w:val="center"/>
          </w:tcPr>
          <w:p>
            <w:pPr>
              <w:pStyle w:val="TableContents"/>
              <w:bidi w:val="0"/>
              <w:spacing w:lineRule="auto" w:line="240" w:before="0" w:after="0"/>
              <w:jc w:val="both"/>
              <w:rPr>
                <w:i/>
                <w:sz w:val="24"/>
              </w:rPr>
            </w:pPr>
            <w:r>
              <w:rPr>
                <w:i/>
                <w:sz w:val="24"/>
              </w:rPr>
              <w:t>CR1</w:t>
            </w:r>
          </w:p>
        </w:tc>
        <w:tc>
          <w:tcPr>
            <w:tcW w:w="155" w:type="dxa"/>
            <w:tcBorders/>
            <w:vAlign w:val="center"/>
          </w:tcPr>
          <w:p>
            <w:pPr>
              <w:pStyle w:val="TableContents"/>
              <w:bidi w:val="0"/>
              <w:spacing w:before="0" w:after="0"/>
              <w:jc w:val="both"/>
              <w:rPr>
                <w:sz w:val="24"/>
              </w:rPr>
            </w:pPr>
            <w:r>
              <w:rPr>
                <w:sz w:val="24"/>
              </w:rPr>
              <w:t>=</w:t>
            </w:r>
          </w:p>
        </w:tc>
        <w:tc>
          <w:tcPr>
            <w:tcW w:w="9572" w:type="dxa"/>
            <w:tcBorders/>
            <w:vAlign w:val="center"/>
          </w:tcPr>
          <w:p>
            <w:pPr>
              <w:pStyle w:val="TableContents"/>
              <w:bidi w:val="0"/>
              <w:spacing w:before="0" w:after="0"/>
              <w:jc w:val="both"/>
              <w:rPr>
                <w:sz w:val="24"/>
              </w:rPr>
            </w:pPr>
            <w:r>
              <w:rPr>
                <w:sz w:val="24"/>
              </w:rPr>
              <w:t>the Conversion Rate in effect immediately after the Open of Business on such Ex-Dividend Date;</w:t>
            </w:r>
          </w:p>
        </w:tc>
      </w:tr>
      <w:tr>
        <w:trPr/>
        <w:tc>
          <w:tcPr>
            <w:tcW w:w="23" w:type="dxa"/>
            <w:tcBorders/>
            <w:vAlign w:val="center"/>
          </w:tcPr>
          <w:p>
            <w:pPr>
              <w:pStyle w:val="TableContents"/>
              <w:bidi w:val="0"/>
              <w:spacing w:before="0" w:after="283"/>
              <w:jc w:val="left"/>
              <w:rPr/>
            </w:pPr>
            <w:r>
              <w:rPr/>
            </w:r>
          </w:p>
        </w:tc>
        <w:tc>
          <w:tcPr>
            <w:tcW w:w="455"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r>
          </w:p>
        </w:tc>
        <w:tc>
          <w:tcPr>
            <w:tcW w:w="9572"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455" w:type="dxa"/>
            <w:tcBorders/>
            <w:vAlign w:val="center"/>
          </w:tcPr>
          <w:p>
            <w:pPr>
              <w:pStyle w:val="TableContents"/>
              <w:bidi w:val="0"/>
              <w:spacing w:before="0" w:after="0"/>
              <w:jc w:val="both"/>
              <w:rPr>
                <w:i/>
                <w:sz w:val="24"/>
              </w:rPr>
            </w:pPr>
            <w:r>
              <w:rPr>
                <w:i/>
                <w:sz w:val="24"/>
              </w:rPr>
              <w:t>SP</w:t>
            </w:r>
          </w:p>
        </w:tc>
        <w:tc>
          <w:tcPr>
            <w:tcW w:w="155" w:type="dxa"/>
            <w:tcBorders/>
            <w:vAlign w:val="center"/>
          </w:tcPr>
          <w:p>
            <w:pPr>
              <w:pStyle w:val="TableContents"/>
              <w:bidi w:val="0"/>
              <w:spacing w:before="0" w:after="0"/>
              <w:jc w:val="both"/>
              <w:rPr>
                <w:sz w:val="24"/>
              </w:rPr>
            </w:pPr>
            <w:r>
              <w:rPr>
                <w:sz w:val="24"/>
              </w:rPr>
              <w:t>=</w:t>
            </w:r>
          </w:p>
        </w:tc>
        <w:tc>
          <w:tcPr>
            <w:tcW w:w="9572" w:type="dxa"/>
            <w:tcBorders/>
            <w:vAlign w:val="center"/>
          </w:tcPr>
          <w:p>
            <w:pPr>
              <w:pStyle w:val="TableContents"/>
              <w:bidi w:val="0"/>
              <w:spacing w:before="0" w:after="0"/>
              <w:jc w:val="both"/>
              <w:rPr>
                <w:sz w:val="24"/>
              </w:rPr>
            </w:pPr>
            <w:r>
              <w:rPr>
                <w:sz w:val="24"/>
              </w:rPr>
              <w:t>the Last Reported Sale Price per Ordinary Share on the Trading Day immediately before such Ex-Dividend Date; and</w:t>
            </w:r>
          </w:p>
        </w:tc>
      </w:tr>
      <w:tr>
        <w:trPr/>
        <w:tc>
          <w:tcPr>
            <w:tcW w:w="23" w:type="dxa"/>
            <w:tcBorders/>
            <w:vAlign w:val="center"/>
          </w:tcPr>
          <w:p>
            <w:pPr>
              <w:pStyle w:val="TableContents"/>
              <w:bidi w:val="0"/>
              <w:spacing w:before="0" w:after="283"/>
              <w:jc w:val="left"/>
              <w:rPr/>
            </w:pPr>
            <w:r>
              <w:rPr/>
            </w:r>
          </w:p>
        </w:tc>
        <w:tc>
          <w:tcPr>
            <w:tcW w:w="455"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r>
          </w:p>
        </w:tc>
        <w:tc>
          <w:tcPr>
            <w:tcW w:w="9572"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455" w:type="dxa"/>
            <w:tcBorders/>
            <w:vAlign w:val="center"/>
          </w:tcPr>
          <w:p>
            <w:pPr>
              <w:pStyle w:val="TableContents"/>
              <w:bidi w:val="0"/>
              <w:spacing w:before="0" w:after="0"/>
              <w:jc w:val="both"/>
              <w:rPr>
                <w:i/>
                <w:sz w:val="24"/>
              </w:rPr>
            </w:pPr>
            <w:r>
              <w:rPr>
                <w:i/>
                <w:sz w:val="24"/>
              </w:rPr>
              <w:t>D</w:t>
            </w:r>
          </w:p>
        </w:tc>
        <w:tc>
          <w:tcPr>
            <w:tcW w:w="155" w:type="dxa"/>
            <w:tcBorders/>
            <w:vAlign w:val="center"/>
          </w:tcPr>
          <w:p>
            <w:pPr>
              <w:pStyle w:val="TableContents"/>
              <w:bidi w:val="0"/>
              <w:spacing w:before="0" w:after="0"/>
              <w:jc w:val="both"/>
              <w:rPr>
                <w:sz w:val="24"/>
              </w:rPr>
            </w:pPr>
            <w:r>
              <w:rPr>
                <w:sz w:val="24"/>
              </w:rPr>
              <w:t>=</w:t>
            </w:r>
          </w:p>
        </w:tc>
        <w:tc>
          <w:tcPr>
            <w:tcW w:w="9572" w:type="dxa"/>
            <w:tcBorders/>
            <w:vAlign w:val="center"/>
          </w:tcPr>
          <w:p>
            <w:pPr>
              <w:pStyle w:val="TableContents"/>
              <w:bidi w:val="0"/>
              <w:spacing w:before="0" w:after="0"/>
              <w:jc w:val="both"/>
              <w:rPr>
                <w:sz w:val="24"/>
              </w:rPr>
            </w:pPr>
            <w:r>
              <w:rPr>
                <w:sz w:val="24"/>
              </w:rPr>
              <w:t>the cash amount distributed per Ordinary Share in such dividend or distribution;</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w:t>
      </w:r>
      <w:r>
        <w:rPr>
          <w:rFonts w:ascii="Times New Roman" w:hAnsi="Times New Roman"/>
          <w:i/>
          <w:color w:val="000000"/>
          <w:sz w:val="24"/>
        </w:rPr>
        <w:t>D</w:t>
      </w:r>
      <w:r>
        <w:rPr>
          <w:rFonts w:ascii="Times New Roman" w:hAnsi="Times New Roman"/>
          <w:color w:val="000000"/>
          <w:sz w:val="24"/>
        </w:rPr>
        <w:t xml:space="preserve"> is equal to or greater than </w:t>
      </w:r>
      <w:r>
        <w:rPr>
          <w:rFonts w:ascii="Times New Roman" w:hAnsi="Times New Roman"/>
          <w:i/>
          <w:color w:val="000000"/>
          <w:sz w:val="24"/>
        </w:rPr>
        <w:t>SP</w:t>
      </w:r>
      <w:r>
        <w:rPr>
          <w:rFonts w:ascii="Times New Roman" w:hAnsi="Times New Roman"/>
          <w:color w:val="000000"/>
          <w:sz w:val="24"/>
        </w:rPr>
        <w:t>, then, in lieu of the foregoing adjustment to the Conversion Rate, each Holder will receive, for each $1,000 principal amount of Notes held by such Holder on the record date for such dividend or distribution, at the same time and on the same terms as holders of Ordinary Shares, the amount of cash that such Holder would have received in such dividend or distribution if such Holder had owned, on such record date, a number of Ordinary Shares equal to the Conversion Rate in effect on such record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- 60 -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i/>
          <w:color w:val="000000"/>
          <w:sz w:val="24"/>
        </w:rPr>
        <w:t>Tender Offers or Exchange Offers</w:t>
      </w:r>
      <w:r>
        <w:rPr>
          <w:rFonts w:ascii="Times New Roman" w:hAnsi="Times New Roman"/>
          <w:color w:val="000000"/>
          <w:sz w:val="24"/>
        </w:rPr>
        <w:t>. If the Company or any of its Subsidiaries makes a payment in respect of a tender offer or exchange offer for Ordinary Shares (other than solely pursuant to an odd-lot tender offer pursuant to Rule 13e-4(h)(5) under the Exchange Act), and the value (determined as of the Expiration Time by the Company in good faith and in a commercially reasonable manner) of the cash and other consideration paid per Ordinary Share in such tender or exchange offer exceeds the Last Reported Sale Price per Ordinary Share on the Trading Day immediately after the last date (the “</w:t>
      </w:r>
      <w:r>
        <w:rPr>
          <w:rFonts w:ascii="Times New Roman" w:hAnsi="Times New Roman"/>
          <w:b/>
          <w:color w:val="000000"/>
          <w:sz w:val="24"/>
        </w:rPr>
        <w:t>Expiration Date</w:t>
      </w:r>
      <w:r>
        <w:rPr>
          <w:rFonts w:ascii="Times New Roman" w:hAnsi="Times New Roman"/>
          <w:color w:val="000000"/>
          <w:sz w:val="24"/>
        </w:rPr>
        <w:t>”) on which tenders or exchanges may be made pursuant to such tender or exchange offer (as it may be amended), then the Conversion Rate will be increased based on the following formula:</w:t>
      </w:r>
    </w:p>
    <w:p>
      <w:pPr>
        <w:pStyle w:val="TextBody"/>
        <w:bidi w:val="0"/>
        <w:spacing w:before="0" w:after="0"/>
        <w:jc w:val="left"/>
        <w:rPr>
          <w:color w:val="000000"/>
        </w:rPr>
      </w:pPr>
      <w:r>
        <w:rPr>
          <w:color w:val="000000"/>
        </w:rPr>
        <w:t> </w:t>
      </w:r>
    </w:p>
    <w:p>
      <w:pPr>
        <w:pStyle w:val="TextBody"/>
        <w:bidi w:val="0"/>
        <w:spacing w:before="0" w:after="0"/>
        <w:ind w:left="720" w:right="0" w:hanging="0"/>
        <w:jc w:val="center"/>
        <w:rPr>
          <w:color w:val="000000"/>
        </w:rPr>
      </w:pPr>
      <w:r>
        <w:rPr>
          <w:color w:val="000000"/>
        </w:rPr>
        <w:drawing>
          <wp:inline distT="0" distB="0" distL="0" distR="0">
            <wp:extent cx="1819275"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19275" cy="47625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1a5c100b8dc2439d9d89a38cc2f85a63"/>
      <w:bookmarkStart w:id="51" w:name="z1a5c100b8dc2439d9d89a38cc2f85a63"/>
      <w:bookmarkEnd w:id="51"/>
    </w:p>
    <w:tbl>
      <w:tblPr>
        <w:tblW w:w="10205" w:type="dxa"/>
        <w:jc w:val="left"/>
        <w:tblInd w:w="0" w:type="dxa"/>
        <w:tblLayout w:type="fixed"/>
        <w:tblCellMar>
          <w:top w:w="0" w:type="dxa"/>
          <w:left w:w="0" w:type="dxa"/>
          <w:bottom w:w="0" w:type="dxa"/>
          <w:right w:w="0" w:type="dxa"/>
        </w:tblCellMar>
      </w:tblPr>
      <w:tblGrid>
        <w:gridCol w:w="75"/>
        <w:gridCol w:w="455"/>
        <w:gridCol w:w="155"/>
        <w:gridCol w:w="9520"/>
      </w:tblGrid>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CR0</w:t>
            </w:r>
          </w:p>
        </w:tc>
        <w:tc>
          <w:tcPr>
            <w:tcW w:w="155" w:type="dxa"/>
            <w:tcBorders/>
            <w:vAlign w:val="center"/>
          </w:tcPr>
          <w:p>
            <w:pPr>
              <w:pStyle w:val="TableContents"/>
              <w:bidi w:val="0"/>
              <w:spacing w:before="0" w:after="0"/>
              <w:jc w:val="both"/>
              <w:rPr>
                <w:sz w:val="24"/>
              </w:rPr>
            </w:pPr>
            <w:r>
              <w:rPr>
                <w:sz w:val="24"/>
              </w:rPr>
              <w:t>=</w:t>
            </w:r>
          </w:p>
        </w:tc>
        <w:tc>
          <w:tcPr>
            <w:tcW w:w="9520" w:type="dxa"/>
            <w:tcBorders/>
            <w:vAlign w:val="center"/>
          </w:tcPr>
          <w:p>
            <w:pPr>
              <w:pStyle w:val="TableContents"/>
              <w:bidi w:val="0"/>
              <w:spacing w:before="0" w:after="0"/>
              <w:jc w:val="both"/>
              <w:rPr>
                <w:sz w:val="24"/>
              </w:rPr>
            </w:pPr>
            <w:r>
              <w:rPr>
                <w:sz w:val="24"/>
              </w:rPr>
              <w:t>the Conversion Rate in effect immediately before the Close of Business on the last Trading Day of the Tender/Exchange Offer Valuation Period for such tender or exchange offer;</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CR1</w:t>
            </w:r>
          </w:p>
        </w:tc>
        <w:tc>
          <w:tcPr>
            <w:tcW w:w="155" w:type="dxa"/>
            <w:tcBorders/>
            <w:vAlign w:val="center"/>
          </w:tcPr>
          <w:p>
            <w:pPr>
              <w:pStyle w:val="TableContents"/>
              <w:bidi w:val="0"/>
              <w:spacing w:before="0" w:after="0"/>
              <w:jc w:val="both"/>
              <w:rPr>
                <w:sz w:val="24"/>
              </w:rPr>
            </w:pPr>
            <w:r>
              <w:rPr>
                <w:sz w:val="24"/>
              </w:rPr>
              <w:t>=</w:t>
            </w:r>
          </w:p>
        </w:tc>
        <w:tc>
          <w:tcPr>
            <w:tcW w:w="9520" w:type="dxa"/>
            <w:tcBorders/>
            <w:vAlign w:val="center"/>
          </w:tcPr>
          <w:p>
            <w:pPr>
              <w:pStyle w:val="TableContents"/>
              <w:bidi w:val="0"/>
              <w:spacing w:before="0" w:after="0"/>
              <w:jc w:val="both"/>
              <w:rPr>
                <w:sz w:val="24"/>
              </w:rPr>
            </w:pPr>
            <w:r>
              <w:rPr>
                <w:sz w:val="24"/>
              </w:rPr>
              <w:t>the Conversion Rate in effect immediately after the Close of Business on the last Trading Day of the Tender/Exchange Offer Valuation Period;</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both"/>
              <w:rPr>
                <w:i/>
                <w:sz w:val="24"/>
              </w:rPr>
            </w:pPr>
            <w:r>
              <w:rPr>
                <w:i/>
                <w:sz w:val="24"/>
              </w:rPr>
              <w:t>AC</w:t>
            </w:r>
          </w:p>
        </w:tc>
        <w:tc>
          <w:tcPr>
            <w:tcW w:w="155" w:type="dxa"/>
            <w:tcBorders/>
            <w:vAlign w:val="center"/>
          </w:tcPr>
          <w:p>
            <w:pPr>
              <w:pStyle w:val="TableContents"/>
              <w:bidi w:val="0"/>
              <w:spacing w:before="0" w:after="0"/>
              <w:jc w:val="both"/>
              <w:rPr>
                <w:sz w:val="24"/>
              </w:rPr>
            </w:pPr>
            <w:r>
              <w:rPr>
                <w:sz w:val="24"/>
              </w:rPr>
              <w:t>=</w:t>
            </w:r>
          </w:p>
        </w:tc>
        <w:tc>
          <w:tcPr>
            <w:tcW w:w="9520" w:type="dxa"/>
            <w:tcBorders/>
            <w:vAlign w:val="center"/>
          </w:tcPr>
          <w:p>
            <w:pPr>
              <w:pStyle w:val="TableContents"/>
              <w:bidi w:val="0"/>
              <w:spacing w:before="0" w:after="0"/>
              <w:jc w:val="both"/>
              <w:rPr>
                <w:sz w:val="24"/>
              </w:rPr>
            </w:pPr>
            <w:r>
              <w:rPr>
                <w:sz w:val="24"/>
              </w:rPr>
              <w:t>the aggregate value (determined as of the time (the “</w:t>
            </w:r>
            <w:r>
              <w:rPr>
                <w:b/>
                <w:sz w:val="24"/>
              </w:rPr>
              <w:t>Expiration Time</w:t>
            </w:r>
            <w:r>
              <w:rPr>
                <w:sz w:val="24"/>
              </w:rPr>
              <w:t>”) such tender or exchange offer expires by the Company in good faith and in a commercially reasonable manner) of all cash and other consideration paid for Ordinary Shares purchased or exchanged in such tender or exchange offer;</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OS0</w:t>
            </w:r>
          </w:p>
        </w:tc>
        <w:tc>
          <w:tcPr>
            <w:tcW w:w="155" w:type="dxa"/>
            <w:tcBorders/>
            <w:vAlign w:val="center"/>
          </w:tcPr>
          <w:p>
            <w:pPr>
              <w:pStyle w:val="TableContents"/>
              <w:bidi w:val="0"/>
              <w:spacing w:before="0" w:after="0"/>
              <w:jc w:val="both"/>
              <w:rPr>
                <w:sz w:val="24"/>
              </w:rPr>
            </w:pPr>
            <w:r>
              <w:rPr>
                <w:sz w:val="24"/>
              </w:rPr>
              <w:t>=</w:t>
            </w:r>
          </w:p>
        </w:tc>
        <w:tc>
          <w:tcPr>
            <w:tcW w:w="9520" w:type="dxa"/>
            <w:tcBorders/>
            <w:vAlign w:val="center"/>
          </w:tcPr>
          <w:p>
            <w:pPr>
              <w:pStyle w:val="TableContents"/>
              <w:bidi w:val="0"/>
              <w:spacing w:before="0" w:after="0"/>
              <w:jc w:val="both"/>
              <w:rPr>
                <w:sz w:val="24"/>
              </w:rPr>
            </w:pPr>
            <w:r>
              <w:rPr>
                <w:sz w:val="24"/>
              </w:rPr>
              <w:t>the number of Ordinary Shares outstanding immediately before the Expiration Time (including all Ordinary Shares accepted for purchase or exchange in such tender or exchange offer);</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0"/>
              <w:jc w:val="both"/>
              <w:rPr>
                <w:i/>
                <w:sz w:val="24"/>
              </w:rPr>
            </w:pPr>
            <w:r>
              <w:rPr>
                <w:i/>
                <w:sz w:val="24"/>
              </w:rPr>
              <w:t>OS1</w:t>
            </w:r>
          </w:p>
        </w:tc>
        <w:tc>
          <w:tcPr>
            <w:tcW w:w="155" w:type="dxa"/>
            <w:tcBorders/>
            <w:vAlign w:val="center"/>
          </w:tcPr>
          <w:p>
            <w:pPr>
              <w:pStyle w:val="TableContents"/>
              <w:bidi w:val="0"/>
              <w:spacing w:before="0" w:after="0"/>
              <w:jc w:val="both"/>
              <w:rPr>
                <w:sz w:val="24"/>
              </w:rPr>
            </w:pPr>
            <w:r>
              <w:rPr>
                <w:sz w:val="24"/>
              </w:rPr>
              <w:t>=</w:t>
            </w:r>
          </w:p>
        </w:tc>
        <w:tc>
          <w:tcPr>
            <w:tcW w:w="9520" w:type="dxa"/>
            <w:tcBorders/>
            <w:vAlign w:val="center"/>
          </w:tcPr>
          <w:p>
            <w:pPr>
              <w:pStyle w:val="TableContents"/>
              <w:bidi w:val="0"/>
              <w:spacing w:before="0" w:after="0"/>
              <w:jc w:val="both"/>
              <w:rPr>
                <w:sz w:val="24"/>
              </w:rPr>
            </w:pPr>
            <w:r>
              <w:rPr>
                <w:sz w:val="24"/>
              </w:rPr>
              <w:t>the number of Ordinary Shares outstanding immediately after the Expiration Time (excluding all Ordinary Shares accepted for purchase or exchange in such tender or exchange offer); and</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both"/>
              <w:rPr>
                <w:i/>
                <w:sz w:val="24"/>
              </w:rPr>
            </w:pPr>
            <w:r>
              <w:rPr>
                <w:i/>
                <w:sz w:val="24"/>
              </w:rPr>
              <w:t>SP</w:t>
            </w:r>
          </w:p>
        </w:tc>
        <w:tc>
          <w:tcPr>
            <w:tcW w:w="155" w:type="dxa"/>
            <w:tcBorders/>
            <w:vAlign w:val="center"/>
          </w:tcPr>
          <w:p>
            <w:pPr>
              <w:pStyle w:val="TableContents"/>
              <w:bidi w:val="0"/>
              <w:spacing w:before="0" w:after="0"/>
              <w:jc w:val="both"/>
              <w:rPr>
                <w:sz w:val="24"/>
              </w:rPr>
            </w:pPr>
            <w:r>
              <w:rPr>
                <w:sz w:val="24"/>
              </w:rPr>
              <w:t>=</w:t>
            </w:r>
          </w:p>
        </w:tc>
        <w:tc>
          <w:tcPr>
            <w:tcW w:w="9520" w:type="dxa"/>
            <w:tcBorders/>
            <w:vAlign w:val="center"/>
          </w:tcPr>
          <w:p>
            <w:pPr>
              <w:pStyle w:val="TableContents"/>
              <w:bidi w:val="0"/>
              <w:spacing w:before="0" w:after="0"/>
              <w:jc w:val="both"/>
              <w:rPr>
                <w:sz w:val="24"/>
              </w:rPr>
            </w:pPr>
            <w:r>
              <w:rPr>
                <w:sz w:val="24"/>
              </w:rPr>
              <w:t>the average of the Last Reported Sale Prices per Ordinary Share over the ten (10) consecutive Trading Day period (the “</w:t>
            </w:r>
            <w:r>
              <w:rPr>
                <w:b/>
                <w:sz w:val="24"/>
              </w:rPr>
              <w:t>Tender/Exchange Offer Valuation Period</w:t>
            </w:r>
            <w:r>
              <w:rPr>
                <w:sz w:val="24"/>
              </w:rPr>
              <w:t>”) beginning on, and including, the Trading Day immediately after the Expiration Date;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- 61 -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Conversion Rate will in no event be adjusted down pursuant to this </w:t>
      </w:r>
      <w:r>
        <w:rPr>
          <w:rFonts w:ascii="Times New Roman" w:hAnsi="Times New Roman"/>
          <w:b/>
          <w:color w:val="000000"/>
          <w:sz w:val="24"/>
        </w:rPr>
        <w:t>Section 5.05(A)(v)</w:t>
      </w:r>
      <w:r>
        <w:rPr>
          <w:rFonts w:ascii="Times New Roman" w:hAnsi="Times New Roman"/>
          <w:color w:val="000000"/>
          <w:sz w:val="24"/>
        </w:rPr>
        <w:t xml:space="preserve">, except to the extent provided in the immediately following paragraph. Notwithstanding anything to the contrary in this </w:t>
      </w:r>
      <w:r>
        <w:rPr>
          <w:rFonts w:ascii="Times New Roman" w:hAnsi="Times New Roman"/>
          <w:b/>
          <w:color w:val="000000"/>
          <w:sz w:val="24"/>
        </w:rPr>
        <w:t>Section 5.05(A)(v)</w:t>
      </w:r>
      <w:r>
        <w:rPr>
          <w:rFonts w:ascii="Times New Roman" w:hAnsi="Times New Roman"/>
          <w:color w:val="000000"/>
          <w:sz w:val="24"/>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To the extent such tender or exchange offer is announced but not consummated (including as a result of being precluded from consummating such tender or exchange offer under applicable law), or any purchases or exchanges of Ordinary Shares in such tender or exchange offer are rescinded, the Conversion Rate will be readjusted to the Conversion Rate that would then be in effect had the adjustment been made on the basis of only the purchases or exchanges of Ordinary Shares, if any, actually made, and not rescinded, in such tender or exchange offer.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No Adjustments in Certain Cases</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Where Holders Participate in the Transaction or Event Without Conversion</w:t>
      </w:r>
      <w:r>
        <w:rPr>
          <w:rFonts w:ascii="Times New Roman" w:hAnsi="Times New Roman"/>
          <w:color w:val="000000"/>
          <w:sz w:val="24"/>
        </w:rPr>
        <w:t xml:space="preserve">. Notwithstanding anything to the contrary in </w:t>
      </w:r>
      <w:r>
        <w:rPr>
          <w:rFonts w:ascii="Times New Roman" w:hAnsi="Times New Roman"/>
          <w:b/>
          <w:color w:val="000000"/>
          <w:sz w:val="24"/>
        </w:rPr>
        <w:t>Section 5.05(A)</w:t>
      </w:r>
      <w:r>
        <w:rPr>
          <w:rFonts w:ascii="Times New Roman" w:hAnsi="Times New Roman"/>
          <w:color w:val="000000"/>
          <w:sz w:val="24"/>
        </w:rPr>
        <w:t xml:space="preserve">, the Company will not be obligated to adjust the Conversion Rate on account of a transaction or other event otherwise requiring an adjustment pursuant to </w:t>
      </w:r>
      <w:r>
        <w:rPr>
          <w:rFonts w:ascii="Times New Roman" w:hAnsi="Times New Roman"/>
          <w:b/>
          <w:color w:val="000000"/>
          <w:sz w:val="24"/>
        </w:rPr>
        <w:t>Section 5.05(A)</w:t>
      </w:r>
      <w:r>
        <w:rPr>
          <w:rFonts w:ascii="Times New Roman" w:hAnsi="Times New Roman"/>
          <w:color w:val="000000"/>
          <w:sz w:val="24"/>
        </w:rPr>
        <w:t xml:space="preserve"> (other than a share split or combination of the type set forth in </w:t>
      </w:r>
      <w:r>
        <w:rPr>
          <w:rFonts w:ascii="Times New Roman" w:hAnsi="Times New Roman"/>
          <w:b/>
          <w:color w:val="000000"/>
          <w:sz w:val="24"/>
        </w:rPr>
        <w:t>Section 5.05(A)(i)</w:t>
      </w:r>
      <w:r>
        <w:rPr>
          <w:rFonts w:ascii="Times New Roman" w:hAnsi="Times New Roman"/>
          <w:color w:val="000000"/>
          <w:sz w:val="24"/>
        </w:rPr>
        <w:t xml:space="preserve"> or a tender or exchange offer of the type set forth in </w:t>
      </w:r>
      <w:r>
        <w:rPr>
          <w:rFonts w:ascii="Times New Roman" w:hAnsi="Times New Roman"/>
          <w:b/>
          <w:color w:val="000000"/>
          <w:sz w:val="24"/>
        </w:rPr>
        <w:t>Section 5.05(A)(v)</w:t>
      </w:r>
      <w:r>
        <w:rPr>
          <w:rFonts w:ascii="Times New Roman" w:hAnsi="Times New Roman"/>
          <w:color w:val="000000"/>
          <w:sz w:val="24"/>
        </w:rPr>
        <w:t>) if each Holder participates, at the same time and on the same terms as holders of Ordinary Shares, and solely by virtue of being a Holder of Notes, in such transaction or event without having to Convert such Holder’s Notes and as if such Holder held a number of Ordinary Shares equal to the product of (i) the Conversion Rate in effect on the related record date; and (ii) the aggregate principal amount (expressed in thousands) of Notes held by such Holder on such date.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Certain Events</w:t>
      </w:r>
      <w:r>
        <w:rPr>
          <w:rFonts w:ascii="Times New Roman" w:hAnsi="Times New Roman"/>
          <w:color w:val="000000"/>
          <w:sz w:val="24"/>
        </w:rPr>
        <w:t xml:space="preserve">. The Company will not be required to adjust the Conversion Rate except as provided in </w:t>
      </w:r>
      <w:r>
        <w:rPr>
          <w:rFonts w:ascii="Times New Roman" w:hAnsi="Times New Roman"/>
          <w:b/>
          <w:color w:val="000000"/>
          <w:sz w:val="24"/>
        </w:rPr>
        <w:t>Section 5.05</w:t>
      </w:r>
      <w:r>
        <w:rPr>
          <w:rFonts w:ascii="Times New Roman" w:hAnsi="Times New Roman"/>
          <w:color w:val="000000"/>
          <w:sz w:val="24"/>
        </w:rPr>
        <w:t xml:space="preserve"> or </w:t>
      </w:r>
      <w:r>
        <w:rPr>
          <w:rFonts w:ascii="Times New Roman" w:hAnsi="Times New Roman"/>
          <w:b/>
          <w:color w:val="000000"/>
          <w:sz w:val="24"/>
        </w:rPr>
        <w:t>Section 5.07</w:t>
      </w:r>
      <w:r>
        <w:rPr>
          <w:rFonts w:ascii="Times New Roman" w:hAnsi="Times New Roman"/>
          <w:color w:val="000000"/>
          <w:sz w:val="24"/>
        </w:rPr>
        <w:t>. Without limiting the foregoing, the Company will not be obligated to adjust the Conversion Rate on account of:</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except as otherwise provided in </w:t>
      </w:r>
      <w:r>
        <w:rPr>
          <w:rFonts w:ascii="Times New Roman" w:hAnsi="Times New Roman"/>
          <w:b/>
          <w:color w:val="000000"/>
          <w:sz w:val="24"/>
        </w:rPr>
        <w:t>Section 5.05</w:t>
      </w:r>
      <w:r>
        <w:rPr>
          <w:rFonts w:ascii="Times New Roman" w:hAnsi="Times New Roman"/>
          <w:color w:val="000000"/>
          <w:sz w:val="24"/>
        </w:rPr>
        <w:t>, the sale of Ordinary Shares for a purchase price that is less than the market price per Ordinary Share or less than the Conversion Price;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- 62 -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the issuance of any Ordinary Shares pursuant to any present or future plan providing for the reinvestment of dividends or interest payable on the Company’s securities and the investment of additional optional amounts in Ordinary Shares under any such plan;</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the issuance of any Ordinary Shares or options or rights to purchase Ordinary Shares pursuant to any present or future employee, director or consultant benefit plan or program of, or assumed by, the Company or any of its Subsidiaries;</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the issuance of any Ordinary Shares pursuant to any option, warrant, right or convertible or exchangeable security of the Company outstanding as of the Issue Date;</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solely a change in the par value of the Ordinary Shares;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accrued and unpaid interest on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Adjustment Deferral</w:t>
      </w:r>
      <w:r>
        <w:rPr>
          <w:rFonts w:ascii="Times New Roman" w:hAnsi="Times New Roman"/>
          <w:color w:val="000000"/>
          <w:sz w:val="24"/>
        </w:rPr>
        <w:t xml:space="preserve">. If an adjustment to the Conversion Rate otherwise required by this </w:t>
      </w:r>
      <w:r>
        <w:rPr>
          <w:rFonts w:ascii="Times New Roman" w:hAnsi="Times New Roman"/>
          <w:b/>
          <w:color w:val="000000"/>
          <w:sz w:val="24"/>
        </w:rPr>
        <w:t>Article 5</w:t>
      </w:r>
      <w:r>
        <w:rPr>
          <w:rFonts w:ascii="Times New Roman" w:hAnsi="Times New Roman"/>
          <w:color w:val="000000"/>
          <w:sz w:val="24"/>
        </w:rPr>
        <w:t xml:space="preserve"> would result in a change of less than one percent (1%) to the Conversion Rate, then, notwithstanding anything to the contrary in this </w:t>
      </w:r>
      <w:r>
        <w:rPr>
          <w:rFonts w:ascii="Times New Roman" w:hAnsi="Times New Roman"/>
          <w:b/>
          <w:color w:val="000000"/>
          <w:sz w:val="24"/>
        </w:rPr>
        <w:t>Article 5</w:t>
      </w:r>
      <w:r>
        <w:rPr>
          <w:rFonts w:ascii="Times New Roman" w:hAnsi="Times New Roman"/>
          <w:color w:val="000000"/>
          <w:sz w:val="24"/>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 (ii) the Conversion Date of, or any VWAP Trading Day of an Observation Period for, any Note; (iii) the date a Fundamental Change or Make-Whole Fundamental Change occurs; (iv) the date the Company calls any Notes for Redemption; and (v) March 1, 2032.</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Adjustments Not Yet Effective</w:t>
      </w:r>
      <w:r>
        <w:rPr>
          <w:rFonts w:ascii="Times New Roman" w:hAnsi="Times New Roman"/>
          <w:color w:val="000000"/>
          <w:sz w:val="24"/>
        </w:rPr>
        <w:t>. Notwithstanding anything to the contrary in this Indenture or the Notes, if:</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w:t>
      </w:r>
      <w:r>
        <w:rPr>
          <w:rFonts w:ascii="Times New Roman" w:hAnsi="Times New Roman"/>
          <w:color w:val="000000"/>
          <w:sz w:val="24"/>
        </w:rPr>
        <w:t>a Note is to be Converted pursuant to Physical Settlement or Combination Settlement;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the record date, Effective Date or Expiration Time for any event that requires an adjustment to the Conversion Rate pursuant to </w:t>
      </w:r>
      <w:r>
        <w:rPr>
          <w:rFonts w:ascii="Times New Roman" w:hAnsi="Times New Roman"/>
          <w:b/>
          <w:color w:val="000000"/>
          <w:sz w:val="24"/>
        </w:rPr>
        <w:t>Section 5.05(A)</w:t>
      </w:r>
      <w:r>
        <w:rPr>
          <w:rFonts w:ascii="Times New Roman" w:hAnsi="Times New Roman"/>
          <w:color w:val="000000"/>
          <w:sz w:val="24"/>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Conversion Consideration due upon such Conversion includes any whole Ordinary Shares (in the case of Physical Settlement) or due in respect of such VWAP Trading Day includes any whole or fractional Ordinary Shares (in the case of Combination Settlement);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- 63 -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such shares are not entitled to participate in such event (because they were not held on the related record date or otherwise),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Conversion Rate Adjustments Where Converting Holders Participate in the Relevant Transaction or Event</w:t>
      </w:r>
      <w:r>
        <w:rPr>
          <w:rFonts w:ascii="Times New Roman" w:hAnsi="Times New Roman"/>
          <w:color w:val="000000"/>
          <w:sz w:val="24"/>
        </w:rPr>
        <w:t>. Notwithstanding anything to the contrary in this Indenture or the Notes, if:</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a Conversion Rate adjustment for any dividend or distribution becomes effective on any Ex-Dividend Date pursuant to </w:t>
      </w:r>
      <w:r>
        <w:rPr>
          <w:rFonts w:ascii="Times New Roman" w:hAnsi="Times New Roman"/>
          <w:b/>
          <w:color w:val="000000"/>
          <w:sz w:val="24"/>
        </w:rPr>
        <w:t>Section 5.05(A)</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 Note is to be Converted pursuant to Physical Settlement or Combination Settlement;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Conversion Consideration due upon such Conversion includes any whole Ordinary Shares (in the case of Physical Settlement) or due in respect of such VWAP Trading Day includes any whole or fractional Ordinary Shares (in the case of Combination Settlement), in each case based on a Conversion Rate that is adjusted for such dividend or distribution;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such shares would be entitled to participate in such dividend or distribution (including pursuant to </w:t>
      </w:r>
      <w:r>
        <w:rPr>
          <w:rFonts w:ascii="Times New Roman" w:hAnsi="Times New Roman"/>
          <w:b/>
          <w:color w:val="000000"/>
          <w:sz w:val="24"/>
        </w:rPr>
        <w:t>Section 5.02(C)</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then (x) in the case of Physical Settlement, such Conversion Rate adjustment will not be given effect for such Conversion and the Ordinary Shares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Ordinary Shares had such shares been entitled to participate in such dividend or distribution; and (y) in the case of Combination Settlement, the Conversion Rate adjustment relating to such Ex-Dividend Date will be made for such Conversion in respect of such VWAP Trading Day, but the Ordinary Shares issuable with respect to such VWAP Trading Day based on such adjusted Conversion Rate will not be entitled to participate in such dividend or distribution.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Shareholder Rights Plans</w:t>
      </w:r>
      <w:r>
        <w:rPr>
          <w:rFonts w:ascii="Times New Roman" w:hAnsi="Times New Roman"/>
          <w:color w:val="000000"/>
          <w:sz w:val="24"/>
        </w:rPr>
        <w:t xml:space="preserve">. If any Ordinary Shares are to be issued upon Conversion of any Note and, at the time of such Conversion, the Company has in effect any shareholder rights plan, then the Holder of such Note will be entitled to receive, in addition to, and concurrently with the delivery of, the Conversion Consideration otherwise payable under this Indenture upon such Conversion, the rights set forth in such shareholder rights plan, unless such rights have separated from the Ordinary Shares at such time, in which case, and only in such case, the Conversion Rate will be adjusted pursuant to </w:t>
      </w:r>
      <w:r>
        <w:rPr>
          <w:rFonts w:ascii="Times New Roman" w:hAnsi="Times New Roman"/>
          <w:b/>
          <w:color w:val="000000"/>
          <w:sz w:val="24"/>
        </w:rPr>
        <w:t>Section 5.05(A)(iii)(1)</w:t>
      </w:r>
      <w:r>
        <w:rPr>
          <w:rFonts w:ascii="Times New Roman" w:hAnsi="Times New Roman"/>
          <w:color w:val="000000"/>
          <w:sz w:val="24"/>
        </w:rPr>
        <w:t xml:space="preserve"> on account of such separation as if, at the time of such separation, the Company had made a distribution of the type referred to in such Section to all holders of the Ordinary Shares, subject to potential readjustment in accordance with the last paragraph of </w:t>
      </w:r>
      <w:r>
        <w:rPr>
          <w:rFonts w:ascii="Times New Roman" w:hAnsi="Times New Roman"/>
          <w:b/>
          <w:color w:val="000000"/>
          <w:sz w:val="24"/>
        </w:rPr>
        <w:t>Section 5.05(A)(iii)(1)</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Limitation on Effecting Transactions Resulting in Certain Adjustments</w:t>
      </w:r>
      <w:r>
        <w:rPr>
          <w:rFonts w:ascii="Times New Roman" w:hAnsi="Times New Roman"/>
          <w:color w:val="000000"/>
          <w:sz w:val="24"/>
        </w:rPr>
        <w:t xml:space="preserve">. The Company will not engage in or be a party to any transaction or event that would require the Conversion Rate to be adjusted pursuant to </w:t>
      </w:r>
      <w:r>
        <w:rPr>
          <w:rFonts w:ascii="Times New Roman" w:hAnsi="Times New Roman"/>
          <w:b/>
          <w:color w:val="000000"/>
          <w:sz w:val="24"/>
        </w:rPr>
        <w:t>Section 5.05(A)</w:t>
      </w:r>
      <w:r>
        <w:rPr>
          <w:rFonts w:ascii="Times New Roman" w:hAnsi="Times New Roman"/>
          <w:color w:val="000000"/>
          <w:sz w:val="24"/>
        </w:rPr>
        <w:t xml:space="preserve"> or </w:t>
      </w:r>
      <w:r>
        <w:rPr>
          <w:rFonts w:ascii="Times New Roman" w:hAnsi="Times New Roman"/>
          <w:b/>
          <w:color w:val="000000"/>
          <w:sz w:val="24"/>
        </w:rPr>
        <w:t>Section 5.07</w:t>
      </w:r>
      <w:r>
        <w:rPr>
          <w:rFonts w:ascii="Times New Roman" w:hAnsi="Times New Roman"/>
          <w:color w:val="000000"/>
          <w:sz w:val="24"/>
        </w:rPr>
        <w:t xml:space="preserve"> to an amount that would result in the Conversion Price per Ordinary Share being less than the par value per Ordinary Share.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Equitable Adjustments to Prices</w:t>
      </w:r>
      <w:r>
        <w:rPr>
          <w:rFonts w:ascii="Times New Roman" w:hAnsi="Times New Roman"/>
          <w:color w:val="000000"/>
          <w:sz w:val="24"/>
        </w:rPr>
        <w:t xml:space="preserve">. Whenever any provision of this Indenture requires the Company to calculate the average of the Last Reported Sale Prices, or any function thereof, over a period of multiple days (including to calculate the Share Price or an adjustment to the Conversion Rate), or to calculate Daily VWAPs over an Observation Period, the Company will make appropriate adjustments, if any, to such calculations to account for any adjustment to the Conversion Rate pursuant to </w:t>
      </w:r>
      <w:r>
        <w:rPr>
          <w:rFonts w:ascii="Times New Roman" w:hAnsi="Times New Roman"/>
          <w:b/>
          <w:color w:val="000000"/>
          <w:sz w:val="24"/>
        </w:rPr>
        <w:t>Section 5.05(A)</w:t>
      </w:r>
      <w:r>
        <w:rPr>
          <w:rFonts w:ascii="Times New Roman" w:hAnsi="Times New Roman"/>
          <w:color w:val="000000"/>
          <w:sz w:val="24"/>
        </w:rPr>
        <w:t xml:space="preserve"> that becomes effective, or any event requiring such an adjustment to the Conversion Rate where the Ex-Dividend Date, Effective Date or Expiration Date, as applicable, of such event occurs, at any time during such period or Observation Period, as applicable.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Calculation of Number of Outstanding Ordinary Shares</w:t>
      </w:r>
      <w:r>
        <w:rPr>
          <w:rFonts w:ascii="Times New Roman" w:hAnsi="Times New Roman"/>
          <w:color w:val="000000"/>
          <w:sz w:val="24"/>
        </w:rPr>
        <w:t xml:space="preserve">. For purposes of </w:t>
      </w:r>
      <w:r>
        <w:rPr>
          <w:rFonts w:ascii="Times New Roman" w:hAnsi="Times New Roman"/>
          <w:b/>
          <w:color w:val="000000"/>
          <w:sz w:val="24"/>
        </w:rPr>
        <w:t>Section 5.05(A)</w:t>
      </w:r>
      <w:r>
        <w:rPr>
          <w:rFonts w:ascii="Times New Roman" w:hAnsi="Times New Roman"/>
          <w:color w:val="000000"/>
          <w:sz w:val="24"/>
        </w:rPr>
        <w:t>, the number of Ordinary Shares outstanding at any time will (i) include shares issuable in respect of scrip certificates issued in lieu of fractions of Ordinary Shares; and (ii) exclude Ordinary Shares held in the Company’s treasury (unless the Company pays any dividend or makes any distribution on Ordinary Shares held in its treasury).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Calculations</w:t>
      </w:r>
      <w:r>
        <w:rPr>
          <w:rFonts w:ascii="Times New Roman" w:hAnsi="Times New Roman"/>
          <w:color w:val="000000"/>
          <w:sz w:val="24"/>
        </w:rPr>
        <w:t>. All calculations with respect to the Conversion Rate and adjustments thereto will be made to the nearest 1/10,000th of an Ordinary Share (with 5/100,000ths rounded upward).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Notice of Conversion Rate Adjustments</w:t>
      </w:r>
      <w:r>
        <w:rPr>
          <w:rFonts w:ascii="Times New Roman" w:hAnsi="Times New Roman"/>
          <w:color w:val="000000"/>
          <w:sz w:val="24"/>
        </w:rPr>
        <w:t xml:space="preserve">. Upon the effectiveness of any adjustment to the Conversion Rate pursuant to </w:t>
      </w:r>
      <w:r>
        <w:rPr>
          <w:rFonts w:ascii="Times New Roman" w:hAnsi="Times New Roman"/>
          <w:b/>
          <w:color w:val="000000"/>
          <w:sz w:val="24"/>
        </w:rPr>
        <w:t>Section 5.05(A)</w:t>
      </w:r>
      <w:r>
        <w:rPr>
          <w:rFonts w:ascii="Times New Roman" w:hAnsi="Times New Roman"/>
          <w:color w:val="000000"/>
          <w:sz w:val="24"/>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5.06.   Voluntary Adjustments.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To the extent permitted by law and applicable stock exchange rules, the Company, from time to time, may (but is not required to) increase the Conversion Rate by any amount if (i) the Board of Directors determines that such increase is either (x) in the best interest of the Company; or (y) advisable to avoid or diminish any income tax imposed on holders of Ordinary Shares or rights to purchase Ordinary Shares as a result of any dividend or distribution of Ordinary Shares (or rights to acquire Ordinary Shares) or any similar event; (ii) such increase is in effect for a period of at least twenty (20) Business Days; and (iii) such increase is irrevocable during such period.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- 65 -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Notice of Voluntary Increases</w:t>
      </w:r>
      <w:r>
        <w:rPr>
          <w:rFonts w:ascii="Times New Roman" w:hAnsi="Times New Roman"/>
          <w:color w:val="000000"/>
          <w:sz w:val="24"/>
        </w:rPr>
        <w:t xml:space="preserve">. If the Board of Directors determines to increase the Conversion Rate pursuant to </w:t>
      </w:r>
      <w:r>
        <w:rPr>
          <w:rFonts w:ascii="Times New Roman" w:hAnsi="Times New Roman"/>
          <w:b/>
          <w:color w:val="000000"/>
          <w:sz w:val="24"/>
        </w:rPr>
        <w:t>Section 5.06(A)</w:t>
      </w:r>
      <w:r>
        <w:rPr>
          <w:rFonts w:ascii="Times New Roman" w:hAnsi="Times New Roman"/>
          <w:color w:val="000000"/>
          <w:sz w:val="24"/>
        </w:rPr>
        <w:t xml:space="preserve">, then, no later than the first Business Day of the related twenty (20) Business Day period referred to in </w:t>
      </w:r>
      <w:r>
        <w:rPr>
          <w:rFonts w:ascii="Times New Roman" w:hAnsi="Times New Roman"/>
          <w:b/>
          <w:color w:val="000000"/>
          <w:sz w:val="24"/>
        </w:rPr>
        <w:t>Section 5.06(A)</w:t>
      </w:r>
      <w:r>
        <w:rPr>
          <w:rFonts w:ascii="Times New Roman" w:hAnsi="Times New Roman"/>
          <w:color w:val="000000"/>
          <w:sz w:val="24"/>
        </w:rPr>
        <w:t>, the Company will send notice to each Holder, the Trustee and the Conversion Agent of such increase, the amount thereof and the period during which such increase will be in effect.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5.07.   Adjustments to the Conversion Rate in Connection with a Make-Whole Fundamental Change.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If a Make-Whole Fundamental Change occurs and the Conversion Date for the Conversion of a Note occurs during the related Make-Whole Fundamental Change Conversion Period, then, subject to this </w:t>
      </w:r>
      <w:r>
        <w:rPr>
          <w:rFonts w:ascii="Times New Roman" w:hAnsi="Times New Roman"/>
          <w:b/>
          <w:color w:val="000000"/>
          <w:sz w:val="24"/>
        </w:rPr>
        <w:t>Section 5.07</w:t>
      </w:r>
      <w:r>
        <w:rPr>
          <w:rFonts w:ascii="Times New Roman" w:hAnsi="Times New Roman"/>
          <w:color w:val="000000"/>
          <w:sz w:val="24"/>
        </w:rPr>
        <w:t>, the Conversion Rate applicable to such Conversion will be increased by a number of shares (the “</w:t>
      </w:r>
      <w:r>
        <w:rPr>
          <w:rFonts w:ascii="Times New Roman" w:hAnsi="Times New Roman"/>
          <w:b/>
          <w:color w:val="000000"/>
          <w:sz w:val="24"/>
        </w:rPr>
        <w:t>Additional Shares</w:t>
      </w:r>
      <w:r>
        <w:rPr>
          <w:rFonts w:ascii="Times New Roman" w:hAnsi="Times New Roman"/>
          <w:color w:val="000000"/>
          <w:sz w:val="24"/>
        </w:rPr>
        <w:t>”) set forth in the table below corresponding (after interpolation as provided in, and subject to, the provisions below) to the Make-Whole Fundamental Change Effective Date and the Share Price of such Make-Whole Fundamental Change: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b31e22660f5b426aaa6cc7c8b5ba4945"/>
      <w:bookmarkStart w:id="53" w:name="zb31e22660f5b426aaa6cc7c8b5ba4945"/>
      <w:bookmarkEnd w:id="53"/>
    </w:p>
    <w:tbl>
      <w:tblPr>
        <w:tblW w:w="8675" w:type="dxa"/>
        <w:jc w:val="left"/>
        <w:tblInd w:w="0" w:type="dxa"/>
        <w:tblLayout w:type="fixed"/>
        <w:tblCellMar>
          <w:top w:w="0" w:type="dxa"/>
          <w:left w:w="0" w:type="dxa"/>
          <w:bottom w:w="0" w:type="dxa"/>
          <w:right w:w="0" w:type="dxa"/>
        </w:tblCellMar>
      </w:tblPr>
      <w:tblGrid>
        <w:gridCol w:w="1040"/>
        <w:gridCol w:w="60"/>
        <w:gridCol w:w="60"/>
        <w:gridCol w:w="425"/>
        <w:gridCol w:w="60"/>
        <w:gridCol w:w="60"/>
        <w:gridCol w:w="60"/>
        <w:gridCol w:w="425"/>
        <w:gridCol w:w="60"/>
        <w:gridCol w:w="60"/>
        <w:gridCol w:w="60"/>
        <w:gridCol w:w="425"/>
        <w:gridCol w:w="60"/>
        <w:gridCol w:w="60"/>
        <w:gridCol w:w="60"/>
        <w:gridCol w:w="425"/>
        <w:gridCol w:w="60"/>
        <w:gridCol w:w="60"/>
        <w:gridCol w:w="60"/>
        <w:gridCol w:w="425"/>
        <w:gridCol w:w="60"/>
        <w:gridCol w:w="60"/>
        <w:gridCol w:w="60"/>
        <w:gridCol w:w="425"/>
        <w:gridCol w:w="60"/>
        <w:gridCol w:w="60"/>
        <w:gridCol w:w="60"/>
        <w:gridCol w:w="425"/>
        <w:gridCol w:w="60"/>
        <w:gridCol w:w="60"/>
        <w:gridCol w:w="60"/>
        <w:gridCol w:w="500"/>
        <w:gridCol w:w="60"/>
        <w:gridCol w:w="60"/>
        <w:gridCol w:w="60"/>
        <w:gridCol w:w="500"/>
        <w:gridCol w:w="60"/>
        <w:gridCol w:w="60"/>
        <w:gridCol w:w="60"/>
        <w:gridCol w:w="500"/>
        <w:gridCol w:w="60"/>
        <w:gridCol w:w="60"/>
        <w:gridCol w:w="60"/>
        <w:gridCol w:w="500"/>
        <w:gridCol w:w="60"/>
        <w:gridCol w:w="60"/>
        <w:gridCol w:w="60"/>
        <w:gridCol w:w="500"/>
        <w:gridCol w:w="60"/>
      </w:tblGrid>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15" w:type="dxa"/>
            <w:gridSpan w:val="46"/>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Share Price</w:t>
            </w:r>
          </w:p>
        </w:tc>
        <w:tc>
          <w:tcPr>
            <w:tcW w:w="60" w:type="dxa"/>
            <w:tcBorders/>
            <w:vAlign w:val="bottom"/>
          </w:tcPr>
          <w:p>
            <w:pPr>
              <w:pStyle w:val="TableContents"/>
              <w:bidi w:val="0"/>
              <w:spacing w:before="0" w:after="283"/>
              <w:jc w:val="left"/>
              <w:rPr/>
            </w:pPr>
            <w:r>
              <w:rPr/>
              <w:t> </w:t>
            </w:r>
          </w:p>
        </w:tc>
      </w:tr>
      <w:tr>
        <w:trPr/>
        <w:tc>
          <w:tcPr>
            <w:tcW w:w="1040" w:type="dxa"/>
            <w:tcBorders>
              <w:bottom w:val="single" w:sz="2" w:space="0" w:color="000000"/>
            </w:tcBorders>
            <w:tcMar>
              <w:bottom w:w="28" w:type="dxa"/>
            </w:tcMar>
            <w:vAlign w:val="bottom"/>
          </w:tcPr>
          <w:p>
            <w:pPr>
              <w:pStyle w:val="TableContents"/>
              <w:bidi w:val="0"/>
              <w:spacing w:before="0" w:after="0"/>
              <w:jc w:val="both"/>
              <w:rPr>
                <w:rFonts w:ascii="Times New Roman" w:hAnsi="Times New Roman"/>
                <w:b/>
                <w:sz w:val="14"/>
              </w:rPr>
            </w:pPr>
            <w:r>
              <w:rPr>
                <w:rFonts w:ascii="Times New Roman" w:hAnsi="Times New Roman"/>
                <w:b/>
                <w:sz w:val="14"/>
              </w:rPr>
              <w:t>Make-Whole</w:t>
            </w:r>
          </w:p>
          <w:p>
            <w:pPr>
              <w:pStyle w:val="TableContents"/>
              <w:bidi w:val="0"/>
              <w:spacing w:before="0" w:after="0"/>
              <w:jc w:val="both"/>
              <w:rPr>
                <w:rFonts w:ascii="Times New Roman" w:hAnsi="Times New Roman"/>
                <w:b/>
                <w:sz w:val="14"/>
              </w:rPr>
            </w:pPr>
            <w:r>
              <w:rPr>
                <w:rFonts w:ascii="Times New Roman" w:hAnsi="Times New Roman"/>
                <w:b/>
                <w:sz w:val="14"/>
              </w:rPr>
              <w:t>Fundamental</w:t>
            </w:r>
          </w:p>
          <w:p>
            <w:pPr>
              <w:pStyle w:val="TableContents"/>
              <w:bidi w:val="0"/>
              <w:spacing w:before="0" w:after="0"/>
              <w:jc w:val="both"/>
              <w:rPr>
                <w:rFonts w:ascii="Times New Roman" w:hAnsi="Times New Roman"/>
                <w:b/>
                <w:sz w:val="14"/>
              </w:rPr>
            </w:pPr>
            <w:r>
              <w:rPr>
                <w:rFonts w:ascii="Times New Roman" w:hAnsi="Times New Roman"/>
                <w:b/>
                <w:sz w:val="14"/>
              </w:rPr>
              <w:t>Change Effective</w:t>
            </w:r>
          </w:p>
          <w:p>
            <w:pPr>
              <w:pStyle w:val="TableContents"/>
              <w:bidi w:val="0"/>
              <w:spacing w:before="0" w:after="0"/>
              <w:jc w:val="both"/>
              <w:rPr>
                <w:rFonts w:ascii="Times New Roman" w:hAnsi="Times New Roman"/>
                <w:b/>
                <w:sz w:val="14"/>
              </w:rPr>
            </w:pPr>
            <w:r>
              <w:rPr>
                <w:rFonts w:ascii="Times New Roman" w:hAnsi="Times New Roman"/>
                <w:b/>
                <w:sz w:val="14"/>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425"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$41.12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425"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$44.00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425"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$48.00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425"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$51.40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425"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$55.00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425"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$66.82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425"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500"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500"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$130.00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500"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$175.00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500"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b/>
              </w:rPr>
            </w:pPr>
            <w:r>
              <w:rPr>
                <w:rFonts w:ascii="Times New Roman" w:hAnsi="Times New Roman"/>
                <w:b/>
              </w:rPr>
            </w:r>
          </w:p>
        </w:tc>
        <w:tc>
          <w:tcPr>
            <w:tcW w:w="500"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$300.00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December 8,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4.2870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3.6285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3.1704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2.7642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1.8221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1.1953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0.6635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0.2868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both"/>
              <w:rPr>
                <w:rFonts w:ascii="Times New Roman" w:hAnsi="Times New Roman"/>
                <w:sz w:val="14"/>
              </w:rPr>
            </w:pPr>
            <w:r>
              <w:rPr>
                <w:rFonts w:ascii="Times New Roman" w:hAnsi="Times New Roman"/>
                <w:sz w:val="14"/>
              </w:rPr>
              <w:t>June 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4.8637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4.2870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3.6285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3.1704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2.7642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1.8221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1.1953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0.6631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0.2825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0.0710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June 1, 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4.2870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3.6285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3.1704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2.7642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1.8221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1.1904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0.6350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0.2579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both"/>
              <w:rPr>
                <w:rFonts w:ascii="Times New Roman" w:hAnsi="Times New Roman"/>
                <w:sz w:val="14"/>
              </w:rPr>
            </w:pPr>
            <w:r>
              <w:rPr>
                <w:rFonts w:ascii="Times New Roman" w:hAnsi="Times New Roman"/>
                <w:sz w:val="14"/>
              </w:rPr>
              <w:t>June 1, 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4.8637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4.2870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3.6285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3.1704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2.7642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1.8167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1.1244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0.5716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0.2140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June 1, 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4.2870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3.6285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3.1704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2.7642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1.6893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0.9939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0.4666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0.1515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0.0177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both"/>
              <w:rPr>
                <w:rFonts w:ascii="Times New Roman" w:hAnsi="Times New Roman"/>
                <w:sz w:val="14"/>
              </w:rPr>
            </w:pPr>
            <w:r>
              <w:rPr>
                <w:rFonts w:ascii="Times New Roman" w:hAnsi="Times New Roman"/>
                <w:sz w:val="14"/>
              </w:rPr>
              <w:t>June 1, 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4.8637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4.2870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3.6285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3.1381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2.5916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1.4270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0.7645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0.3083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June 1, 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4.2870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3.2742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2.5753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2.0038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0.9018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0.3850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0.1059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both"/>
              <w:rPr>
                <w:rFonts w:ascii="Times New Roman" w:hAnsi="Times New Roman"/>
                <w:sz w:val="14"/>
              </w:rPr>
            </w:pPr>
            <w:r>
              <w:rPr>
                <w:rFonts w:ascii="Times New Roman" w:hAnsi="Times New Roman"/>
                <w:sz w:val="14"/>
              </w:rPr>
              <w:t>June 1, 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4.8637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3.2720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1.3780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such Make-Whole Fundamental Change Effective Date or Share Price is not set forth in the table above, then:</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if such Share Price is between two Share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Share Prices in the table above or the earlier and later dates in the table above, based on a 365- or 366-day year, as applicable;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if the Share Price is greater than $300.00 (subject to adjustment in the same manner as the Share Prices set forth in the column headings of the table above are adjusted pursuant to </w:t>
      </w:r>
      <w:r>
        <w:rPr>
          <w:rFonts w:ascii="Times New Roman" w:hAnsi="Times New Roman"/>
          <w:b/>
          <w:color w:val="000000"/>
          <w:sz w:val="24"/>
        </w:rPr>
        <w:t>Section 5.07(B)</w:t>
      </w:r>
      <w:r>
        <w:rPr>
          <w:rFonts w:ascii="Times New Roman" w:hAnsi="Times New Roman"/>
          <w:color w:val="000000"/>
          <w:sz w:val="24"/>
        </w:rPr>
        <w:t>), or less than $41.12 (subject to adjustment in the same manner), per share, then no Additional Shares will be added to the Conversion Rate.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- 66 -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this Indenture or the Notes, in no event will the Conversion Rate be increased to an amount that exceeds 24.3190 Ordinary Shares per $1,000 principal amount of Notes, which amount is subject to adjustment in the same manner as, and at the same time and for the same events for which, the Conversion Rate is required to be adjusted pursuant to </w:t>
      </w:r>
      <w:r>
        <w:rPr>
          <w:rFonts w:ascii="Times New Roman" w:hAnsi="Times New Roman"/>
          <w:b/>
          <w:color w:val="000000"/>
          <w:sz w:val="24"/>
        </w:rPr>
        <w:t>Section 5.05(A)</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avoidance of doubt, but subject to </w:t>
      </w:r>
      <w:r>
        <w:rPr>
          <w:rFonts w:ascii="Times New Roman" w:hAnsi="Times New Roman"/>
          <w:b/>
          <w:color w:val="000000"/>
          <w:sz w:val="24"/>
        </w:rPr>
        <w:t>Section 4.03(K)</w:t>
      </w:r>
      <w:r>
        <w:rPr>
          <w:rFonts w:ascii="Times New Roman" w:hAnsi="Times New Roman"/>
          <w:color w:val="000000"/>
          <w:sz w:val="24"/>
        </w:rPr>
        <w:t xml:space="preserve">, (x) the sending of a Redemption Notice for a Provisional Redemption will constitute a Make-Whole Fundamental Change only with respect to the Notes called for Provisional Redemption pursuant to such Redemption Notice, and not with respect to any other Notes; and (y) the Conversion Rate applicable to the Notes not so called for Provisional Redemption will not be subject to increase pursuant to this </w:t>
      </w:r>
      <w:r>
        <w:rPr>
          <w:rFonts w:ascii="Times New Roman" w:hAnsi="Times New Roman"/>
          <w:b/>
          <w:color w:val="000000"/>
          <w:sz w:val="24"/>
        </w:rPr>
        <w:t>Section 5.07</w:t>
      </w:r>
      <w:r>
        <w:rPr>
          <w:rFonts w:ascii="Times New Roman" w:hAnsi="Times New Roman"/>
          <w:color w:val="000000"/>
          <w:sz w:val="24"/>
        </w:rPr>
        <w:t xml:space="preserve"> on account of such Redemption Notice.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Adjustment of Share Prices and Number of Additional Shares</w:t>
      </w:r>
      <w:r>
        <w:rPr>
          <w:rFonts w:ascii="Times New Roman" w:hAnsi="Times New Roman"/>
          <w:color w:val="000000"/>
          <w:sz w:val="24"/>
        </w:rPr>
        <w:t>. The Share Prices in the first row (</w:t>
      </w:r>
      <w:r>
        <w:rPr>
          <w:rFonts w:ascii="Times New Roman" w:hAnsi="Times New Roman"/>
          <w:i/>
          <w:color w:val="000000"/>
          <w:sz w:val="24"/>
        </w:rPr>
        <w:t>i.e.</w:t>
      </w:r>
      <w:r>
        <w:rPr>
          <w:rFonts w:ascii="Times New Roman" w:hAnsi="Times New Roman"/>
          <w:color w:val="000000"/>
          <w:sz w:val="24"/>
        </w:rPr>
        <w:t xml:space="preserve">, the column headers) of the table set forth in </w:t>
      </w:r>
      <w:r>
        <w:rPr>
          <w:rFonts w:ascii="Times New Roman" w:hAnsi="Times New Roman"/>
          <w:b/>
          <w:color w:val="000000"/>
          <w:sz w:val="24"/>
        </w:rPr>
        <w:t>Section 5.07(A)</w:t>
      </w:r>
      <w:r>
        <w:rPr>
          <w:rFonts w:ascii="Times New Roman" w:hAnsi="Times New Roman"/>
          <w:color w:val="000000"/>
          <w:sz w:val="24"/>
        </w:rPr>
        <w:t xml:space="preserve"> will be adjusted in the same manner as, and at the same time and for the same events for which, the Conversion Price is adjusted as a result of the operation of </w:t>
      </w:r>
      <w:r>
        <w:rPr>
          <w:rFonts w:ascii="Times New Roman" w:hAnsi="Times New Roman"/>
          <w:b/>
          <w:color w:val="000000"/>
          <w:sz w:val="24"/>
        </w:rPr>
        <w:t>Section 5.05(A)</w:t>
      </w:r>
      <w:r>
        <w:rPr>
          <w:rFonts w:ascii="Times New Roman" w:hAnsi="Times New Roman"/>
          <w:color w:val="000000"/>
          <w:sz w:val="24"/>
        </w:rPr>
        <w:t xml:space="preserve">. The numbers of Additional Shares in the table set forth in </w:t>
      </w:r>
      <w:r>
        <w:rPr>
          <w:rFonts w:ascii="Times New Roman" w:hAnsi="Times New Roman"/>
          <w:b/>
          <w:color w:val="000000"/>
          <w:sz w:val="24"/>
        </w:rPr>
        <w:t>Section 5.07(A)</w:t>
      </w:r>
      <w:r>
        <w:rPr>
          <w:rFonts w:ascii="Times New Roman" w:hAnsi="Times New Roman"/>
          <w:color w:val="000000"/>
          <w:sz w:val="24"/>
        </w:rPr>
        <w:t xml:space="preserve"> will be adjusted in the same manner as, and at the same time and for the same events for which, the Conversion Rate is adjusted pursuant to </w:t>
      </w:r>
      <w:r>
        <w:rPr>
          <w:rFonts w:ascii="Times New Roman" w:hAnsi="Times New Roman"/>
          <w:b/>
          <w:color w:val="000000"/>
          <w:sz w:val="24"/>
        </w:rPr>
        <w:t>Section 5.05(A)</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Notice of the Occurrence of a Make-Whole Fundamental Change</w:t>
      </w:r>
      <w:r>
        <w:rPr>
          <w:rFonts w:ascii="Times New Roman" w:hAnsi="Times New Roman"/>
          <w:color w:val="000000"/>
          <w:sz w:val="24"/>
        </w:rPr>
        <w:t xml:space="preserve">. The Company will notify the Holders, the Trustee and the Conversion Agent of each Make-Whole Fundamental Change (i) occurring pursuant to </w:t>
      </w:r>
      <w:r>
        <w:rPr>
          <w:rFonts w:ascii="Times New Roman" w:hAnsi="Times New Roman"/>
          <w:b/>
          <w:color w:val="000000"/>
          <w:sz w:val="24"/>
        </w:rPr>
        <w:t>clause (A)</w:t>
      </w:r>
      <w:r>
        <w:rPr>
          <w:rFonts w:ascii="Times New Roman" w:hAnsi="Times New Roman"/>
          <w:color w:val="000000"/>
          <w:sz w:val="24"/>
        </w:rPr>
        <w:t xml:space="preserve"> of the definition thereof in accordance with </w:t>
      </w:r>
      <w:r>
        <w:rPr>
          <w:rFonts w:ascii="Times New Roman" w:hAnsi="Times New Roman"/>
          <w:b/>
          <w:color w:val="000000"/>
          <w:sz w:val="24"/>
        </w:rPr>
        <w:t>Section 5.01(C)(i)(3)(b)</w:t>
      </w:r>
      <w:r>
        <w:rPr>
          <w:rFonts w:ascii="Times New Roman" w:hAnsi="Times New Roman"/>
          <w:color w:val="000000"/>
          <w:sz w:val="24"/>
        </w:rPr>
        <w:t xml:space="preserve">; and (ii) occurring pursuant to </w:t>
      </w:r>
      <w:r>
        <w:rPr>
          <w:rFonts w:ascii="Times New Roman" w:hAnsi="Times New Roman"/>
          <w:b/>
          <w:color w:val="000000"/>
          <w:sz w:val="24"/>
        </w:rPr>
        <w:t>clause (B)</w:t>
      </w:r>
      <w:r>
        <w:rPr>
          <w:rFonts w:ascii="Times New Roman" w:hAnsi="Times New Roman"/>
          <w:color w:val="000000"/>
          <w:sz w:val="24"/>
        </w:rPr>
        <w:t xml:space="preserve"> of the definition thereof in accordance with </w:t>
      </w:r>
      <w:r>
        <w:rPr>
          <w:rFonts w:ascii="Times New Roman" w:hAnsi="Times New Roman"/>
          <w:b/>
          <w:color w:val="000000"/>
          <w:sz w:val="24"/>
        </w:rPr>
        <w:t>Section 4.03(G)</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5.08.   Exchange in Lieu of Conversion.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this </w:t>
      </w:r>
      <w:r>
        <w:rPr>
          <w:rFonts w:ascii="Times New Roman" w:hAnsi="Times New Roman"/>
          <w:b/>
          <w:color w:val="000000"/>
          <w:sz w:val="24"/>
        </w:rPr>
        <w:t>Article 5</w:t>
      </w:r>
      <w:r>
        <w:rPr>
          <w:rFonts w:ascii="Times New Roman" w:hAnsi="Times New Roman"/>
          <w:color w:val="000000"/>
          <w:sz w:val="24"/>
        </w:rPr>
        <w:t xml:space="preserve">, and subject to the terms of this </w:t>
      </w:r>
      <w:r>
        <w:rPr>
          <w:rFonts w:ascii="Times New Roman" w:hAnsi="Times New Roman"/>
          <w:b/>
          <w:color w:val="000000"/>
          <w:sz w:val="24"/>
        </w:rPr>
        <w:t>Section 5.08</w:t>
      </w:r>
      <w:r>
        <w:rPr>
          <w:rFonts w:ascii="Times New Roman" w:hAnsi="Times New Roman"/>
          <w:color w:val="000000"/>
          <w:sz w:val="24"/>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hAnsi="Times New Roman"/>
          <w:b/>
          <w:color w:val="000000"/>
          <w:sz w:val="24"/>
        </w:rPr>
        <w:t>Article 5</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- 67 -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such Note will not cease to be outstanding by reason of such exchange in lieu of Conversion;</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financial institution does not accept such Note or fails to timely deliver such Conversion Consideration, then the Company will be responsible for delivering such Conversion Consideration in the manner and at the time provided in this </w:t>
      </w:r>
      <w:r>
        <w:rPr>
          <w:rFonts w:ascii="Times New Roman" w:hAnsi="Times New Roman"/>
          <w:b/>
          <w:color w:val="000000"/>
          <w:sz w:val="24"/>
        </w:rPr>
        <w:t>Article 5</w:t>
      </w:r>
      <w:r>
        <w:rPr>
          <w:rFonts w:ascii="Times New Roman" w:hAnsi="Times New Roman"/>
          <w:color w:val="000000"/>
          <w:sz w:val="24"/>
        </w:rPr>
        <w:t xml:space="preserve"> as if the Company had not elected to make an exchange in lieu of Conversion.</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5.09.    Effect of Ordinary Share Change Event.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If there occurs any:</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recapitalization, reclassification or change of the Ordinary Shares (other than (x) changes solely resulting from a subdivision or combination of the Ordinary Shares, (y) a change only in par value or from par value to no par value or no par value to par value and (z) share splits and share combinations that do not involve the issuance of any other series or class of securities);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consolidation, merger, combination or binding or statutory share exchange involving the Company;</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sale, lease or other transfer of all or substantially all of the assets of the Company and its Subsidiaries, taken as a whole, to any Person; or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other similar event,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and, as a result of which, the Ordinary Shares are converted into, or are exchanged for, or represent solely the right to receive, other securities, cash or other property, or any combination of the foregoing (such an event, an “</w:t>
      </w:r>
      <w:r>
        <w:rPr>
          <w:rFonts w:ascii="Times New Roman" w:hAnsi="Times New Roman"/>
          <w:b/>
          <w:color w:val="000000"/>
          <w:sz w:val="24"/>
        </w:rPr>
        <w:t>Ordinary Share Change Event</w:t>
      </w:r>
      <w:r>
        <w:rPr>
          <w:rFonts w:ascii="Times New Roman" w:hAnsi="Times New Roman"/>
          <w:color w:val="000000"/>
          <w:sz w:val="24"/>
        </w:rPr>
        <w:t>,” and such other securities, cash or property, the “</w:t>
      </w:r>
      <w:r>
        <w:rPr>
          <w:rFonts w:ascii="Times New Roman" w:hAnsi="Times New Roman"/>
          <w:b/>
          <w:color w:val="000000"/>
          <w:sz w:val="24"/>
        </w:rPr>
        <w:t>Reference Property</w:t>
      </w:r>
      <w:r>
        <w:rPr>
          <w:rFonts w:ascii="Times New Roman" w:hAnsi="Times New Roman"/>
          <w:color w:val="000000"/>
          <w:sz w:val="24"/>
        </w:rPr>
        <w:t>,” and the amount and kind of Reference Property that a holder of one (1) Ordinary Share would be entitled to receive on account of such Ordinary Share Change Event (without giving effect to any arrangement not to issue or deliver a fractional portion of any security or other property), a “</w:t>
      </w:r>
      <w:r>
        <w:rPr>
          <w:rFonts w:ascii="Times New Roman" w:hAnsi="Times New Roman"/>
          <w:b/>
          <w:color w:val="000000"/>
          <w:sz w:val="24"/>
        </w:rPr>
        <w:t>Reference Property Unit</w:t>
      </w:r>
      <w:r>
        <w:rPr>
          <w:rFonts w:ascii="Times New Roman" w:hAnsi="Times New Roman"/>
          <w:color w:val="000000"/>
          <w:sz w:val="24"/>
        </w:rPr>
        <w:t>”), then, notwithstanding anything to the contrary in this Indenture or the Notes,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from and after the effective time of such Ordinary Share Change Event, (I) the Conversion Consideration due upon Conversion of any Note, and the conditions to any such Conversion, will be determined in the same manner as if each reference to any number of Ordinary Shares in this </w:t>
      </w:r>
      <w:r>
        <w:rPr>
          <w:rFonts w:ascii="Times New Roman" w:hAnsi="Times New Roman"/>
          <w:b/>
          <w:color w:val="000000"/>
          <w:sz w:val="24"/>
        </w:rPr>
        <w:t>Article 5</w:t>
      </w:r>
      <w:r>
        <w:rPr>
          <w:rFonts w:ascii="Times New Roman" w:hAnsi="Times New Roman"/>
          <w:color w:val="000000"/>
          <w:sz w:val="24"/>
        </w:rPr>
        <w:t xml:space="preserve"> (or in any related definitions) were instead a reference to the same number of Reference Property Units; (II) for purposes of </w:t>
      </w:r>
      <w:r>
        <w:rPr>
          <w:rFonts w:ascii="Times New Roman" w:hAnsi="Times New Roman"/>
          <w:b/>
          <w:color w:val="000000"/>
          <w:sz w:val="24"/>
        </w:rPr>
        <w:t>Section 4.03(B)</w:t>
      </w:r>
      <w:r>
        <w:rPr>
          <w:rFonts w:ascii="Times New Roman" w:hAnsi="Times New Roman"/>
          <w:color w:val="000000"/>
          <w:sz w:val="24"/>
        </w:rPr>
        <w:t>, each reference to any number of Ordinary Shares in such Section (or in any related definitions) will instead be deemed to be a reference to the same number of Reference Property Units; and (III) for purposes of the definitions of “Fundamental Change” and “Make-Whole Fundamental Change,” references to “Ordinary Shares” and the Company’s “Common Equity” will be deemed to refer to the Common Equity (including depositary receipts representing Common Equity), if any, forming part of such Reference Property;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- 68 -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 xml:space="preserve">if such Reference Property Unit consists entirely of cash, then (I) each Conversion of any Note with a Conversion Date that occurs on or after the effective date of such Ordinary Share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hAnsi="Times New Roman"/>
          <w:b/>
          <w:color w:val="000000"/>
          <w:sz w:val="24"/>
        </w:rPr>
        <w:t>Section 5.07</w:t>
      </w:r>
      <w:r>
        <w:rPr>
          <w:rFonts w:ascii="Times New Roman" w:hAnsi="Times New Roman"/>
          <w:color w:val="000000"/>
          <w:sz w:val="24"/>
        </w:rPr>
        <w:t>, if applicable); and (y) the amount of cash constituting such Reference Property Unit; and (II) the Company will settle each such Conversion no later than the fifth (5th) Business Day after the relevant Conversion Date;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the Reference Property consists of more than a single type of consideration to be determined based in part upon any form of shareholder election, then the composition of the Reference Property Unit will be deemed to be the weighted average of the types and amounts of consideration actually received, per Ordinary Share, by the holders of Ordinary Shares. The Company will notify Holders, the Trustee and the Conversion Agent of such weighted average as soon as practicable after such determination is made.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At or before the effective time of such Ordinary Share Change Event, the Company and the resulting, surviving or transferee Person (if not the Company) of such Ordinary Share Change Event (the “</w:t>
      </w:r>
      <w:r>
        <w:rPr>
          <w:rFonts w:ascii="Times New Roman" w:hAnsi="Times New Roman"/>
          <w:b/>
          <w:color w:val="000000"/>
          <w:sz w:val="24"/>
        </w:rPr>
        <w:t>Successor Person</w:t>
      </w:r>
      <w:r>
        <w:rPr>
          <w:rFonts w:ascii="Times New Roman" w:hAnsi="Times New Roman"/>
          <w:color w:val="000000"/>
          <w:sz w:val="24"/>
        </w:rPr>
        <w:t xml:space="preserve">”) will execute and deliver to the Trustee a supplemental indenture pursuant to </w:t>
      </w:r>
      <w:r>
        <w:rPr>
          <w:rFonts w:ascii="Times New Roman" w:hAnsi="Times New Roman"/>
          <w:b/>
          <w:color w:val="000000"/>
          <w:sz w:val="24"/>
        </w:rPr>
        <w:t>Section 8.01(F)</w:t>
      </w:r>
      <w:r>
        <w:rPr>
          <w:rFonts w:ascii="Times New Roman" w:hAnsi="Times New Roman"/>
          <w:color w:val="000000"/>
          <w:sz w:val="24"/>
        </w:rPr>
        <w:t xml:space="preserve">, which supplemental indenture will (x) provide for subsequent Conversions of Notes in the manner set forth in this </w:t>
      </w:r>
      <w:r>
        <w:rPr>
          <w:rFonts w:ascii="Times New Roman" w:hAnsi="Times New Roman"/>
          <w:b/>
          <w:color w:val="000000"/>
          <w:sz w:val="24"/>
        </w:rPr>
        <w:t>Section 5.09</w:t>
      </w:r>
      <w:r>
        <w:rPr>
          <w:rFonts w:ascii="Times New Roman" w:hAnsi="Times New Roman"/>
          <w:color w:val="000000"/>
          <w:sz w:val="24"/>
        </w:rPr>
        <w:t xml:space="preserve">; (y) provide for subsequent adjustments to the Conversion Rate pursuant to </w:t>
      </w:r>
      <w:r>
        <w:rPr>
          <w:rFonts w:ascii="Times New Roman" w:hAnsi="Times New Roman"/>
          <w:b/>
          <w:color w:val="000000"/>
          <w:sz w:val="24"/>
        </w:rPr>
        <w:t>Section 5.05(A)</w:t>
      </w:r>
      <w:r>
        <w:rPr>
          <w:rFonts w:ascii="Times New Roman" w:hAnsi="Times New Roman"/>
          <w:color w:val="000000"/>
          <w:sz w:val="24"/>
        </w:rPr>
        <w:t xml:space="preserve"> in a manner consistent with this </w:t>
      </w:r>
      <w:r>
        <w:rPr>
          <w:rFonts w:ascii="Times New Roman" w:hAnsi="Times New Roman"/>
          <w:b/>
          <w:color w:val="000000"/>
          <w:sz w:val="24"/>
        </w:rPr>
        <w:t>Section 5.09</w:t>
      </w:r>
      <w:r>
        <w:rPr>
          <w:rFonts w:ascii="Times New Roman" w:hAnsi="Times New Roman"/>
          <w:color w:val="000000"/>
          <w:sz w:val="24"/>
        </w:rPr>
        <w:t xml:space="preserve">; and (z) contain such other provisions, if any, that the Company reasonably determines are appropriate to preserve the economic interests of the Holders and to give effect to the provisions of this </w:t>
      </w:r>
      <w:r>
        <w:rPr>
          <w:rFonts w:ascii="Times New Roman" w:hAnsi="Times New Roman"/>
          <w:b/>
          <w:color w:val="000000"/>
          <w:sz w:val="24"/>
        </w:rPr>
        <w:t>Section 5.09(A)</w:t>
      </w:r>
      <w:r>
        <w:rPr>
          <w:rFonts w:ascii="Times New Roman" w:hAnsi="Times New Roman"/>
          <w:color w:val="000000"/>
          <w:sz w:val="24"/>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For the avoidance of doubt, the conversion of any or all of the Company’s B Class shares into Ordinary Shares in one or more transactions will not constitute an Ordinary Share Change Event.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Notice of Ordinary Share Change Events</w:t>
      </w:r>
      <w:r>
        <w:rPr>
          <w:rFonts w:ascii="Times New Roman" w:hAnsi="Times New Roman"/>
          <w:color w:val="000000"/>
          <w:sz w:val="24"/>
        </w:rPr>
        <w:t>. The Company will provide notice of each Ordinary Share Change Event to Holders, the Trustee and the Conversion Agent no later than the Business Day after the effective date of such Ordinary Share Change Event.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- 69 -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Compliance Covenant</w:t>
      </w:r>
      <w:r>
        <w:rPr>
          <w:rFonts w:ascii="Times New Roman" w:hAnsi="Times New Roman"/>
          <w:color w:val="000000"/>
          <w:sz w:val="24"/>
        </w:rPr>
        <w:t xml:space="preserve">. The Company will not become a party to any Ordinary Share Change Event unless its terms are consistent with this </w:t>
      </w:r>
      <w:r>
        <w:rPr>
          <w:rFonts w:ascii="Times New Roman" w:hAnsi="Times New Roman"/>
          <w:b/>
          <w:color w:val="000000"/>
          <w:sz w:val="24"/>
        </w:rPr>
        <w:t>Section 5.09</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Article 6.     SUCCESSORS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6.01.   When the Company May Merge, Etc.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 w:hAnsi="Times New Roman"/>
          <w:b/>
          <w:color w:val="000000"/>
          <w:sz w:val="24"/>
        </w:rPr>
        <w:t>Business Combination Event</w:t>
      </w:r>
      <w:r>
        <w:rPr>
          <w:rFonts w:ascii="Times New Roman" w:hAnsi="Times New Roman"/>
          <w:color w:val="000000"/>
          <w:sz w:val="24"/>
        </w:rPr>
        <w:t>”), unless: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resulting, surviving or transferee Person either (x) is the Company or (y) if not the Company, is a Qualified Successor Entity (such Qualified Successor Entity, the “</w:t>
      </w:r>
      <w:r>
        <w:rPr>
          <w:rFonts w:ascii="Times New Roman" w:hAnsi="Times New Roman"/>
          <w:b/>
          <w:color w:val="000000"/>
          <w:sz w:val="24"/>
        </w:rPr>
        <w:t>Successor Entity</w:t>
      </w:r>
      <w:r>
        <w:rPr>
          <w:rFonts w:ascii="Times New Roman" w:hAnsi="Times New Roman"/>
          <w:color w:val="000000"/>
          <w:sz w:val="24"/>
        </w:rPr>
        <w:t xml:space="preserve">”) duly organized or incorporated and existing under the laws of Australia,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hAnsi="Times New Roman"/>
          <w:b/>
          <w:color w:val="000000"/>
          <w:sz w:val="24"/>
        </w:rPr>
        <w:t>Section 8.01(E)</w:t>
      </w:r>
      <w:r>
        <w:rPr>
          <w:rFonts w:ascii="Times New Roman" w:hAnsi="Times New Roman"/>
          <w:color w:val="000000"/>
          <w:sz w:val="24"/>
        </w:rPr>
        <w:t xml:space="preserve">) all of the Company’s obligations under this Indenture and the Notes (including, for the avoidance of doubt and without limiting any other provisions of this Indenture, if applicable, the obligation to pay Additional Amounts pursuant to </w:t>
      </w:r>
      <w:r>
        <w:rPr>
          <w:rFonts w:ascii="Times New Roman" w:hAnsi="Times New Roman"/>
          <w:b/>
          <w:color w:val="000000"/>
          <w:sz w:val="24"/>
        </w:rPr>
        <w:t>Section 3.05</w:t>
      </w:r>
      <w:r>
        <w:rPr>
          <w:rFonts w:ascii="Times New Roman" w:hAnsi="Times New Roman"/>
          <w:color w:val="000000"/>
          <w:sz w:val="24"/>
        </w:rPr>
        <w:t xml:space="preserve"> subject to the limitations therein);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immediately after giving effect to such Business Combination Event, no Default or Event of Default will have occurred and be continuing.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Delivery of Officer’s Certificate and Opinion of Counsel to the Trustee</w:t>
      </w:r>
      <w:r>
        <w:rPr>
          <w:rFonts w:ascii="Times New Roman" w:hAnsi="Times New Roman"/>
          <w:color w:val="000000"/>
          <w:sz w:val="24"/>
        </w:rPr>
        <w:t xml:space="preserve">. At or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 w:hAnsi="Times New Roman"/>
          <w:b/>
          <w:color w:val="000000"/>
          <w:sz w:val="24"/>
        </w:rPr>
        <w:t>Section 6.01(A)</w:t>
      </w:r>
      <w:r>
        <w:rPr>
          <w:rFonts w:ascii="Times New Roman" w:hAnsi="Times New Roman"/>
          <w:color w:val="000000"/>
          <w:sz w:val="24"/>
        </w:rPr>
        <w:t>; and (ii) all conditions precedent to such Business Combination Event provided in this Indenture have been satisfied.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6.02.   Successor Entity Substituted.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At the effective time of any Business Combination Event that complies with </w:t>
      </w:r>
      <w:r>
        <w:rPr>
          <w:rFonts w:ascii="Times New Roman" w:hAnsi="Times New Roman"/>
          <w:b/>
          <w:color w:val="000000"/>
          <w:sz w:val="24"/>
        </w:rPr>
        <w:t>Section 6.01</w:t>
      </w:r>
      <w:r>
        <w:rPr>
          <w:rFonts w:ascii="Times New Roman" w:hAnsi="Times New Roman"/>
          <w:color w:val="000000"/>
          <w:sz w:val="24"/>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6.03.   Exclusion for Asset Transfers with Wholly Owned Subsidiaries.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this </w:t>
      </w:r>
      <w:r>
        <w:rPr>
          <w:rFonts w:ascii="Times New Roman" w:hAnsi="Times New Roman"/>
          <w:b/>
          <w:color w:val="000000"/>
          <w:sz w:val="24"/>
        </w:rPr>
        <w:t>Article 6</w:t>
      </w:r>
      <w:r>
        <w:rPr>
          <w:rFonts w:ascii="Times New Roman" w:hAnsi="Times New Roman"/>
          <w:color w:val="000000"/>
          <w:sz w:val="24"/>
        </w:rPr>
        <w:t xml:space="preserve">, this </w:t>
      </w:r>
      <w:r>
        <w:rPr>
          <w:rFonts w:ascii="Times New Roman" w:hAnsi="Times New Roman"/>
          <w:b/>
          <w:color w:val="000000"/>
          <w:sz w:val="24"/>
        </w:rPr>
        <w:t>Article 6</w:t>
      </w:r>
      <w:r>
        <w:rPr>
          <w:rFonts w:ascii="Times New Roman" w:hAnsi="Times New Roman"/>
          <w:color w:val="000000"/>
          <w:sz w:val="24"/>
        </w:rPr>
        <w:t xml:space="preserve"> will not apply to any transfer of assets (other than by merger or consolidation) between or among the Company and any one or more of its Wholly Owned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- 70 -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Article 7.    DEFAULTS AND REMEDIES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7.01.   Events of Default.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Definition of Events of Default</w:t>
      </w:r>
      <w:r>
        <w:rPr>
          <w:rFonts w:ascii="Times New Roman" w:hAnsi="Times New Roman"/>
          <w:color w:val="000000"/>
          <w:sz w:val="24"/>
        </w:rPr>
        <w:t>. “</w:t>
      </w:r>
      <w:r>
        <w:rPr>
          <w:rFonts w:ascii="Times New Roman" w:hAnsi="Times New Roman"/>
          <w:b/>
          <w:color w:val="000000"/>
          <w:sz w:val="24"/>
        </w:rPr>
        <w:t>Event of Default</w:t>
      </w:r>
      <w:r>
        <w:rPr>
          <w:rFonts w:ascii="Times New Roman" w:hAnsi="Times New Roman"/>
          <w:color w:val="000000"/>
          <w:sz w:val="24"/>
        </w:rPr>
        <w:t>” means the occurrence of any of the following:</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w:t>
      </w:r>
      <w:r>
        <w:rPr>
          <w:rFonts w:ascii="Times New Roman" w:hAnsi="Times New Roman"/>
          <w:color w:val="000000"/>
          <w:sz w:val="24"/>
        </w:rPr>
        <w:t>a default in the payment when due (whether at maturity, upon Redemption or Repurchase Upon Fundamental Change or otherwise) of the principal of, or the Redemption Price or Fundamental Change Repurchase Price for, any Note;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 default for thirty (30) consecutive days in the payment when due of interest on any Note;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Company’s failure to deliver, when required by this Indenture, a Fundamental Change Notice, or a notice pursuant to </w:t>
      </w:r>
      <w:r>
        <w:rPr>
          <w:rFonts w:ascii="Times New Roman" w:hAnsi="Times New Roman"/>
          <w:b/>
          <w:color w:val="000000"/>
          <w:sz w:val="24"/>
        </w:rPr>
        <w:t>Section 5.01(C)(i)(3)</w:t>
      </w:r>
      <w:r>
        <w:rPr>
          <w:rFonts w:ascii="Times New Roman" w:hAnsi="Times New Roman"/>
          <w:color w:val="000000"/>
          <w:sz w:val="24"/>
        </w:rPr>
        <w:t xml:space="preserve">, if (in the case of any notice other than a notice pursuant to </w:t>
      </w:r>
      <w:r>
        <w:rPr>
          <w:rFonts w:ascii="Times New Roman" w:hAnsi="Times New Roman"/>
          <w:b/>
          <w:color w:val="000000"/>
          <w:sz w:val="24"/>
        </w:rPr>
        <w:t>Section 5.01(C)(i)(3)</w:t>
      </w:r>
      <w:r>
        <w:rPr>
          <w:rFonts w:ascii="Times New Roman" w:hAnsi="Times New Roman"/>
          <w:color w:val="000000"/>
          <w:sz w:val="24"/>
        </w:rPr>
        <w:t>) such failure is not cured within five (5) days after its occurrence;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 xml:space="preserve">a default in the Company’s obligation to Convert a Note in accordance with </w:t>
      </w:r>
      <w:r>
        <w:rPr>
          <w:rFonts w:ascii="Times New Roman" w:hAnsi="Times New Roman"/>
          <w:b/>
          <w:color w:val="000000"/>
          <w:sz w:val="24"/>
        </w:rPr>
        <w:t>Article 5</w:t>
      </w:r>
      <w:r>
        <w:rPr>
          <w:rFonts w:ascii="Times New Roman" w:hAnsi="Times New Roman"/>
          <w:color w:val="000000"/>
          <w:sz w:val="24"/>
        </w:rPr>
        <w:t xml:space="preserve"> upon the exercise of the Conversion right with respect thereto, if such default is not cured within five (5) Business Days after its occurrence;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a default in the Company’s obligations under </w:t>
      </w:r>
      <w:r>
        <w:rPr>
          <w:rFonts w:ascii="Times New Roman" w:hAnsi="Times New Roman"/>
          <w:b/>
          <w:color w:val="000000"/>
          <w:sz w:val="24"/>
        </w:rPr>
        <w:t>Article 6</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 xml:space="preserve">a default in any of the Company’s obligations or agreements under this Indenture or the Notes (other than a default set forth in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w:t>
      </w:r>
      <w:r>
        <w:rPr>
          <w:rFonts w:ascii="Times New Roman" w:hAnsi="Times New Roman"/>
          <w:b/>
          <w:color w:val="000000"/>
          <w:sz w:val="24"/>
        </w:rPr>
        <w:t>(ii)</w:t>
      </w:r>
      <w:r>
        <w:rPr>
          <w:rFonts w:ascii="Times New Roman" w:hAnsi="Times New Roman"/>
          <w:color w:val="000000"/>
          <w:sz w:val="24"/>
        </w:rPr>
        <w:t xml:space="preserve">, </w:t>
      </w:r>
      <w:r>
        <w:rPr>
          <w:rFonts w:ascii="Times New Roman" w:hAnsi="Times New Roman"/>
          <w:b/>
          <w:color w:val="000000"/>
          <w:sz w:val="24"/>
        </w:rPr>
        <w:t>(iii)</w:t>
      </w:r>
      <w:r>
        <w:rPr>
          <w:rFonts w:ascii="Times New Roman" w:hAnsi="Times New Roman"/>
          <w:color w:val="000000"/>
          <w:sz w:val="24"/>
        </w:rPr>
        <w:t xml:space="preserve">, </w:t>
      </w:r>
      <w:r>
        <w:rPr>
          <w:rFonts w:ascii="Times New Roman" w:hAnsi="Times New Roman"/>
          <w:b/>
          <w:color w:val="000000"/>
          <w:sz w:val="24"/>
        </w:rPr>
        <w:t>(iv)</w:t>
      </w:r>
      <w:r>
        <w:rPr>
          <w:rFonts w:ascii="Times New Roman" w:hAnsi="Times New Roman"/>
          <w:color w:val="000000"/>
          <w:sz w:val="24"/>
        </w:rPr>
        <w:t xml:space="preserve"> or </w:t>
      </w:r>
      <w:r>
        <w:rPr>
          <w:rFonts w:ascii="Times New Roman" w:hAnsi="Times New Roman"/>
          <w:b/>
          <w:color w:val="000000"/>
          <w:sz w:val="24"/>
        </w:rPr>
        <w:t>(v)</w:t>
      </w:r>
      <w:r>
        <w:rPr>
          <w:rFonts w:ascii="Times New Roman" w:hAnsi="Times New Roman"/>
          <w:color w:val="000000"/>
          <w:sz w:val="24"/>
        </w:rPr>
        <w:t xml:space="preserve"> of this </w:t>
      </w:r>
      <w:r>
        <w:rPr>
          <w:rFonts w:ascii="Times New Roman" w:hAnsi="Times New Roman"/>
          <w:b/>
          <w:color w:val="000000"/>
          <w:sz w:val="24"/>
        </w:rPr>
        <w:t>Section 7.01(A)</w:t>
      </w:r>
      <w:r>
        <w:rPr>
          <w:rFonts w:ascii="Times New Roman" w:hAnsi="Times New Roman"/>
          <w:color w:val="000000"/>
          <w:sz w:val="24"/>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a default by the Company or any of the Company’s Significant Subsidiaries with respect to any one or more mortgages, agreements or other instruments under which there is outstanding, or by which there is secured or evidenced, any indebtedness for borrowed money (other than (1) any non-recourse indebtedness for borrowed money (it being understood and agreed that limited recourse provisions in respect of the applicable financing assets or that otherwise are customary in transactions in which the primary recourse is to financing assets will not cause indebtedness that is otherwise non-recourse to constitute recourse indebtedness) or (2) indebtedness for money borrowed of the Company’s Subsidiaries if such Subsidiary is a special purpose entity that serves as a vehicle to obtain financing that is otherwise non-recourse to the Company and its other Subsidiaries (it being understood and agreed that limited recourse provisions in respect of the applicable financing assets or that otherwise are customary in transactions in which the primary recourse is to financing assets will not cause indebtedness that is otherwise non-recourse to constitute recourse indebtedness)) of at least one hundred million dollars ($100,000,000) (or its foreign currency equivalent) in the aggregate of the Company or any of the Company’s Significant Subsidiaries, whether such indebtedness exists as of the Issue Date or is thereafter created, where such default: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- 71 -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constitutes a failure to pay the principal of such indebtedness when due and payable at its stated maturity, upon required repurchase, upon declaration of acceleration or otherwise, in each case after the expiration of any applicable grace period;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results in such indebtedness becoming or being declared due and payable before its stated maturity,</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in each case where such default is not cured or waived within thirty (30) days after written notice to the Company by the Trustee or to the Company and the Trustee by Holders of at least twenty five percent (25%) of the aggregate principal amount of Notes then outstanding;</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the Company or any of its Significant Subsidiaries, pursuant to or within the meaning of any Bankruptcy Law, either: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commences a voluntary case or proceeding;</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consents to the entry of an order for relief against it in an involuntary case or proceeding;</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consents to the appointment of a custodian of it or for any substantial part of its property;</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makes a general assignment for the benefit of its creditors;</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takes any comparable action under any foreign Bankruptcy Law;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generally is not paying its debts as they become due; or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a court of competent jurisdiction enters an order or decree under any Bankruptcy Law that either: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is for relief against the Company or any of its Significant Subsidiaries in an involuntary case or proceeding;</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appoints a custodian of the Company or any of its Significant Subsidiaries, or for any substantial part of the property of the Company or any of its Significant Subsidiaries;</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orders the winding up or liquidation of the Company or any of its Significant Subsidiaries; 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- 72 -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grants any similar relief under any foreign Bankruptcy Law,</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and, in each case under this </w:t>
      </w:r>
      <w:r>
        <w:rPr>
          <w:rFonts w:ascii="Times New Roman" w:hAnsi="Times New Roman"/>
          <w:b/>
          <w:color w:val="000000"/>
          <w:sz w:val="24"/>
        </w:rPr>
        <w:t>Section 7.01(A)(ix)</w:t>
      </w:r>
      <w:r>
        <w:rPr>
          <w:rFonts w:ascii="Times New Roman" w:hAnsi="Times New Roman"/>
          <w:color w:val="000000"/>
          <w:sz w:val="24"/>
        </w:rPr>
        <w:t>, such order or decree remains unstayed and in effect for at least sixty (60) days.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Cause Irrelevant</w:t>
      </w:r>
      <w:r>
        <w:rPr>
          <w:rFonts w:ascii="Times New Roman" w:hAnsi="Times New Roman"/>
          <w:color w:val="000000"/>
          <w:sz w:val="24"/>
        </w:rPr>
        <w:t xml:space="preserve">. Each of the events set forth in </w:t>
      </w:r>
      <w:r>
        <w:rPr>
          <w:rFonts w:ascii="Times New Roman" w:hAnsi="Times New Roman"/>
          <w:b/>
          <w:color w:val="000000"/>
          <w:sz w:val="24"/>
        </w:rPr>
        <w:t>Section 7.01(A)</w:t>
      </w:r>
      <w:r>
        <w:rPr>
          <w:rFonts w:ascii="Times New Roman" w:hAnsi="Times New Roman"/>
          <w:color w:val="000000"/>
          <w:sz w:val="24"/>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7.02.   Acceleration.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Automatic Acceleration in Certain Circumstances</w:t>
      </w:r>
      <w:r>
        <w:rPr>
          <w:rFonts w:ascii="Times New Roman" w:hAnsi="Times New Roman"/>
          <w:color w:val="000000"/>
          <w:sz w:val="24"/>
        </w:rPr>
        <w:t xml:space="preserve">. If an Event of Default set forth in </w:t>
      </w:r>
      <w:r>
        <w:rPr>
          <w:rFonts w:ascii="Times New Roman" w:hAnsi="Times New Roman"/>
          <w:b/>
          <w:color w:val="000000"/>
          <w:sz w:val="24"/>
        </w:rPr>
        <w:t>Section 7.01(A)(viii)</w:t>
      </w:r>
      <w:r>
        <w:rPr>
          <w:rFonts w:ascii="Times New Roman" w:hAnsi="Times New Roman"/>
          <w:color w:val="000000"/>
          <w:sz w:val="24"/>
        </w:rPr>
        <w:t xml:space="preserve"> or </w:t>
      </w:r>
      <w:r>
        <w:rPr>
          <w:rFonts w:ascii="Times New Roman" w:hAnsi="Times New Roman"/>
          <w:b/>
          <w:color w:val="000000"/>
          <w:sz w:val="24"/>
        </w:rPr>
        <w:t>7.01(A)(ix)</w:t>
      </w:r>
      <w:r>
        <w:rPr>
          <w:rFonts w:ascii="Times New Roman" w:hAnsi="Times New Roman"/>
          <w:color w:val="000000"/>
          <w:sz w:val="24"/>
        </w:rPr>
        <w:t xml:space="preserve"> occurs with 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Optional Acceleration</w:t>
      </w:r>
      <w:r>
        <w:rPr>
          <w:rFonts w:ascii="Times New Roman" w:hAnsi="Times New Roman"/>
          <w:color w:val="000000"/>
          <w:sz w:val="24"/>
        </w:rPr>
        <w:t xml:space="preserve">. Subject to </w:t>
      </w:r>
      <w:r>
        <w:rPr>
          <w:rFonts w:ascii="Times New Roman" w:hAnsi="Times New Roman"/>
          <w:b/>
          <w:color w:val="000000"/>
          <w:sz w:val="24"/>
        </w:rPr>
        <w:t>Section 7.03</w:t>
      </w:r>
      <w:r>
        <w:rPr>
          <w:rFonts w:ascii="Times New Roman" w:hAnsi="Times New Roman"/>
          <w:color w:val="000000"/>
          <w:sz w:val="24"/>
        </w:rPr>
        <w:t xml:space="preserve">, if an Event of Default (other than an Event of Default set forth in </w:t>
      </w:r>
      <w:r>
        <w:rPr>
          <w:rFonts w:ascii="Times New Roman" w:hAnsi="Times New Roman"/>
          <w:b/>
          <w:color w:val="000000"/>
          <w:sz w:val="24"/>
        </w:rPr>
        <w:t>Section 7.01(A)(viii)</w:t>
      </w:r>
      <w:r>
        <w:rPr>
          <w:rFonts w:ascii="Times New Roman" w:hAnsi="Times New Roman"/>
          <w:color w:val="000000"/>
          <w:sz w:val="24"/>
        </w:rPr>
        <w:t xml:space="preserve"> or </w:t>
      </w:r>
      <w:r>
        <w:rPr>
          <w:rFonts w:ascii="Times New Roman" w:hAnsi="Times New Roman"/>
          <w:b/>
          <w:color w:val="000000"/>
          <w:sz w:val="24"/>
        </w:rPr>
        <w:t>7.01(A)(ix)</w:t>
      </w:r>
      <w:r>
        <w:rPr>
          <w:rFonts w:ascii="Times New Roman" w:hAnsi="Times New Roman"/>
          <w:color w:val="000000"/>
          <w:sz w:val="24"/>
        </w:rPr>
        <w:t xml:space="preserve">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avoidance of doubt, any failure by the Company to provide any notice under this Indenture other than as set forth in </w:t>
      </w:r>
      <w:r>
        <w:rPr>
          <w:rFonts w:ascii="Times New Roman" w:hAnsi="Times New Roman"/>
          <w:b/>
          <w:color w:val="000000"/>
          <w:sz w:val="24"/>
        </w:rPr>
        <w:t>Section 7.01(A)(iii)</w:t>
      </w:r>
      <w:r>
        <w:rPr>
          <w:rFonts w:ascii="Times New Roman" w:hAnsi="Times New Roman"/>
          <w:color w:val="000000"/>
          <w:sz w:val="24"/>
        </w:rPr>
        <w:t xml:space="preserve"> shall be subject to </w:t>
      </w:r>
      <w:r>
        <w:rPr>
          <w:rFonts w:ascii="Times New Roman" w:hAnsi="Times New Roman"/>
          <w:b/>
          <w:color w:val="000000"/>
          <w:sz w:val="24"/>
        </w:rPr>
        <w:t>Section 7.01(A)(vi)</w:t>
      </w:r>
      <w:r>
        <w:rPr>
          <w:rFonts w:ascii="Times New Roman" w:hAnsi="Times New Roman"/>
          <w:color w:val="000000"/>
          <w:sz w:val="24"/>
        </w:rPr>
        <w:t xml:space="preserve"> (including the sixty (60)-day cure period contained therein), and any related Default or Event of Default shall be deemed cured upon delivery of such notice to the applicable recipient prior to (i) the expiration of such sixty (60)-day period; or (ii) if later, the delivery of a notice of acceleration with respect to such Default or Event of Default, in each case whether or not the events or circumstances that are the subject of such notice have already occurred at the time such notice is given.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Rescission of Acceleration</w:t>
      </w:r>
      <w:r>
        <w:rPr>
          <w:rFonts w:ascii="Times New Roman" w:hAnsi="Times New Roman"/>
          <w:color w:val="000000"/>
          <w:sz w:val="24"/>
        </w:rPr>
        <w:t>. Notwithstanding anything to the contrary in this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- 73 -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7.03.   Sole Remedy for a Failure to Report.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Notwithstanding anything to the contrary in this Indenture or the Notes, the Company may elect that the sole remedy for any Event of Default (a “</w:t>
      </w:r>
      <w:r>
        <w:rPr>
          <w:rFonts w:ascii="Times New Roman" w:hAnsi="Times New Roman"/>
          <w:b/>
          <w:color w:val="000000"/>
          <w:sz w:val="24"/>
        </w:rPr>
        <w:t>Reporting Event of Default</w:t>
      </w:r>
      <w:r>
        <w:rPr>
          <w:rFonts w:ascii="Times New Roman" w:hAnsi="Times New Roman"/>
          <w:color w:val="000000"/>
          <w:sz w:val="24"/>
        </w:rPr>
        <w:t xml:space="preserve">”) pursuant to </w:t>
      </w:r>
      <w:r>
        <w:rPr>
          <w:rFonts w:ascii="Times New Roman" w:hAnsi="Times New Roman"/>
          <w:b/>
          <w:color w:val="000000"/>
          <w:sz w:val="24"/>
        </w:rPr>
        <w:t>Section 7.01(A)(vi)</w:t>
      </w:r>
      <w:r>
        <w:rPr>
          <w:rFonts w:ascii="Times New Roman" w:hAnsi="Times New Roman"/>
          <w:color w:val="000000"/>
          <w:sz w:val="24"/>
        </w:rPr>
        <w:t xml:space="preserve"> arising from the Company’s failure to comply with </w:t>
      </w:r>
      <w:r>
        <w:rPr>
          <w:rFonts w:ascii="Times New Roman" w:hAnsi="Times New Roman"/>
          <w:b/>
          <w:color w:val="000000"/>
          <w:sz w:val="24"/>
        </w:rPr>
        <w:t>Section 3.02</w:t>
      </w:r>
      <w:r>
        <w:rPr>
          <w:rFonts w:ascii="Times New Roman" w:hAnsi="Times New Roman"/>
          <w:color w:val="000000"/>
          <w:sz w:val="24"/>
        </w:rPr>
        <w:t xml:space="preserve"> will, for each of the first three hundred sixty (360)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hAnsi="Times New Roman"/>
          <w:b/>
          <w:color w:val="000000"/>
          <w:sz w:val="24"/>
        </w:rPr>
        <w:t>Section 7.02</w:t>
      </w:r>
      <w:r>
        <w:rPr>
          <w:rFonts w:ascii="Times New Roman" w:hAnsi="Times New Roman"/>
          <w:color w:val="000000"/>
          <w:sz w:val="24"/>
        </w:rPr>
        <w:t xml:space="preserve"> on account of the relevant Reporting Event of Default from, and including, the three hundred sixty first (361st) calendar day on which a Reporting Event of Default has occurred and is continuing or if the Company fails to pay any accrued and unpaid Special Interest when due; and (ii) Special Interest will cease to accrue on any Notes from, and including, such three hundred sixty first (361st) calendar day (it being understood that interest on any defaulted Special Interest will nonetheless accrue pursuant to </w:t>
      </w:r>
      <w:r>
        <w:rPr>
          <w:rFonts w:ascii="Times New Roman" w:hAnsi="Times New Roman"/>
          <w:b/>
          <w:color w:val="000000"/>
          <w:sz w:val="24"/>
        </w:rPr>
        <w:t>Section 2.05(B)</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Amount and Payment of Special Interest</w:t>
      </w:r>
      <w:r>
        <w:rPr>
          <w:rFonts w:ascii="Times New Roman" w:hAnsi="Times New Roman"/>
          <w:color w:val="000000"/>
          <w:sz w:val="24"/>
        </w:rPr>
        <w:t xml:space="preserve">. Any Special Interest that accrues on a Note pursuant to </w:t>
      </w:r>
      <w:r>
        <w:rPr>
          <w:rFonts w:ascii="Times New Roman" w:hAnsi="Times New Roman"/>
          <w:b/>
          <w:color w:val="000000"/>
          <w:sz w:val="24"/>
        </w:rPr>
        <w:t>Section 7.03(A)</w:t>
      </w:r>
      <w:r>
        <w:rPr>
          <w:rFonts w:ascii="Times New Roman" w:hAnsi="Times New Roman"/>
          <w:color w:val="000000"/>
          <w:sz w:val="24"/>
        </w:rPr>
        <w:t xml:space="preserve"> will be payable on the same dates and in the same manner as the Stated Interest on such Note and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in no event will Special Interest, together with any Additional Interest (excluding any interest that accrues on any Deferred Additional Interest pursuant to </w:t>
      </w:r>
      <w:r>
        <w:rPr>
          <w:rFonts w:ascii="Times New Roman" w:hAnsi="Times New Roman"/>
          <w:b/>
          <w:color w:val="000000"/>
          <w:sz w:val="24"/>
        </w:rPr>
        <w:t>Section 3.04(C)</w:t>
      </w:r>
      <w:r>
        <w:rPr>
          <w:rFonts w:ascii="Times New Roman" w:hAnsi="Times New Roman"/>
          <w:color w:val="000000"/>
          <w:sz w:val="24"/>
        </w:rPr>
        <w: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a Reporting Event of Default giving rise to the Company’s obligation to pay Special Interest pursuant to </w:t>
      </w:r>
      <w:r>
        <w:rPr>
          <w:rFonts w:ascii="Times New Roman" w:hAnsi="Times New Roman"/>
          <w:b/>
          <w:color w:val="000000"/>
          <w:sz w:val="24"/>
        </w:rPr>
        <w:t>Section 7.03(A)</w:t>
      </w:r>
      <w:r>
        <w:rPr>
          <w:rFonts w:ascii="Times New Roman" w:hAnsi="Times New Roman"/>
          <w:color w:val="000000"/>
          <w:sz w:val="24"/>
        </w:rPr>
        <w:t xml:space="preserve"> initially occurs at or after the Close of Business on a Regular Record Date and prior to the Open of Business on the corresponding Interest Payment Date, the Special Interest that accrues during such period will be due on the Interest Payment Date next succeeding such corresponding Interest Payment Date, and no interest shall accrue in respect of such delay.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Notice of Election</w:t>
      </w:r>
      <w:r>
        <w:rPr>
          <w:rFonts w:ascii="Times New Roman" w:hAnsi="Times New Roman"/>
          <w:color w:val="000000"/>
          <w:sz w:val="24"/>
        </w:rPr>
        <w:t xml:space="preserve">. To make the election set forth in </w:t>
      </w:r>
      <w:r>
        <w:rPr>
          <w:rFonts w:ascii="Times New Roman" w:hAnsi="Times New Roman"/>
          <w:b/>
          <w:color w:val="000000"/>
          <w:sz w:val="24"/>
        </w:rPr>
        <w:t>Section 7.03(A)</w:t>
      </w:r>
      <w:r>
        <w:rPr>
          <w:rFonts w:ascii="Times New Roman" w:hAnsi="Times New Roman"/>
          <w:color w:val="000000"/>
          <w:sz w:val="24"/>
        </w:rPr>
        <w:t>, the Company must send to the Holders, the Trustee and the Paying 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avoidance of doubt, if (x) the Company timely elects to pay Special Interest as the sole remedy during the first three hundred sixty (360) days on which a Reporting Event of Default has occurred and is continuing; (y) the Company pays such Special Interest in accordance with this Indenture; and (z) the Company files the delinquent reports that were required to be filed and gave rise to the relevant Reporting Event of Default (in each case in this </w:t>
      </w:r>
      <w:r>
        <w:rPr>
          <w:rFonts w:ascii="Times New Roman" w:hAnsi="Times New Roman"/>
          <w:b/>
          <w:color w:val="000000"/>
          <w:sz w:val="24"/>
        </w:rPr>
        <w:t>clause (z)</w:t>
      </w:r>
      <w:r>
        <w:rPr>
          <w:rFonts w:ascii="Times New Roman" w:hAnsi="Times New Roman"/>
          <w:color w:val="000000"/>
          <w:sz w:val="24"/>
        </w:rPr>
        <w:t xml:space="preserve"> pursuant to the provisions set forth in </w:t>
      </w:r>
      <w:r>
        <w:rPr>
          <w:rFonts w:ascii="Times New Roman" w:hAnsi="Times New Roman"/>
          <w:b/>
          <w:color w:val="000000"/>
          <w:sz w:val="24"/>
        </w:rPr>
        <w:t>Section 3.02</w:t>
      </w:r>
      <w:r>
        <w:rPr>
          <w:rFonts w:ascii="Times New Roman" w:hAnsi="Times New Roman"/>
          <w:color w:val="000000"/>
          <w:sz w:val="24"/>
        </w:rPr>
        <w:t xml:space="preserve">) prior to the three hundred sixty first (361st) day on which such Reporting Event of Default has occurred and is continuing (or prior to the delivery of any related notice of acceleration on or after such three hundred sixty first (361st) day), such Reporting Event of Default will be deemed cured and the Notes will not be subject to acceleration as a result of the initial failure to comply with the Company’s reporting obligations set forth in </w:t>
      </w:r>
      <w:r>
        <w:rPr>
          <w:rFonts w:ascii="Times New Roman" w:hAnsi="Times New Roman"/>
          <w:b/>
          <w:color w:val="000000"/>
          <w:sz w:val="24"/>
        </w:rPr>
        <w:t>Section 3.02</w:t>
      </w:r>
      <w:r>
        <w:rPr>
          <w:rFonts w:ascii="Times New Roman" w:hAnsi="Times New Roman"/>
          <w:color w:val="000000"/>
          <w:sz w:val="24"/>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Notice to Trustee and Paying Agent; Trustee’s Disclaimer</w:t>
      </w:r>
      <w:r>
        <w:rPr>
          <w:rFonts w:ascii="Times New Roman" w:hAnsi="Times New Roman"/>
          <w:color w:val="000000"/>
          <w:sz w:val="24"/>
        </w:rPr>
        <w:t>.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No Effect on Other Events of Default</w:t>
      </w:r>
      <w:r>
        <w:rPr>
          <w:rFonts w:ascii="Times New Roman" w:hAnsi="Times New Roman"/>
          <w:color w:val="000000"/>
          <w:sz w:val="24"/>
        </w:rPr>
        <w:t xml:space="preserve">. No election pursuant to this </w:t>
      </w:r>
      <w:r>
        <w:rPr>
          <w:rFonts w:ascii="Times New Roman" w:hAnsi="Times New Roman"/>
          <w:b/>
          <w:color w:val="000000"/>
          <w:sz w:val="24"/>
        </w:rPr>
        <w:t>Section 7.03</w:t>
      </w:r>
      <w:r>
        <w:rPr>
          <w:rFonts w:ascii="Times New Roman" w:hAnsi="Times New Roman"/>
          <w:color w:val="000000"/>
          <w:sz w:val="24"/>
        </w:rPr>
        <w:t xml:space="preserve"> with respect to a Reporting Event of Default will affect the rights of any Holder with respect to any other Event of Default, including with respect to any other Reporting Event of Default.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7.04.    Other Remedies.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Trustee May Pursue All Remedies</w:t>
      </w:r>
      <w:r>
        <w:rPr>
          <w:rFonts w:ascii="Times New Roman" w:hAnsi="Times New Roman"/>
          <w:color w:val="000000"/>
          <w:sz w:val="24"/>
        </w:rPr>
        <w:t>. If an Event of Default occurs and is continuing, then the Trustee may pursue any available remedy to collect the payment of any amounts due with respect to the Notes or to enforce the performance of any provision of this Indenture or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Procedural Matters</w:t>
      </w:r>
      <w:r>
        <w:rPr>
          <w:rFonts w:ascii="Times New Roman" w:hAnsi="Times New Roman"/>
          <w:color w:val="000000"/>
          <w:sz w:val="24"/>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7.05.    Waiver of Past Defaults.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An Event of Default pursuant to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w:t>
      </w:r>
      <w:r>
        <w:rPr>
          <w:rFonts w:ascii="Times New Roman" w:hAnsi="Times New Roman"/>
          <w:b/>
          <w:color w:val="000000"/>
          <w:sz w:val="24"/>
        </w:rPr>
        <w:t>(ii)</w:t>
      </w:r>
      <w:r>
        <w:rPr>
          <w:rFonts w:ascii="Times New Roman" w:hAnsi="Times New Roman"/>
          <w:color w:val="000000"/>
          <w:sz w:val="24"/>
        </w:rPr>
        <w:t xml:space="preserve">, </w:t>
      </w:r>
      <w:r>
        <w:rPr>
          <w:rFonts w:ascii="Times New Roman" w:hAnsi="Times New Roman"/>
          <w:b/>
          <w:color w:val="000000"/>
          <w:sz w:val="24"/>
        </w:rPr>
        <w:t>(iv)</w:t>
      </w:r>
      <w:r>
        <w:rPr>
          <w:rFonts w:ascii="Times New Roman" w:hAnsi="Times New Roman"/>
          <w:color w:val="000000"/>
          <w:sz w:val="24"/>
        </w:rPr>
        <w:t xml:space="preserve"> or </w:t>
      </w:r>
      <w:r>
        <w:rPr>
          <w:rFonts w:ascii="Times New Roman" w:hAnsi="Times New Roman"/>
          <w:b/>
          <w:color w:val="000000"/>
          <w:sz w:val="24"/>
        </w:rPr>
        <w:t>(vi)</w:t>
      </w:r>
      <w:r>
        <w:rPr>
          <w:rFonts w:ascii="Times New Roman" w:hAnsi="Times New Roman"/>
          <w:color w:val="000000"/>
          <w:sz w:val="24"/>
        </w:rPr>
        <w:t xml:space="preserve"> of </w:t>
      </w:r>
      <w:r>
        <w:rPr>
          <w:rFonts w:ascii="Times New Roman" w:hAnsi="Times New Roman"/>
          <w:b/>
          <w:color w:val="000000"/>
          <w:sz w:val="24"/>
        </w:rPr>
        <w:t>Section 7.01(A)</w:t>
      </w:r>
      <w:r>
        <w:rPr>
          <w:rFonts w:ascii="Times New Roman" w:hAnsi="Times New Roman"/>
          <w:color w:val="000000"/>
          <w:sz w:val="24"/>
        </w:rPr>
        <w:t xml:space="preserve"> (that, in the case of </w:t>
      </w:r>
      <w:r>
        <w:rPr>
          <w:rFonts w:ascii="Times New Roman" w:hAnsi="Times New Roman"/>
          <w:b/>
          <w:color w:val="000000"/>
          <w:sz w:val="24"/>
        </w:rPr>
        <w:t>clause (vi)</w:t>
      </w:r>
      <w:r>
        <w:rPr>
          <w:rFonts w:ascii="Times New Roman" w:hAnsi="Times New Roman"/>
          <w:color w:val="000000"/>
          <w:sz w:val="24"/>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7.06.   Control by Majority.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hAnsi="Times New Roman"/>
          <w:b/>
          <w:color w:val="000000"/>
          <w:sz w:val="24"/>
        </w:rPr>
        <w:t>Section 10.01</w:t>
      </w:r>
      <w:r>
        <w:rPr>
          <w:rFonts w:ascii="Times New Roman" w:hAnsi="Times New Roman"/>
          <w:color w:val="000000"/>
          <w:sz w:val="24"/>
        </w:rPr>
        <w:t>,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- 75 -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7.07.   Limitation on Suits.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 Holder may pursue any remedy with respect to this Indenture or the Notes (except to enforce (x) its rights to receive the principal of, or the Fundamental Change Repurchase Price or Redemption Price for, or any interest on, any Notes; or (y) the Company’s obligations to Convert any Notes pursuant to </w:t>
      </w:r>
      <w:r>
        <w:rPr>
          <w:rFonts w:ascii="Times New Roman" w:hAnsi="Times New Roman"/>
          <w:b/>
          <w:color w:val="000000"/>
          <w:sz w:val="24"/>
        </w:rPr>
        <w:t>Article 5</w:t>
      </w:r>
      <w:r>
        <w:rPr>
          <w:rFonts w:ascii="Times New Roman" w:hAnsi="Times New Roman"/>
          <w:color w:val="000000"/>
          <w:sz w:val="24"/>
        </w:rPr>
        <w:t>), unless: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such Holder has previously delivered to the Trustee notice that an Event of Default is continuing;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Holders of at least twenty five percent (25%) in aggregate principal amount of the Notes then outstanding deliver a request to the Trustee to pursue such remedy;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such Holder or Holders offer and, if requested, provide to the Trustee security and indemnity satisfactory to the Trustee against any loss, liability or expense to the Trustee that may result from the Trustee’s following such request;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Trustee does not comply with such request within sixty (60) calendar days after its receipt of such request and such offer of security or indemnity;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during such sixty (60) calendar day period, Holders of a majority in aggregate principal amount of the Notes then outstanding do not deliver to the Trustee a direction that is inconsistent with such request.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7.08.   Absolute Right of Holders to Institute Suit for the Enforcement of the Right to Receive Payment and Conversion Consideration.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this Indenture or the Notes (but without limiting </w:t>
      </w:r>
      <w:r>
        <w:rPr>
          <w:rFonts w:ascii="Times New Roman" w:hAnsi="Times New Roman"/>
          <w:b/>
          <w:color w:val="000000"/>
          <w:sz w:val="24"/>
        </w:rPr>
        <w:t>Section 8.01</w:t>
      </w:r>
      <w:r>
        <w:rPr>
          <w:rFonts w:ascii="Times New Roman" w:hAnsi="Times New Roman"/>
          <w:color w:val="000000"/>
          <w:sz w:val="24"/>
        </w:rPr>
        <w:t xml:space="preserve">),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 w:hAnsi="Times New Roman"/>
          <w:b/>
          <w:color w:val="000000"/>
          <w:sz w:val="24"/>
        </w:rPr>
        <w:t>Article 5</w:t>
      </w:r>
      <w:r>
        <w:rPr>
          <w:rFonts w:ascii="Times New Roman" w:hAnsi="Times New Roman"/>
          <w:color w:val="000000"/>
          <w:sz w:val="24"/>
        </w:rPr>
        <w:t xml:space="preserve"> upon Conversion of, such Note on or after the respective due dates therefor provided in this Indenture and the Notes, will not be impaired or affected without the consent of such Holder.</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7.09.    Collection Suit by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will have the right, upon the occurrence and continuance of an Event of Default pursuant to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w:t>
      </w:r>
      <w:r>
        <w:rPr>
          <w:rFonts w:ascii="Times New Roman" w:hAnsi="Times New Roman"/>
          <w:b/>
          <w:color w:val="000000"/>
          <w:sz w:val="24"/>
        </w:rPr>
        <w:t>(ii)</w:t>
      </w:r>
      <w:r>
        <w:rPr>
          <w:rFonts w:ascii="Times New Roman" w:hAnsi="Times New Roman"/>
          <w:color w:val="000000"/>
          <w:sz w:val="24"/>
        </w:rPr>
        <w:t xml:space="preserve"> or </w:t>
      </w:r>
      <w:r>
        <w:rPr>
          <w:rFonts w:ascii="Times New Roman" w:hAnsi="Times New Roman"/>
          <w:b/>
          <w:color w:val="000000"/>
          <w:sz w:val="24"/>
        </w:rPr>
        <w:t>(iv)</w:t>
      </w:r>
      <w:r>
        <w:rPr>
          <w:rFonts w:ascii="Times New Roman" w:hAnsi="Times New Roman"/>
          <w:color w:val="000000"/>
          <w:sz w:val="24"/>
        </w:rPr>
        <w:t xml:space="preserve"> of </w:t>
      </w:r>
      <w:r>
        <w:rPr>
          <w:rFonts w:ascii="Times New Roman" w:hAnsi="Times New Roman"/>
          <w:b/>
          <w:color w:val="000000"/>
          <w:sz w:val="24"/>
        </w:rPr>
        <w:t>Section 7.01(A)</w:t>
      </w:r>
      <w:r>
        <w:rPr>
          <w:rFonts w:ascii="Times New Roman" w:hAnsi="Times New Roman"/>
          <w:color w:val="000000"/>
          <w:sz w:val="24"/>
        </w:rPr>
        <w:t xml:space="preserve">,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 w:hAnsi="Times New Roman"/>
          <w:b/>
          <w:color w:val="000000"/>
          <w:sz w:val="24"/>
        </w:rPr>
        <w:t>Article 5</w:t>
      </w:r>
      <w:r>
        <w:rPr>
          <w:rFonts w:ascii="Times New Roman" w:hAnsi="Times New Roman"/>
          <w:color w:val="000000"/>
          <w:sz w:val="24"/>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hAnsi="Times New Roman"/>
          <w:b/>
          <w:color w:val="000000"/>
          <w:sz w:val="24"/>
        </w:rPr>
        <w:t>Section 10.06</w:t>
      </w:r>
      <w:r>
        <w:rPr>
          <w:rFonts w:ascii="Times New Roman" w:hAnsi="Times New Roman"/>
          <w:color w:val="000000"/>
          <w:sz w:val="24"/>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- 76 -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7.10.   Trustee May File Proofs of Claim.</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hAnsi="Times New Roman"/>
          <w:b/>
          <w:color w:val="000000"/>
          <w:sz w:val="24"/>
        </w:rPr>
        <w:t>Section 10.06</w:t>
      </w:r>
      <w:r>
        <w:rPr>
          <w:rFonts w:ascii="Times New Roman" w:hAnsi="Times New Roman"/>
          <w:color w:val="000000"/>
          <w:sz w:val="24"/>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7.11.   Priorities.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will pay or deliver in the following order any money or other property that it collects pursuant to this </w:t>
      </w:r>
      <w:r>
        <w:rPr>
          <w:rFonts w:ascii="Times New Roman" w:hAnsi="Times New Roman"/>
          <w:b/>
          <w:color w:val="000000"/>
          <w:sz w:val="24"/>
        </w:rPr>
        <w:t>Article 7</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i/>
          <w:color w:val="000000"/>
          <w:sz w:val="24"/>
        </w:rPr>
        <w:t>First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to the Trustee and its agents and attorneys for amounts due under </w:t>
      </w:r>
      <w:r>
        <w:rPr>
          <w:rFonts w:ascii="Times New Roman" w:hAnsi="Times New Roman"/>
          <w:b/>
          <w:color w:val="000000"/>
          <w:sz w:val="24"/>
        </w:rPr>
        <w:t>Section 10.06</w:t>
      </w:r>
      <w:r>
        <w:rPr>
          <w:rFonts w:ascii="Times New Roman" w:hAnsi="Times New Roman"/>
          <w:color w:val="000000"/>
          <w:sz w:val="24"/>
        </w:rPr>
        <w:t>, including payment of all fees and compensation of, and all expenses and liabilities incurred, and all advances made, by, the Trustee (in each of its capacities under this Indenture, including as Note Agent) and the costs and expenses of collection;</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i/>
          <w:color w:val="000000"/>
          <w:sz w:val="24"/>
        </w:rPr>
        <w:t>Second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Holders for unpaid amounts or other property due on the Notes, including the principal of, or the 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i/>
          <w:color w:val="000000"/>
          <w:sz w:val="24"/>
        </w:rPr>
        <w:t>Third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the Company or such other Person as a court of competent jurisdiction directs.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- 77 -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may fix a record date and payment date for any payment or delivery to the Holders pursuant to this </w:t>
      </w:r>
      <w:r>
        <w:rPr>
          <w:rFonts w:ascii="Times New Roman" w:hAnsi="Times New Roman"/>
          <w:b/>
          <w:color w:val="000000"/>
          <w:sz w:val="24"/>
        </w:rPr>
        <w:t>Section 7.11</w:t>
      </w:r>
      <w:r>
        <w:rPr>
          <w:rFonts w:ascii="Times New Roman" w:hAnsi="Times New Roman"/>
          <w:color w:val="000000"/>
          <w:sz w:val="24"/>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7.12.   Undertaking for Costs.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this </w:t>
      </w:r>
      <w:r>
        <w:rPr>
          <w:rFonts w:ascii="Times New Roman" w:hAnsi="Times New Roman"/>
          <w:b/>
          <w:color w:val="000000"/>
          <w:sz w:val="24"/>
        </w:rPr>
        <w:t>Section 7.12</w:t>
      </w:r>
      <w:r>
        <w:rPr>
          <w:rFonts w:ascii="Times New Roman" w:hAnsi="Times New Roman"/>
          <w:color w:val="000000"/>
          <w:sz w:val="24"/>
        </w:rPr>
        <w:t xml:space="preserve"> does not apply to any suit by the Trustee, any suit by a Holder pursuant to </w:t>
      </w:r>
      <w:r>
        <w:rPr>
          <w:rFonts w:ascii="Times New Roman" w:hAnsi="Times New Roman"/>
          <w:b/>
          <w:color w:val="000000"/>
          <w:sz w:val="24"/>
        </w:rPr>
        <w:t>Section 7.08</w:t>
      </w:r>
      <w:r>
        <w:rPr>
          <w:rFonts w:ascii="Times New Roman" w:hAnsi="Times New Roman"/>
          <w:color w:val="000000"/>
          <w:sz w:val="24"/>
        </w:rPr>
        <w:t xml:space="preserve"> or any suit by one or more Holders of more than ten percent (10%) in aggregate principal amount of the Notes then outstanding.</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Article 8.    AMENDMENTS, SUPPLEMENTS AND WAIVERS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8.01.    Without the Consent of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w:t>
      </w:r>
      <w:r>
        <w:rPr>
          <w:rFonts w:ascii="Times New Roman" w:hAnsi="Times New Roman"/>
          <w:b/>
          <w:color w:val="000000"/>
          <w:sz w:val="24"/>
        </w:rPr>
        <w:t>Section 8.02</w:t>
      </w:r>
      <w:r>
        <w:rPr>
          <w:rFonts w:ascii="Times New Roman" w:hAnsi="Times New Roman"/>
          <w:color w:val="000000"/>
          <w:sz w:val="24"/>
        </w:rPr>
        <w:t>, the Company and the Trustee may amend or supplement this Indenture or the Notes without the consent of any Holder to:</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cure any ambiguity or correct any omission, defect or inconsistency in this Indenture or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add guarantees with respect to the Company’s obligations under this Indenture or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secure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add to the Company’s covenants or Events of Default for the benefit of the Holders or surrender any right or power conferred on the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provide for the assumption of the Company’s obligations under this Indenture and the Notes pursuant to, and in compliance with, </w:t>
      </w:r>
      <w:r>
        <w:rPr>
          <w:rFonts w:ascii="Times New Roman" w:hAnsi="Times New Roman"/>
          <w:b/>
          <w:color w:val="000000"/>
          <w:sz w:val="24"/>
        </w:rPr>
        <w:t>Article 6</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 xml:space="preserve">enter into supplemental indentures pursuant to, and in accordance with, </w:t>
      </w:r>
      <w:r>
        <w:rPr>
          <w:rFonts w:ascii="Times New Roman" w:hAnsi="Times New Roman"/>
          <w:b/>
          <w:color w:val="000000"/>
          <w:sz w:val="24"/>
        </w:rPr>
        <w:t>Section 5.09</w:t>
      </w:r>
      <w:r>
        <w:rPr>
          <w:rFonts w:ascii="Times New Roman" w:hAnsi="Times New Roman"/>
          <w:color w:val="000000"/>
          <w:sz w:val="24"/>
        </w:rPr>
        <w:t xml:space="preserve"> in connection with an Ordinary Share Change Event;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 xml:space="preserve">irrevocably elect or eliminate any Settlement Method or Specified Dollar Amount;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no such election or elimination will affect any Settlement Method theretofore elected (or deemed to be elected) with respect to any Note pursuant to </w:t>
      </w:r>
      <w:r>
        <w:rPr>
          <w:rFonts w:ascii="Times New Roman" w:hAnsi="Times New Roman"/>
          <w:b/>
          <w:color w:val="000000"/>
          <w:sz w:val="24"/>
        </w:rPr>
        <w:t>Section 5.03(A)</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evidence or provide for the acceptance of the appointment, under this Indenture, of a successor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- 78 -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conform the provisions of this Indenture and the Notes to the “Description of Notes” section of the Company’s preliminary offering memorandum, dated December 1, 2025, as supplemented by the related pricing term sheet, dated December 2, 2025;</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 xml:space="preserve">provide for or confirm the issuance of additional Notes pursuant to </w:t>
      </w:r>
      <w:r>
        <w:rPr>
          <w:rFonts w:ascii="Times New Roman" w:hAnsi="Times New Roman"/>
          <w:b/>
          <w:color w:val="000000"/>
          <w:sz w:val="24"/>
        </w:rPr>
        <w:t>Section 2.03(B)</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comply with any requirement of the SEC in connection with any qualification of this Indenture, or any related supplemental indenture, under the Trust Indenture Act, as then in effect; 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make any other change to this Indenture or the Notes that does not, individually or in the aggregate with all other such changes, adversely affect the rights of the Holders, as such, in any material respect, as determined by the Company in good faith.</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At the written request of any Holder of a Note or owner of a beneficial interest in a Global Note, the Company will provide a copy of the “Description of Notes” section and pricing term sheet referred to in </w:t>
      </w:r>
      <w:r>
        <w:rPr>
          <w:rFonts w:ascii="Times New Roman" w:hAnsi="Times New Roman"/>
          <w:b/>
          <w:color w:val="000000"/>
          <w:sz w:val="24"/>
        </w:rPr>
        <w:t>Section 8.01(I)</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8.02.    With the Consent of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w:t>
      </w:r>
      <w:r>
        <w:rPr>
          <w:rFonts w:ascii="Times New Roman" w:hAnsi="Times New Roman"/>
          <w:b/>
          <w:color w:val="000000"/>
          <w:sz w:val="24"/>
        </w:rPr>
        <w:t>Sections 8.01</w:t>
      </w:r>
      <w:r>
        <w:rPr>
          <w:rFonts w:ascii="Times New Roman" w:hAnsi="Times New Roman"/>
          <w:color w:val="000000"/>
          <w:sz w:val="24"/>
        </w:rPr>
        <w:t xml:space="preserve">, </w:t>
      </w:r>
      <w:r>
        <w:rPr>
          <w:rFonts w:ascii="Times New Roman" w:hAnsi="Times New Roman"/>
          <w:b/>
          <w:color w:val="000000"/>
          <w:sz w:val="24"/>
        </w:rPr>
        <w:t>7.05</w:t>
      </w:r>
      <w:r>
        <w:rPr>
          <w:rFonts w:ascii="Times New Roman" w:hAnsi="Times New Roman"/>
          <w:color w:val="000000"/>
          <w:sz w:val="24"/>
        </w:rPr>
        <w:t xml:space="preserve"> and </w:t>
      </w:r>
      <w:r>
        <w:rPr>
          <w:rFonts w:ascii="Times New Roman" w:hAnsi="Times New Roman"/>
          <w:b/>
          <w:color w:val="000000"/>
          <w:sz w:val="24"/>
        </w:rPr>
        <w:t>7.08</w:t>
      </w:r>
      <w:r>
        <w:rPr>
          <w:rFonts w:ascii="Times New Roman" w:hAnsi="Times New Roman"/>
          <w:color w:val="000000"/>
          <w:sz w:val="24"/>
        </w:rPr>
        <w:t xml:space="preserve"> and the immediately following sentence, the Company and the 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hAnsi="Times New Roman"/>
          <w:b/>
          <w:color w:val="000000"/>
          <w:sz w:val="24"/>
        </w:rPr>
        <w:t>Section 8.01</w:t>
      </w:r>
      <w:r>
        <w:rPr>
          <w:rFonts w:ascii="Times New Roman" w:hAnsi="Times New Roman"/>
          <w:color w:val="000000"/>
          <w:sz w:val="24"/>
        </w:rPr>
        <w:t>, without the consent of each affected Holder, no amendment or supplement to this Indenture or the Notes, or waiver of any provision of this Indenture or the Notes, may:</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reduce the principal, or change the stated maturity, of any Note;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reduce the Redemption Price or Fundamental Change Repurchase Price for any Note or change the times at which, or the circumstances under which, the Notes may or will be redeemed or repurchased by the Company;</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reduce the rate, or extend the time for the payment, of interest on any Note;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make any change that adversely affects the Conversion rights of any Note;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impair the rights of any Holder set forth in </w:t>
      </w:r>
      <w:r>
        <w:rPr>
          <w:rFonts w:ascii="Times New Roman" w:hAnsi="Times New Roman"/>
          <w:b/>
          <w:color w:val="000000"/>
          <w:sz w:val="24"/>
        </w:rPr>
        <w:t>Section 7.08</w:t>
      </w:r>
      <w:r>
        <w:rPr>
          <w:rFonts w:ascii="Times New Roman" w:hAnsi="Times New Roman"/>
          <w:color w:val="000000"/>
          <w:sz w:val="24"/>
        </w:rPr>
        <w:t xml:space="preserve"> (as such section is in effect on the Issue Date);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change the ranking of the Notes;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make any Note payable in money, or at a place of payment, other than that stated in this Indenture or the Note;</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make any change to the Company’s obligation to pay Additional Amounts on any Note in a manner adverse to any Holder or beneficial owner of the Notes;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- 79 -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reduce the amount of Notes whose Holders must consent to any amendment, supplement, waiver or other modification; or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make any direct or indirect change to any amendment, supplement, waiver or modification provision of this Indenture or the Notes that requires the consent of each affected Holder.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avoidance of doubt, pursuant to </w:t>
      </w:r>
      <w:r>
        <w:rPr>
          <w:rFonts w:ascii="Times New Roman" w:hAnsi="Times New Roman"/>
          <w:b/>
          <w:color w:val="000000"/>
          <w:sz w:val="24"/>
        </w:rPr>
        <w:t>clauses</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w:t>
      </w:r>
      <w:r>
        <w:rPr>
          <w:rFonts w:ascii="Times New Roman" w:hAnsi="Times New Roman"/>
          <w:b/>
          <w:color w:val="000000"/>
          <w:sz w:val="24"/>
        </w:rPr>
        <w:t>(ii)</w:t>
      </w:r>
      <w:r>
        <w:rPr>
          <w:rFonts w:ascii="Times New Roman" w:hAnsi="Times New Roman"/>
          <w:color w:val="000000"/>
          <w:sz w:val="24"/>
        </w:rPr>
        <w:t xml:space="preserve">, </w:t>
      </w:r>
      <w:r>
        <w:rPr>
          <w:rFonts w:ascii="Times New Roman" w:hAnsi="Times New Roman"/>
          <w:b/>
          <w:color w:val="000000"/>
          <w:sz w:val="24"/>
        </w:rPr>
        <w:t>(iii)</w:t>
      </w:r>
      <w:r>
        <w:rPr>
          <w:rFonts w:ascii="Times New Roman" w:hAnsi="Times New Roman"/>
          <w:color w:val="000000"/>
          <w:sz w:val="24"/>
        </w:rPr>
        <w:t xml:space="preserve"> and </w:t>
      </w:r>
      <w:r>
        <w:rPr>
          <w:rFonts w:ascii="Times New Roman" w:hAnsi="Times New Roman"/>
          <w:b/>
          <w:color w:val="000000"/>
          <w:sz w:val="24"/>
        </w:rPr>
        <w:t>(iv)</w:t>
      </w:r>
      <w:r>
        <w:rPr>
          <w:rFonts w:ascii="Times New Roman" w:hAnsi="Times New Roman"/>
          <w:color w:val="000000"/>
          <w:sz w:val="24"/>
        </w:rPr>
        <w:t xml:space="preserve"> of this </w:t>
      </w:r>
      <w:r>
        <w:rPr>
          <w:rFonts w:ascii="Times New Roman" w:hAnsi="Times New Roman"/>
          <w:b/>
          <w:color w:val="000000"/>
          <w:sz w:val="24"/>
        </w:rPr>
        <w:t>Section 8.02(A)</w:t>
      </w:r>
      <w:r>
        <w:rPr>
          <w:rFonts w:ascii="Times New Roman" w:hAnsi="Times New Roman"/>
          <w:color w:val="000000"/>
          <w:sz w:val="24"/>
        </w:rPr>
        <w:t>, no amendment or supplement to this Indenture or the Notes, or waiver of any provision of this Indenture or the Notes, may (except as expressly provided otherwise in this Indenture or the Notes) change the type or reduce the amount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Holders Need Not Approve the Particular Form of any Amendment</w:t>
      </w:r>
      <w:r>
        <w:rPr>
          <w:rFonts w:ascii="Times New Roman" w:hAnsi="Times New Roman"/>
          <w:color w:val="000000"/>
          <w:sz w:val="24"/>
        </w:rPr>
        <w:t xml:space="preserve">. A consent of any Holder pursuant to this </w:t>
      </w:r>
      <w:r>
        <w:rPr>
          <w:rFonts w:ascii="Times New Roman" w:hAnsi="Times New Roman"/>
          <w:b/>
          <w:color w:val="000000"/>
          <w:sz w:val="24"/>
        </w:rPr>
        <w:t>Section 8.02</w:t>
      </w:r>
      <w:r>
        <w:rPr>
          <w:rFonts w:ascii="Times New Roman" w:hAnsi="Times New Roman"/>
          <w:color w:val="000000"/>
          <w:sz w:val="24"/>
        </w:rPr>
        <w:t xml:space="preserve"> need approve only the substance, and not necessarily the particular form, of the proposed amendment, supplement or waiver.</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8.03.    Notice of Amendments, Supplements and Waivers.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As soon as reasonably practicable after any amendment, supplement or waiver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8.01</w:t>
      </w:r>
      <w:r>
        <w:rPr>
          <w:rFonts w:ascii="Times New Roman" w:hAnsi="Times New Roman"/>
          <w:color w:val="000000"/>
          <w:sz w:val="24"/>
        </w:rPr>
        <w:t xml:space="preserve"> or </w:t>
      </w:r>
      <w:r>
        <w:rPr>
          <w:rFonts w:ascii="Times New Roman" w:hAnsi="Times New Roman"/>
          <w:b/>
          <w:color w:val="000000"/>
          <w:sz w:val="24"/>
        </w:rPr>
        <w:t>8.02</w:t>
      </w:r>
      <w:r>
        <w:rPr>
          <w:rFonts w:ascii="Times New Roman" w:hAnsi="Times New Roman"/>
          <w:color w:val="000000"/>
          <w:sz w:val="24"/>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8.04.    Revocation, Effect and Solicitation of Consents; Special Record Dates; Etc.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Revocation and Effect of Consents</w:t>
      </w:r>
      <w:r>
        <w:rPr>
          <w:rFonts w:ascii="Times New Roman" w:hAnsi="Times New Roman"/>
          <w:color w:val="000000"/>
          <w:sz w:val="24"/>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hAnsi="Times New Roman"/>
          <w:b/>
          <w:color w:val="000000"/>
          <w:sz w:val="24"/>
        </w:rPr>
        <w:t>Section 8.04(B)</w:t>
      </w:r>
      <w:r>
        <w:rPr>
          <w:rFonts w:ascii="Times New Roman" w:hAnsi="Times New Roman"/>
          <w:color w:val="000000"/>
          <w:sz w:val="24"/>
        </w:rPr>
        <w:t>) any such consent with respect to such Note by delivering notice of revocation to the Trustee before the time such amendment, supplement or waiver becomes effective.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Special Record Dates</w:t>
      </w:r>
      <w:r>
        <w:rPr>
          <w:rFonts w:ascii="Times New Roman" w:hAnsi="Times New Roman"/>
          <w:color w:val="000000"/>
          <w:sz w:val="24"/>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 w:hAnsi="Times New Roman"/>
          <w:b/>
          <w:color w:val="000000"/>
          <w:sz w:val="24"/>
        </w:rPr>
        <w:t>Article 8</w:t>
      </w:r>
      <w:r>
        <w:rPr>
          <w:rFonts w:ascii="Times New Roman" w:hAnsi="Times New Roman"/>
          <w:color w:val="000000"/>
          <w:sz w:val="24"/>
        </w:rPr>
        <w:t xml:space="preserve">. If a record date is fixed, then, notwithstanding anything to the contrary in </w:t>
      </w:r>
      <w:r>
        <w:rPr>
          <w:rFonts w:ascii="Times New Roman" w:hAnsi="Times New Roman"/>
          <w:b/>
          <w:color w:val="000000"/>
          <w:sz w:val="24"/>
        </w:rPr>
        <w:t>Section 8.04(A)</w:t>
      </w:r>
      <w:r>
        <w:rPr>
          <w:rFonts w:ascii="Times New Roman" w:hAnsi="Times New Roman"/>
          <w:color w:val="000000"/>
          <w:sz w:val="24"/>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consent will be valid or effective for more than one hundred and twenty (120) calendar days after such record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- 80 -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Solicitation of Consents</w:t>
      </w:r>
      <w:r>
        <w:rPr>
          <w:rFonts w:ascii="Times New Roman" w:hAnsi="Times New Roman"/>
          <w:color w:val="000000"/>
          <w:sz w:val="24"/>
        </w:rPr>
        <w:t>. For the avoidance of doubt, each reference in this Indenture or the Notes to the consent of a Holder will be deemed to include any such consent obtained in connection with a repurchase of, or tender or exchange offer for, any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Effectiveness and Binding Effect</w:t>
      </w:r>
      <w:r>
        <w:rPr>
          <w:rFonts w:ascii="Times New Roman" w:hAnsi="Times New Roman"/>
          <w:color w:val="000000"/>
          <w:sz w:val="24"/>
        </w:rPr>
        <w:t xml:space="preserve">. Each amendment, supplement or waiver pursuant to this </w:t>
      </w:r>
      <w:r>
        <w:rPr>
          <w:rFonts w:ascii="Times New Roman" w:hAnsi="Times New Roman"/>
          <w:b/>
          <w:color w:val="000000"/>
          <w:sz w:val="24"/>
        </w:rPr>
        <w:t>Article 8</w:t>
      </w:r>
      <w:r>
        <w:rPr>
          <w:rFonts w:ascii="Times New Roman" w:hAnsi="Times New Roman"/>
          <w:color w:val="000000"/>
          <w:sz w:val="24"/>
        </w:rPr>
        <w:t xml:space="preserve"> will become effective in accordance with its terms and, when it becomes effective with respect to any Note (or any portion thereof), will thereafter bind every Holder of such Note (or such portion).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8.05.    Notations and Exchanges.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a new Note that reflects the changed terms. The failure to make any appropriate notation or issue a new Note pursuant to this </w:t>
      </w:r>
      <w:r>
        <w:rPr>
          <w:rFonts w:ascii="Times New Roman" w:hAnsi="Times New Roman"/>
          <w:b/>
          <w:color w:val="000000"/>
          <w:sz w:val="24"/>
        </w:rPr>
        <w:t>Section 8.05</w:t>
      </w:r>
      <w:r>
        <w:rPr>
          <w:rFonts w:ascii="Times New Roman" w:hAnsi="Times New Roman"/>
          <w:color w:val="000000"/>
          <w:sz w:val="24"/>
        </w:rPr>
        <w:t xml:space="preserve"> will not impair or affect the validity of such amendment, supplement or waiver.</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8.06.    Trustee to Execute Supplemental Indentures.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will execute and deliver any amendment or supplemental indenture authorized pursuant to this </w:t>
      </w:r>
      <w:r>
        <w:rPr>
          <w:rFonts w:ascii="Times New Roman" w:hAnsi="Times New Roman"/>
          <w:b/>
          <w:color w:val="000000"/>
          <w:sz w:val="24"/>
        </w:rPr>
        <w:t>Article 8</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10.01</w:t>
      </w:r>
      <w:r>
        <w:rPr>
          <w:rFonts w:ascii="Times New Roman" w:hAnsi="Times New Roman"/>
          <w:color w:val="000000"/>
          <w:sz w:val="24"/>
        </w:rPr>
        <w:t xml:space="preserve"> and </w:t>
      </w:r>
      <w:r>
        <w:rPr>
          <w:rFonts w:ascii="Times New Roman" w:hAnsi="Times New Roman"/>
          <w:b/>
          <w:color w:val="000000"/>
          <w:sz w:val="24"/>
        </w:rPr>
        <w:t>10.02</w:t>
      </w:r>
      <w:r>
        <w:rPr>
          <w:rFonts w:ascii="Times New Roman" w:hAnsi="Times New Roman"/>
          <w:color w:val="000000"/>
          <w:sz w:val="24"/>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Article 9.    SATISFACTION AND DISCHARGE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9.01.       Termination of Company’s Obligations.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This Indenture will be discharged, and will cease to be of further effect as to all Notes issued under this Indenture, when: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all Notes then outstanding (other than Notes replaced pursuant to </w:t>
      </w:r>
      <w:r>
        <w:rPr>
          <w:rFonts w:ascii="Times New Roman" w:hAnsi="Times New Roman"/>
          <w:b/>
          <w:color w:val="000000"/>
          <w:sz w:val="24"/>
        </w:rPr>
        <w:t>Section 2.13</w:t>
      </w:r>
      <w:r>
        <w:rPr>
          <w:rFonts w:ascii="Times New Roman" w:hAnsi="Times New Roman"/>
          <w:color w:val="000000"/>
          <w:sz w:val="24"/>
        </w:rPr>
        <w:t>)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- 81 -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(including, if applicable, all related Additional Amounts) due on all Notes then outstanding (other than Notes replaced pursuant to </w:t>
      </w:r>
      <w:r>
        <w:rPr>
          <w:rFonts w:ascii="Times New Roman" w:hAnsi="Times New Roman"/>
          <w:b/>
          <w:color w:val="000000"/>
          <w:sz w:val="24"/>
        </w:rPr>
        <w:t>Section 2.13</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Company has paid all other amounts payable by it under this Indenture;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Company has delivered to the Trustee an Officer’s Certificate and an Opinion of Counsel, each stating that the conditions precedent to the discharge of this Indenture have been satisfied;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w:t>
      </w:r>
      <w:r>
        <w:rPr>
          <w:rFonts w:ascii="Times New Roman" w:hAnsi="Times New Roman"/>
          <w:b/>
          <w:color w:val="000000"/>
          <w:sz w:val="24"/>
        </w:rPr>
        <w:t>Article 10</w:t>
      </w:r>
      <w:r>
        <w:rPr>
          <w:rFonts w:ascii="Times New Roman" w:hAnsi="Times New Roman"/>
          <w:color w:val="000000"/>
          <w:sz w:val="24"/>
        </w:rPr>
        <w:t xml:space="preserve"> and </w:t>
      </w:r>
      <w:r>
        <w:rPr>
          <w:rFonts w:ascii="Times New Roman" w:hAnsi="Times New Roman"/>
          <w:b/>
          <w:color w:val="000000"/>
          <w:sz w:val="24"/>
        </w:rPr>
        <w:t>Section 11.01</w:t>
      </w:r>
      <w:r>
        <w:rPr>
          <w:rFonts w:ascii="Times New Roman" w:hAnsi="Times New Roman"/>
          <w:color w:val="000000"/>
          <w:sz w:val="24"/>
        </w:rPr>
        <w:t xml:space="preserve"> will survive such discharge and, until no Notes remain outstanding, </w:t>
      </w:r>
      <w:r>
        <w:rPr>
          <w:rFonts w:ascii="Times New Roman" w:hAnsi="Times New Roman"/>
          <w:b/>
          <w:color w:val="000000"/>
          <w:sz w:val="24"/>
        </w:rPr>
        <w:t>Section 2.15</w:t>
      </w:r>
      <w:r>
        <w:rPr>
          <w:rFonts w:ascii="Times New Roman" w:hAnsi="Times New Roman"/>
          <w:color w:val="000000"/>
          <w:sz w:val="24"/>
        </w:rPr>
        <w:t xml:space="preserve"> and the obligations of the Trustee, the Paying Agent and the Conversion Agent with respect to money or other property deposited with them will survive such discharge.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At the Company’s request, the Trustee will acknowledge the satisfaction and discharge of this Indenture.</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9.02.    Repayment to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9.03.    Reinstatement.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the Trustee, the Paying Agent or the Conversion Agent is unable to apply any cash or other property deposited with it pursuant to </w:t>
      </w:r>
      <w:r>
        <w:rPr>
          <w:rFonts w:ascii="Times New Roman" w:hAnsi="Times New Roman"/>
          <w:b/>
          <w:color w:val="000000"/>
          <w:sz w:val="24"/>
        </w:rPr>
        <w:t>Section 9.01</w:t>
      </w:r>
      <w:r>
        <w:rPr>
          <w:rFonts w:ascii="Times New Roman" w:hAnsi="Times New Roman"/>
          <w:color w:val="000000"/>
          <w:sz w:val="24"/>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hAnsi="Times New Roman"/>
          <w:b/>
          <w:color w:val="000000"/>
          <w:sz w:val="24"/>
        </w:rPr>
        <w:t>Section 9.01</w:t>
      </w:r>
      <w:r>
        <w:rPr>
          <w:rFonts w:ascii="Times New Roman" w:hAnsi="Times New Roman"/>
          <w:color w:val="000000"/>
          <w:sz w:val="24"/>
        </w:rPr>
        <w:t xml:space="preserve"> will be rescinded;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- 82 -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Article 10.     TRUSTEE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10.01.   Duties of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If an Event of Default has occurred and is continuing, and a Responsible Officer of the Trustee has written notice or actual knowledge of the same, then, without limiting the generality of </w:t>
      </w:r>
      <w:r>
        <w:rPr>
          <w:rFonts w:ascii="Times New Roman" w:hAnsi="Times New Roman"/>
          <w:b/>
          <w:color w:val="000000"/>
          <w:sz w:val="24"/>
        </w:rPr>
        <w:t>Section 10.02(F)</w:t>
      </w:r>
      <w:r>
        <w:rPr>
          <w:rFonts w:ascii="Times New Roman" w:hAnsi="Times New Roman"/>
          <w:color w:val="000000"/>
          <w:sz w:val="24"/>
        </w:rPr>
        <w:t>, the Trustee will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Except during the continuance of an Event of Default: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Trustee will examine the certificates and opinions to determine whether or not they conform to the requirements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Trustee may not be relieved from liabilities for its negligence or willful misconduct, except that: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this paragraph will not limit the effect of </w:t>
      </w:r>
      <w:r>
        <w:rPr>
          <w:rFonts w:ascii="Times New Roman" w:hAnsi="Times New Roman"/>
          <w:b/>
          <w:color w:val="000000"/>
          <w:sz w:val="24"/>
        </w:rPr>
        <w:t>Section 10.01(B)</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Trustee will not be liable for any error of judgment made in good faith by a Responsible Officer, unless it is proved that the Trustee was negligent in ascertaining the pertinent facts;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Trustee will not be liable with respect to any action it takes or omits to take in good faith in accordance with a direction received by it pursuant to </w:t>
      </w:r>
      <w:r>
        <w:rPr>
          <w:rFonts w:ascii="Times New Roman" w:hAnsi="Times New Roman"/>
          <w:b/>
          <w:color w:val="000000"/>
          <w:sz w:val="24"/>
        </w:rPr>
        <w:t>Section 7.06</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No provision of this Indenture will require the Trustee to expend or risk its own funds or incur any liability.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The Trustee will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The Trustee will not be liable in its individual capacity for the obligations evidenced by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Each provision of this Indenture that in any way relates to the Trustee (including any provision that affects the liability of, or affords protection to, the Trustee) is subject to this</w:t>
      </w:r>
      <w:r>
        <w:rPr>
          <w:rFonts w:ascii="Times New Roman" w:hAnsi="Times New Roman"/>
          <w:color w:val="000000"/>
          <w:sz w:val="20"/>
        </w:rPr>
        <w:t xml:space="preserve"> </w:t>
      </w:r>
      <w:r>
        <w:rPr>
          <w:rFonts w:ascii="Times New Roman" w:hAnsi="Times New Roman"/>
          <w:b/>
          <w:color w:val="000000"/>
          <w:sz w:val="24"/>
        </w:rPr>
        <w:t>Section 10.01</w:t>
      </w:r>
      <w:r>
        <w:rPr>
          <w:rFonts w:ascii="Times New Roman" w:hAnsi="Times New Roman"/>
          <w:color w:val="000000"/>
          <w:sz w:val="24"/>
        </w:rPr>
        <w:t>, regardless of whether such provision so expressly provides.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- 83 -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10.02.    Rights of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Trustee may conclusively rely on any document that it believes to be genuine and signed or presented by the proper Person, and the Trustee need not investigate any fact or matter stated in such document.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Trustee may act through its attorneys and agents and will not be responsible for the misconduct or negligence of any such agent appointed with due care.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Trustee will not be liable for any action it takes or omits to take in good faith and that it believes to be authorized or within the rights or powers vested in it by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Unless otherwise specifically provided in this Indenture, any demand, request, direction or notice from the Company will be sufficient if signed by an Officer of the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The Trustee will not be responsible or liable for any punitive, special, indirect or consequential loss or damage (including lost profits), even if the Trustee has been advised of the likelihood of such loss or damage and regardless of the form of action.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The permissive rights of the Trustee set forth in this Indenture will not be construed as duties imposed on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Trustee will not be required to give any bond or surety in respect of the execution or performance of this Indenture or otherwise.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Unless a Responsible Officer of the Trustee has received notice from the Company that Additional Amounts, Additional Interest or Special Interest is owing or, if applicable, accruing, on the Notes, the Trustee may assume that no Additional Amounts, Additional Interest or Special Interest, as applicable, is payable or, if applicable, accruing.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The rights, privileges, protections, immunities and benefits given to the Trustee, including its right to be indemnified, are extended to, and will be enforceable by, the Trustee in each of its capacities under this Indenture, including as Note Agent.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- 84 -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The Trustee will not be charged with knowledge of any document or agreement other than this Indenture and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10.03.    Individual Rights of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hAnsi="Times New Roman"/>
          <w:b/>
          <w:color w:val="000000"/>
          <w:sz w:val="24"/>
        </w:rPr>
        <w:t>Section 10.03</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10.04.    Trustee’s Disclaimer.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10.05.    Notice of Defaults.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except in the case of a Default or Event of Default in the payment of the principal of, or interest on, any Note, the Trustee may withhold such notice if and for so long as it in good faith determines that withholding such notice is in the interests of the Holders. The Trustee will not be deemed to have notice or be charged with knowledge of any Default or Event of Default unless (A) written notice thereof has been received by a Responsible Officer; and (B) such notice references the Notes and this Indenture and states on its face that a Default or Event of Default has occurred. For the avoidance of doubt, the Trustee will not be required to deliver such notice at any time after such Default or Event of Default is cured or waived.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- 85 -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10.06.   Compensation and Indemnity.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Company will, from time to time, pay the Trustee reasonable compensation for its acceptance of this Indenture and services under this Indenture as separately agreed to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Company will indemnify the Trustee (in each of its capacities under this Indenture)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hAnsi="Times New Roman"/>
          <w:b/>
          <w:color w:val="000000"/>
          <w:sz w:val="24"/>
        </w:rPr>
        <w:t>Section 10.06</w:t>
      </w:r>
      <w:r>
        <w:rPr>
          <w:rFonts w:ascii="Times New Roman" w:hAnsi="Times New Roman"/>
          <w:color w:val="000000"/>
          <w:sz w:val="24"/>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hAnsi="Times New Roman"/>
          <w:b/>
          <w:color w:val="000000"/>
          <w:sz w:val="24"/>
        </w:rPr>
        <w:t>Section 10.06(B)</w:t>
      </w:r>
      <w:r>
        <w:rPr>
          <w:rFonts w:ascii="Times New Roman" w:hAnsi="Times New Roman"/>
          <w:color w:val="000000"/>
          <w:sz w:val="24"/>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The obligations of the Company under this </w:t>
      </w:r>
      <w:r>
        <w:rPr>
          <w:rFonts w:ascii="Times New Roman" w:hAnsi="Times New Roman"/>
          <w:b/>
          <w:color w:val="000000"/>
          <w:sz w:val="24"/>
        </w:rPr>
        <w:t>Section 10.06</w:t>
      </w:r>
      <w:r>
        <w:rPr>
          <w:rFonts w:ascii="Times New Roman" w:hAnsi="Times New Roman"/>
          <w:color w:val="000000"/>
          <w:sz w:val="24"/>
        </w:rPr>
        <w:t xml:space="preserve"> will survive the resignation or removal of the Trustee and the discharge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To secure the Company’s payment obligations in this </w:t>
      </w:r>
      <w:r>
        <w:rPr>
          <w:rFonts w:ascii="Times New Roman" w:hAnsi="Times New Roman"/>
          <w:b/>
          <w:color w:val="000000"/>
          <w:sz w:val="24"/>
        </w:rPr>
        <w:t>Section 10.06</w:t>
      </w:r>
      <w:r>
        <w:rPr>
          <w:rFonts w:ascii="Times New Roman" w:hAnsi="Times New Roman"/>
          <w:color w:val="000000"/>
          <w:sz w:val="24"/>
        </w:rPr>
        <w:t>, the Trustee will have a lien prior to the Notes on all money or property held or collected by the Trustee, except that held in trust to pay principal of, or interest on, particular Notes, which lien will survive the discharge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If the Trustee incurs expenses or renders services after an Event of Default pursuant to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(viii)</w:t>
      </w:r>
      <w:r>
        <w:rPr>
          <w:rFonts w:ascii="Times New Roman" w:hAnsi="Times New Roman"/>
          <w:color w:val="000000"/>
          <w:sz w:val="24"/>
        </w:rPr>
        <w:t xml:space="preserve"> or </w:t>
      </w:r>
      <w:r>
        <w:rPr>
          <w:rFonts w:ascii="Times New Roman" w:hAnsi="Times New Roman"/>
          <w:b/>
          <w:color w:val="000000"/>
          <w:sz w:val="24"/>
        </w:rPr>
        <w:t>(ix)</w:t>
      </w:r>
      <w:r>
        <w:rPr>
          <w:rFonts w:ascii="Times New Roman" w:hAnsi="Times New Roman"/>
          <w:color w:val="000000"/>
          <w:sz w:val="24"/>
        </w:rPr>
        <w:t xml:space="preserve"> of </w:t>
      </w:r>
      <w:r>
        <w:rPr>
          <w:rFonts w:ascii="Times New Roman" w:hAnsi="Times New Roman"/>
          <w:b/>
          <w:color w:val="000000"/>
          <w:sz w:val="24"/>
        </w:rPr>
        <w:t>Section 7.01(A)</w:t>
      </w:r>
      <w:r>
        <w:rPr>
          <w:rFonts w:ascii="Times New Roman" w:hAnsi="Times New Roman"/>
          <w:color w:val="000000"/>
          <w:sz w:val="24"/>
        </w:rPr>
        <w:t xml:space="preserve"> occurs, then such expenses and the compensation for such services (including the fees and expenses of its agents and counsel) are intended to constitute expenses of administration under any Bankruptcy Law.</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10.07.    Replacement of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Notwithstanding anything to the contrary in this </w:t>
      </w:r>
      <w:r>
        <w:rPr>
          <w:rFonts w:ascii="Times New Roman" w:hAnsi="Times New Roman"/>
          <w:b/>
          <w:color w:val="000000"/>
          <w:sz w:val="24"/>
        </w:rPr>
        <w:t>Section 10.07</w:t>
      </w:r>
      <w:r>
        <w:rPr>
          <w:rFonts w:ascii="Times New Roman" w:hAnsi="Times New Roman"/>
          <w:color w:val="000000"/>
          <w:sz w:val="24"/>
        </w:rPr>
        <w:t xml:space="preserve">, a resignation or removal of the Trustee, and the appointment of a successor Trustee, will become effective only upon such successor Trustee’s acceptance of appointment as provided in this </w:t>
      </w:r>
      <w:r>
        <w:rPr>
          <w:rFonts w:ascii="Times New Roman" w:hAnsi="Times New Roman"/>
          <w:b/>
          <w:color w:val="000000"/>
          <w:sz w:val="24"/>
        </w:rPr>
        <w:t>Section 10.07</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- 86 -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w:t>
      </w:r>
      <w:r>
        <w:rPr>
          <w:rFonts w:ascii="Times New Roman" w:hAnsi="Times New Roman"/>
          <w:color w:val="000000"/>
          <w:sz w:val="24"/>
        </w:rPr>
        <w:t xml:space="preserve">the Trustee fails to comply with </w:t>
      </w:r>
      <w:r>
        <w:rPr>
          <w:rFonts w:ascii="Times New Roman" w:hAnsi="Times New Roman"/>
          <w:b/>
          <w:color w:val="000000"/>
          <w:sz w:val="24"/>
        </w:rPr>
        <w:t>Section 10.09</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Trustee is adjudged to be bankrupt or insolvent or an order for relief is entered with respect to the Trustee under any Bankruptcy Law;</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a custodian or public officer takes charge of the Trustee or its property; or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(iv) </w:t>
      </w:r>
      <w:r>
        <w:rPr>
          <w:rFonts w:ascii="Times New Roman" w:hAnsi="Times New Roman"/>
          <w:color w:val="000000"/>
          <w:sz w:val="20"/>
        </w:rPr>
        <w:t xml:space="preserve">        </w:t>
      </w:r>
      <w:r>
        <w:rPr>
          <w:rFonts w:ascii="Times New Roman" w:hAnsi="Times New Roman"/>
          <w:color w:val="000000"/>
          <w:sz w:val="24"/>
        </w:rPr>
        <w:t>the Trustee becomes incapable of acting.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If the Trustee, after written request by a Holder of at least six (6) months, fails to comply with </w:t>
      </w:r>
      <w:r>
        <w:rPr>
          <w:rFonts w:ascii="Times New Roman" w:hAnsi="Times New Roman"/>
          <w:b/>
          <w:color w:val="000000"/>
          <w:sz w:val="24"/>
        </w:rPr>
        <w:t>Section 10.09</w:t>
      </w:r>
      <w:r>
        <w:rPr>
          <w:rFonts w:ascii="Times New Roman" w:hAnsi="Times New Roman"/>
          <w:color w:val="000000"/>
          <w:sz w:val="24"/>
        </w:rPr>
        <w:t>, then such Holder may petition any court of competent jurisdiction for the removal of the Trustee and the appointment of a successor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hAnsi="Times New Roman"/>
          <w:b/>
          <w:color w:val="000000"/>
          <w:sz w:val="24"/>
        </w:rPr>
        <w:t>Section 10.06(D)</w:t>
      </w:r>
      <w:r>
        <w:rPr>
          <w:rFonts w:ascii="Times New Roman" w:hAnsi="Times New Roman"/>
          <w:color w:val="000000"/>
          <w:sz w:val="24"/>
        </w:rPr>
        <w: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10.08.   Successor Trustee by Merger, Etc.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hAnsi="Times New Roman"/>
          <w:i/>
          <w:color w:val="000000"/>
          <w:sz w:val="24"/>
        </w:rPr>
        <w:t>provided</w:t>
      </w:r>
      <w:r>
        <w:rPr>
          <w:rFonts w:ascii="Times New Roman" w:hAnsi="Times New Roman"/>
          <w:color w:val="000000"/>
          <w:sz w:val="24"/>
        </w:rPr>
        <w:t xml:space="preserve"> that such entity is otherwise qualified and eligible to act as such under this </w:t>
      </w:r>
      <w:r>
        <w:rPr>
          <w:rFonts w:ascii="Times New Roman" w:hAnsi="Times New Roman"/>
          <w:b/>
          <w:color w:val="000000"/>
          <w:sz w:val="24"/>
        </w:rPr>
        <w:t>Article 10</w:t>
      </w:r>
      <w:r>
        <w:rPr>
          <w:rFonts w:ascii="Times New Roman" w:hAnsi="Times New Roman"/>
          <w:color w:val="000000"/>
          <w:sz w:val="24"/>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- 87 -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10.09.    Eligibility; Disqualification.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Article 11.    MISCELLANEOUS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11.01.   Notices.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to the Company:</w:t>
      </w:r>
    </w:p>
    <w:p>
      <w:pPr>
        <w:pStyle w:val="TextBody"/>
        <w:bidi w:val="0"/>
        <w:spacing w:before="0" w:after="0"/>
        <w:jc w:val="both"/>
        <w:rPr>
          <w:color w:val="000000"/>
        </w:rPr>
      </w:pPr>
      <w:r>
        <w:rPr>
          <w:color w:val="000000"/>
        </w:rPr>
        <w:t> </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Level 6, 55 Market Street</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Sydney, NSW 2000 Australia</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Attention: [***]</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with a copy (which will not constitute notice) to:</w:t>
      </w:r>
    </w:p>
    <w:p>
      <w:pPr>
        <w:pStyle w:val="TextBody"/>
        <w:bidi w:val="0"/>
        <w:spacing w:before="0" w:after="0"/>
        <w:jc w:val="both"/>
        <w:rPr>
          <w:color w:val="000000"/>
        </w:rPr>
      </w:pPr>
      <w:r>
        <w:rPr>
          <w:color w:val="000000"/>
        </w:rPr>
        <w:t> </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Davis Polk &amp; Wardwell LLP</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450 Lexington Avenue</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New York, NY 10017</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Attention: Mark J. DiFiore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If to the Trustee:</w:t>
      </w:r>
    </w:p>
    <w:p>
      <w:pPr>
        <w:pStyle w:val="TextBody"/>
        <w:bidi w:val="0"/>
        <w:spacing w:before="0" w:after="0"/>
        <w:jc w:val="both"/>
        <w:rPr>
          <w:color w:val="000000"/>
        </w:rPr>
      </w:pPr>
      <w:r>
        <w:rPr>
          <w:color w:val="000000"/>
        </w:rPr>
        <w:t> </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U.S. Bank Trust Company, National Association</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633 West 5th Street, 24th Floor</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Los Angeles, California 90071</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Attention: B. Scarbrough (IREN Limited Administrator)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the preceding paragraph, notices to the Trustee (other than a notice pursuant to </w:t>
      </w:r>
      <w:r>
        <w:rPr>
          <w:rFonts w:ascii="Times New Roman" w:hAnsi="Times New Roman"/>
          <w:b/>
          <w:color w:val="000000"/>
          <w:sz w:val="24"/>
        </w:rPr>
        <w:t>Section 2.12</w:t>
      </w:r>
      <w:r>
        <w:rPr>
          <w:rFonts w:ascii="Times New Roman" w:hAnsi="Times New Roman"/>
          <w:color w:val="000000"/>
          <w:sz w:val="24"/>
        </w:rPr>
        <w:t>) or any Note Agent must be in writing and will be deemed to have been given upon actual receipt by the Trustee or such Note Agent, as applicable.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or the Trustee, by notice to the other, may designate additional or different addresses (including facsimile numbers and electronic addresses) for subsequent notices or communications.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- 88 -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hAnsi="Times New Roman"/>
          <w:i/>
          <w:color w:val="000000"/>
          <w:sz w:val="24"/>
        </w:rPr>
        <w:t>provided</w:t>
      </w:r>
      <w:r>
        <w:rPr>
          <w:rFonts w:ascii="Times New Roman" w:hAnsi="Times New Roman"/>
          <w:color w:val="000000"/>
          <w:sz w:val="24"/>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a notice or communication is mailed or sent in the manner provided above within the time prescribed, it will be deemed to have been duly given, whether or not the addressee receives it.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for purposes of the interpretation of this Indenture, such notice will be deemed to have been duly sent at the time otherwise required by this Indenture); and (B) whenever any provision of this Indenture requires a party to send notice to more than one receiving party, and each receiving party is the same Person acting in different capacities, then only one such notice need be sent to such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- 89 -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11.02.   Delivery of Officer’s Certificate and Opinion of Counsel as to Conditions Precedent.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Upon any request or application by the Company to the Trustee to take any action under this Indenture (other than the initial authentication of Notes under this Indenture), the Company will furnish to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an Officer’s Certificate that complies with </w:t>
      </w:r>
      <w:r>
        <w:rPr>
          <w:rFonts w:ascii="Times New Roman" w:hAnsi="Times New Roman"/>
          <w:b/>
          <w:color w:val="000000"/>
          <w:sz w:val="24"/>
        </w:rPr>
        <w:t>Section 11.03</w:t>
      </w:r>
      <w:r>
        <w:rPr>
          <w:rFonts w:ascii="Times New Roman" w:hAnsi="Times New Roman"/>
          <w:color w:val="000000"/>
          <w:sz w:val="24"/>
        </w:rPr>
        <w:t xml:space="preserve"> and states that, in the opinion of the signatory thereto, all conditions precedent and covenants, if any, provided for in this Indenture relating to such action have been satisfied;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an Opinion of Counsel that complies with </w:t>
      </w:r>
      <w:r>
        <w:rPr>
          <w:rFonts w:ascii="Times New Roman" w:hAnsi="Times New Roman"/>
          <w:b/>
          <w:color w:val="000000"/>
          <w:sz w:val="24"/>
        </w:rPr>
        <w:t>Section 11.03</w:t>
      </w:r>
      <w:r>
        <w:rPr>
          <w:rFonts w:ascii="Times New Roman" w:hAnsi="Times New Roman"/>
          <w:color w:val="000000"/>
          <w:sz w:val="24"/>
        </w:rPr>
        <w:t xml:space="preserve"> and states that, in the opinion of such counsel, all such conditions precedent and covenants, if any, have been satisfied.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11.03.   Statements Required in Officer’s Certificate and Opinion of Counsel.</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Each Officer’s Certificate (other than an Officer’s Certificate pursuant to </w:t>
      </w:r>
      <w:r>
        <w:rPr>
          <w:rFonts w:ascii="Times New Roman" w:hAnsi="Times New Roman"/>
          <w:b/>
          <w:color w:val="000000"/>
          <w:sz w:val="24"/>
        </w:rPr>
        <w:t>Section 3.06</w:t>
      </w:r>
      <w:r>
        <w:rPr>
          <w:rFonts w:ascii="Times New Roman" w:hAnsi="Times New Roman"/>
          <w:color w:val="000000"/>
          <w:sz w:val="24"/>
        </w:rPr>
        <w:t>) or Opinion of Counsel with respect to compliance with a covenant or condition provided for in this Indenture will include: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 statement that the signatory thereto has read such covenant or condition;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brief statement as to the nature and scope of the examination or investigation upon which the statements or opinions contained therein are based;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 statement that, in the opinion of such signatory, he, she or it has made such examination or investigation as is necessary to enable him, her or it to express an informed opinion as to whether or not such covenant or condition has been satisfied;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a statement as to whether, in the opinion of such signatory, such covenant or condition has been satisfied.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11.04.     Rules by the Trustee, the Registrar, the Paying Agent and the Conversion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may make reasonable rules for action by or at a meeting of Holders. Each of the Registrar, the Paying Agent and the Conversion Agent may make reasonable rules and set reasonable requirements for its functions.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11.05.     No Personal Liability of Directors, Officers, Employees and Shareholders.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No past, present or future director, officer, employee, incorporator or shareholder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- 90 -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11.06.    Governing Law; Waiver of Jury Trial.</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11.07.    Submission to Jurisdiction.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hAnsi="Times New Roman"/>
          <w:b/>
          <w:color w:val="000000"/>
          <w:sz w:val="24"/>
        </w:rPr>
        <w:t>Specified Courts</w:t>
      </w:r>
      <w:r>
        <w:rPr>
          <w:rFonts w:ascii="Times New Roman" w:hAnsi="Times New Roman"/>
          <w:color w:val="000000"/>
          <w:sz w:val="24"/>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hAnsi="Times New Roman"/>
          <w:b/>
          <w:color w:val="000000"/>
          <w:sz w:val="24"/>
        </w:rPr>
        <w:t>Section 11.01</w:t>
      </w:r>
      <w:r>
        <w:rPr>
          <w:rFonts w:ascii="Times New Roman" w:hAnsi="Times New Roman"/>
          <w:color w:val="000000"/>
          <w:sz w:val="24"/>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11.08.    No Adverse Interpretation of Other Agreements.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11.09.    Successors.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All agreements of the Company in this Indenture and the Notes will bind its successors. All agreements of the Trustee in this Indenture will bind its successors.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11.10.    Force Majeure.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- 91 -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11.11.   U.S.A. PATRIOT Act.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11.12.   Calculations.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11.13.   Severability.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any provision of this Indenture or the Notes is invalid, illegal or unenforceable, then the validity, legality and enforceability of the remaining provisions of this Indenture or the Notes will not in any way be affected or impaired thereby.</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11.14.   Counterparts; Electronic Signatures.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 The words “execution,” “signed” and “signature” and words of like import in this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(e.g. DocuSign).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- 92 -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11.15.    Table of Contents, Headings, Etc.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11.16.   Withholding Taxes.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Holder of a Note agrees, and each beneficial owner of an interest in a Global Note, by its acquisition of such interest, is deemed to agree, that if the Company or other applicable withholding agent (including the Trustee)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or withhold such payments from, payments of cash or the delivery of other Conversion Consideration on such Note, any payments on the Ordinary Shares or sales proceeds received by, or other funds or assets of, such Holder or the beneficial owner of such Note.</w:t>
      </w:r>
    </w:p>
    <w:p>
      <w:pPr>
        <w:pStyle w:val="TextBody"/>
        <w:bidi w:val="0"/>
        <w:spacing w:before="0" w:after="0"/>
        <w:jc w:val="left"/>
        <w:rPr/>
      </w:pPr>
      <w:r>
        <w:rPr/>
      </w:r>
    </w:p>
    <w:p>
      <w:pPr>
        <w:pStyle w:val="TextBody"/>
        <w:bidi w:val="0"/>
        <w:spacing w:before="0" w:after="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11.17.    Service of Process.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Company irrevocably appoints Cogency Global Inc., which currently maintains an office at 122 E. 42nd Street, 18th Floor, New York, New York 10168, United States of America, as its authorized agent in the Borough of Manhattan in The City of New York upon which process may be served in any suit, action or proceeding referred to in </w:t>
      </w:r>
      <w:r>
        <w:rPr>
          <w:rFonts w:ascii="Times New Roman" w:hAnsi="Times New Roman"/>
          <w:b/>
          <w:color w:val="000000"/>
          <w:sz w:val="24"/>
        </w:rPr>
        <w:t>Section 11.07</w:t>
      </w:r>
      <w:r>
        <w:rPr>
          <w:rFonts w:ascii="Times New Roman" w:hAnsi="Times New Roman"/>
          <w:color w:val="000000"/>
          <w:sz w:val="24"/>
        </w:rPr>
        <w:t xml:space="preserve">, and agrees that service of process upon such agent, and written notice of such service to the Company by the Person serving the same to IREN Limited, Level 6, 55 Market Street, Sydney, NSW 2000 Australia, Attention: [***], will be deemed in every respect effective service of process upon the Company in any such suit, action or proceeding. The Company agrees to take any and all reasonable action as may be necessary to maintain such designation and appointment of such agent in full force and effect until the date that is six (6) months after the Maturity Date. If, for any reason, such agent ceases to be such agent for service of process, then the Company will promptly appoint a new agent of recognized standing for service of process in the State of New York and deliver to the Holders and the Trustee a copy of the new agent’s acceptance of that appointment within ten (10) Business Days of such acceptance. Nothing in this </w:t>
      </w:r>
      <w:r>
        <w:rPr>
          <w:rFonts w:ascii="Times New Roman" w:hAnsi="Times New Roman"/>
          <w:b/>
          <w:color w:val="000000"/>
          <w:sz w:val="24"/>
        </w:rPr>
        <w:t>Section 11.17</w:t>
      </w:r>
      <w:r>
        <w:rPr>
          <w:rFonts w:ascii="Times New Roman" w:hAnsi="Times New Roman"/>
          <w:color w:val="000000"/>
          <w:sz w:val="24"/>
        </w:rPr>
        <w:t xml:space="preserve"> will affect the right of the Trustee, any Note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under this Indenture or under any Note.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b/>
          <w:i/>
          <w:color w:val="000000"/>
          <w:sz w:val="24"/>
        </w:rPr>
        <w:t>The Remainder of This Page Intentionally Left Blank; Signature Page Follows</w:t>
      </w:r>
      <w:r>
        <w:rPr>
          <w:rFonts w:ascii="Times New Roman" w:hAnsi="Times New Roman"/>
          <w:color w:val="000000"/>
          <w:sz w:val="24"/>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- 93 -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4"/>
        </w:rPr>
        <w:t>IN WITNESS WHEREOF</w:t>
      </w:r>
      <w:r>
        <w:rPr>
          <w:rFonts w:ascii="Times New Roman" w:hAnsi="Times New Roman"/>
          <w:color w:val="000000"/>
          <w:sz w:val="24"/>
        </w:rPr>
        <w:t>, the parties to this Indenture have caused this Indenture to be duly executed as of the date first written above.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person executing this document on behalf of a party states that they have no notice of revocation or suspension of their authority.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ca522013ae8b4d9983099b31ef42e765"/>
      <w:bookmarkStart w:id="55" w:name="zca522013ae8b4d9983099b31ef42e765"/>
      <w:bookmarkEnd w:id="55"/>
    </w:p>
    <w:tbl>
      <w:tblPr>
        <w:tblW w:w="8089" w:type="dxa"/>
        <w:jc w:val="left"/>
        <w:tblInd w:w="0" w:type="dxa"/>
        <w:tblLayout w:type="fixed"/>
        <w:tblCellMar>
          <w:top w:w="0" w:type="dxa"/>
          <w:left w:w="0" w:type="dxa"/>
          <w:bottom w:w="0" w:type="dxa"/>
          <w:right w:w="0" w:type="dxa"/>
        </w:tblCellMar>
      </w:tblPr>
      <w:tblGrid>
        <w:gridCol w:w="60"/>
        <w:gridCol w:w="254"/>
        <w:gridCol w:w="7775"/>
      </w:tblGrid>
      <w:tr>
        <w:trPr/>
        <w:tc>
          <w:tcPr>
            <w:tcW w:w="60" w:type="dxa"/>
            <w:tcBorders/>
            <w:vAlign w:val="center"/>
          </w:tcPr>
          <w:p>
            <w:pPr>
              <w:pStyle w:val="TableContents"/>
              <w:bidi w:val="0"/>
              <w:spacing w:before="0" w:after="283"/>
              <w:jc w:val="left"/>
              <w:rPr/>
            </w:pPr>
            <w:r>
              <w:rPr/>
              <w:t> </w:t>
            </w:r>
          </w:p>
        </w:tc>
        <w:tc>
          <w:tcPr>
            <w:tcW w:w="8029" w:type="dxa"/>
            <w:gridSpan w:val="2"/>
            <w:tcBorders/>
            <w:vAlign w:val="center"/>
          </w:tcPr>
          <w:p>
            <w:pPr>
              <w:pStyle w:val="TableContents"/>
              <w:bidi w:val="0"/>
              <w:spacing w:before="0" w:after="0"/>
              <w:jc w:val="both"/>
              <w:rPr>
                <w:rFonts w:ascii="Times New Roman" w:hAnsi="Times New Roman"/>
                <w:sz w:val="24"/>
              </w:rPr>
            </w:pPr>
            <w:r>
              <w:rPr>
                <w:rFonts w:ascii="Times New Roman" w:hAnsi="Times New Roman"/>
                <w:b/>
                <w:sz w:val="24"/>
              </w:rPr>
              <w:t>Executed</w:t>
            </w:r>
            <w:r>
              <w:rPr>
                <w:rFonts w:ascii="Times New Roman" w:hAnsi="Times New Roman"/>
                <w:sz w:val="24"/>
              </w:rPr>
              <w:t xml:space="preserve"> as a deed in accordance with section 127 of the </w:t>
            </w:r>
            <w:r>
              <w:rPr>
                <w:rFonts w:ascii="Times New Roman" w:hAnsi="Times New Roman"/>
                <w:i/>
                <w:sz w:val="24"/>
              </w:rPr>
              <w:t xml:space="preserve">Corporations Act 2001 </w:t>
            </w:r>
            <w:r>
              <w:rPr>
                <w:rFonts w:ascii="Times New Roman" w:hAnsi="Times New Roman"/>
                <w:sz w:val="24"/>
              </w:rPr>
              <w:t>by</w:t>
            </w:r>
          </w:p>
        </w:tc>
      </w:tr>
      <w:tr>
        <w:trPr/>
        <w:tc>
          <w:tcPr>
            <w:tcW w:w="60" w:type="dxa"/>
            <w:tcBorders/>
            <w:vAlign w:val="center"/>
          </w:tcPr>
          <w:p>
            <w:pPr>
              <w:pStyle w:val="TableContents"/>
              <w:bidi w:val="0"/>
              <w:spacing w:before="0" w:after="283"/>
              <w:jc w:val="left"/>
              <w:rPr/>
            </w:pPr>
            <w:r>
              <w:rPr/>
              <w:t> </w:t>
            </w:r>
          </w:p>
        </w:tc>
        <w:tc>
          <w:tcPr>
            <w:tcW w:w="8029" w:type="dxa"/>
            <w:gridSpan w:val="2"/>
            <w:tcBorders/>
            <w:vAlign w:val="center"/>
          </w:tcPr>
          <w:p>
            <w:pPr>
              <w:pStyle w:val="TableContents"/>
              <w:bidi w:val="0"/>
              <w:spacing w:before="0" w:after="0"/>
              <w:jc w:val="both"/>
              <w:rPr>
                <w:rFonts w:ascii="Times New Roman" w:hAnsi="Times New Roman"/>
                <w:b/>
                <w:sz w:val="24"/>
              </w:rPr>
            </w:pPr>
            <w:r>
              <w:rPr>
                <w:rFonts w:ascii="Times New Roman" w:hAnsi="Times New Roman"/>
                <w:b/>
                <w:smallCaps/>
                <w:sz w:val="24"/>
              </w:rPr>
              <w:t xml:space="preserve">Iren Limited </w:t>
            </w:r>
            <w:r>
              <w:rPr>
                <w:rFonts w:ascii="Times New Roman" w:hAnsi="Times New Roman"/>
                <w:b/>
                <w:sz w:val="24"/>
              </w:rPr>
              <w:t>(ACN 629 842 799)</w:t>
            </w:r>
          </w:p>
        </w:tc>
      </w:tr>
      <w:tr>
        <w:trPr/>
        <w:tc>
          <w:tcPr>
            <w:tcW w:w="60" w:type="dxa"/>
            <w:tcBorders/>
            <w:vAlign w:val="center"/>
          </w:tcPr>
          <w:p>
            <w:pPr>
              <w:pStyle w:val="TableContents"/>
              <w:bidi w:val="0"/>
              <w:spacing w:before="0" w:after="283"/>
              <w:jc w:val="left"/>
              <w:rPr/>
            </w:pPr>
            <w:r>
              <w:rPr/>
              <w:t> </w:t>
            </w:r>
          </w:p>
        </w:tc>
        <w:tc>
          <w:tcPr>
            <w:tcW w:w="802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/s/ William Roberts</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Director</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bottom w:val="single" w:sz="2" w:space="0" w:color="000000"/>
            </w:tcBorders>
            <w:tcMar>
              <w:bottom w:w="28" w:type="dxa"/>
            </w:tcMar>
            <w:vAlign w:val="center"/>
          </w:tcPr>
          <w:p>
            <w:pPr>
              <w:pStyle w:val="TableContents"/>
              <w:bidi w:val="0"/>
              <w:spacing w:before="0" w:after="283"/>
              <w:jc w:val="left"/>
              <w:rPr>
                <w:sz w:val="24"/>
              </w:rPr>
            </w:pPr>
            <w:r>
              <w:rPr>
                <w:sz w:val="24"/>
              </w:rPr>
              <w:t>William Roberts</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Print Name</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/s/ Dan Roberts</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Director/Secretary</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Dan Roberts</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Print Name</w:t>
            </w:r>
          </w:p>
        </w:tc>
      </w:tr>
      <w:tr>
        <w:trPr/>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733059f638644c9582be3cfaddd39464"/>
      <w:bookmarkStart w:id="57" w:name="z733059f638644c9582be3cfaddd39464"/>
      <w:bookmarkEnd w:id="57"/>
    </w:p>
    <w:tbl>
      <w:tblPr>
        <w:tblW w:w="6484" w:type="dxa"/>
        <w:jc w:val="left"/>
        <w:tblInd w:w="0" w:type="dxa"/>
        <w:tblLayout w:type="fixed"/>
        <w:tblCellMar>
          <w:top w:w="0" w:type="dxa"/>
          <w:left w:w="0" w:type="dxa"/>
          <w:bottom w:w="0" w:type="dxa"/>
          <w:right w:w="0" w:type="dxa"/>
        </w:tblCellMar>
      </w:tblPr>
      <w:tblGrid>
        <w:gridCol w:w="60"/>
        <w:gridCol w:w="730"/>
        <w:gridCol w:w="1301"/>
        <w:gridCol w:w="4393"/>
      </w:tblGrid>
      <w:tr>
        <w:trPr/>
        <w:tc>
          <w:tcPr>
            <w:tcW w:w="60" w:type="dxa"/>
            <w:tcBorders/>
            <w:vAlign w:val="center"/>
          </w:tcPr>
          <w:p>
            <w:pPr>
              <w:pStyle w:val="TableContents"/>
              <w:bidi w:val="0"/>
              <w:spacing w:before="0" w:after="283"/>
              <w:jc w:val="left"/>
              <w:rPr/>
            </w:pPr>
            <w:r>
              <w:rPr/>
              <w:t> </w:t>
            </w:r>
          </w:p>
        </w:tc>
        <w:tc>
          <w:tcPr>
            <w:tcW w:w="6424" w:type="dxa"/>
            <w:gridSpan w:val="3"/>
            <w:tcBorders/>
            <w:vAlign w:val="center"/>
          </w:tcPr>
          <w:p>
            <w:pPr>
              <w:pStyle w:val="TableContents"/>
              <w:bidi w:val="0"/>
              <w:spacing w:before="0" w:after="0"/>
              <w:jc w:val="both"/>
              <w:rPr>
                <w:rFonts w:ascii="Times New Roman" w:hAnsi="Times New Roman"/>
                <w:sz w:val="24"/>
              </w:rPr>
            </w:pPr>
            <w:r>
              <w:rPr>
                <w:rFonts w:ascii="Times New Roman" w:hAnsi="Times New Roman"/>
                <w:smallCaps/>
                <w:sz w:val="24"/>
              </w:rPr>
              <w:t xml:space="preserve">U.S. Bank Trust Company, National Association, </w:t>
            </w:r>
            <w:r>
              <w:rPr>
                <w:rFonts w:ascii="Times New Roman" w:hAnsi="Times New Roman"/>
                <w:sz w:val="24"/>
              </w:rPr>
              <w:t>as Trustee</w:t>
            </w:r>
          </w:p>
        </w:tc>
      </w:tr>
      <w:tr>
        <w:trPr/>
        <w:tc>
          <w:tcPr>
            <w:tcW w:w="60" w:type="dxa"/>
            <w:tcBorders/>
            <w:vAlign w:val="center"/>
          </w:tcPr>
          <w:p>
            <w:pPr>
              <w:pStyle w:val="TableContents"/>
              <w:bidi w:val="0"/>
              <w:spacing w:before="0" w:after="283"/>
              <w:jc w:val="left"/>
              <w:rPr/>
            </w:pPr>
            <w:r>
              <w:rPr/>
              <w:t> </w:t>
            </w:r>
          </w:p>
        </w:tc>
        <w:tc>
          <w:tcPr>
            <w:tcW w:w="6424"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5694" w:type="dxa"/>
            <w:gridSpan w:val="2"/>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/s/ Bradley E. Scarbrough</w:t>
            </w:r>
          </w:p>
        </w:tc>
      </w:tr>
      <w:tr>
        <w:trPr/>
        <w:tc>
          <w:tcPr>
            <w:tcW w:w="6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r>
          </w:p>
        </w:tc>
        <w:tc>
          <w:tcPr>
            <w:tcW w:w="1301"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4393"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Bradley E. Scarbrough</w:t>
            </w:r>
          </w:p>
        </w:tc>
      </w:tr>
      <w:tr>
        <w:trPr/>
        <w:tc>
          <w:tcPr>
            <w:tcW w:w="6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r>
          </w:p>
        </w:tc>
        <w:tc>
          <w:tcPr>
            <w:tcW w:w="1301"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4393"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Vice President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[Signature Page to Indenture]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FORM OF NOTE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i/>
          <w:color w:val="000000"/>
          <w:sz w:val="24"/>
        </w:rPr>
        <w:t>Insert Global Note Legend, if applicable</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i/>
          <w:color w:val="000000"/>
          <w:sz w:val="24"/>
        </w:rPr>
        <w:t>Insert Restricted Note Legend, if applicable</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i/>
          <w:color w:val="000000"/>
          <w:sz w:val="24"/>
        </w:rPr>
        <w:t>Insert Non-Affiliate Legend</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IREN LIMITED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0.25% Convertible Senior Note due 2032</w:t>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Normal"/>
        <w:bidi w:val="0"/>
        <w:spacing w:before="0" w:after="0"/>
        <w:jc w:val="left"/>
        <w:rPr>
          <w:sz w:val="4"/>
          <w:szCs w:val="4"/>
        </w:rPr>
      </w:pPr>
      <w:r>
        <w:rPr>
          <w:sz w:val="4"/>
          <w:szCs w:val="4"/>
        </w:rPr>
      </w:r>
      <w:bookmarkStart w:id="58" w:name="zc4d00f91b3864daf8c54c6236775625d"/>
      <w:bookmarkStart w:id="59" w:name="zc4d00f91b3864daf8c54c6236775625d"/>
      <w:bookmarkEnd w:id="59"/>
    </w:p>
    <w:tbl>
      <w:tblPr>
        <w:tblW w:w="8245" w:type="dxa"/>
        <w:jc w:val="left"/>
        <w:tblInd w:w="0" w:type="dxa"/>
        <w:tblLayout w:type="fixed"/>
        <w:tblCellMar>
          <w:top w:w="0" w:type="dxa"/>
          <w:left w:w="0" w:type="dxa"/>
          <w:bottom w:w="0" w:type="dxa"/>
          <w:right w:w="0" w:type="dxa"/>
        </w:tblCellMar>
      </w:tblPr>
      <w:tblGrid>
        <w:gridCol w:w="6260"/>
        <w:gridCol w:w="1985"/>
      </w:tblGrid>
      <w:tr>
        <w:trPr/>
        <w:tc>
          <w:tcPr>
            <w:tcW w:w="6260" w:type="dxa"/>
            <w:tcBorders/>
            <w:vAlign w:val="center"/>
          </w:tcPr>
          <w:p>
            <w:pPr>
              <w:pStyle w:val="TableContents"/>
              <w:bidi w:val="0"/>
              <w:spacing w:lineRule="auto" w:line="240" w:before="0" w:after="283"/>
              <w:jc w:val="left"/>
              <w:rPr/>
            </w:pPr>
            <w:r>
              <w:rPr>
                <w:rFonts w:ascii="Times New Roman" w:hAnsi="Times New Roman"/>
                <w:sz w:val="24"/>
              </w:rPr>
              <w:t>CUSIP No.:</w:t>
            </w:r>
            <w:r>
              <w:rPr/>
              <w:t xml:space="preserve">      </w:t>
            </w:r>
            <w:r>
              <w:rPr>
                <w:rFonts w:ascii="Times New Roman" w:hAnsi="Times New Roman"/>
                <w:sz w:val="24"/>
              </w:rPr>
              <w:t>[___][</w:t>
            </w:r>
            <w:r>
              <w:rPr>
                <w:rFonts w:ascii="Times New Roman" w:hAnsi="Times New Roman"/>
                <w:i/>
                <w:sz w:val="24"/>
              </w:rPr>
              <w:t>Insert for a “restricted” CUSIP number</w:t>
            </w:r>
            <w:r>
              <w:rPr>
                <w:rFonts w:ascii="Times New Roman" w:hAnsi="Times New Roman"/>
                <w:sz w:val="24"/>
              </w:rPr>
              <w:t>: *]</w:t>
            </w:r>
          </w:p>
        </w:tc>
        <w:tc>
          <w:tcPr>
            <w:tcW w:w="1985" w:type="dxa"/>
            <w:tcBorders/>
            <w:vAlign w:val="center"/>
          </w:tcPr>
          <w:p>
            <w:pPr>
              <w:pStyle w:val="TableContents"/>
              <w:bidi w:val="0"/>
              <w:spacing w:before="0" w:after="283"/>
              <w:jc w:val="right"/>
              <w:rPr>
                <w:rFonts w:ascii="Times New Roman" w:hAnsi="Times New Roman"/>
                <w:sz w:val="24"/>
              </w:rPr>
            </w:pPr>
            <w:r>
              <w:rPr>
                <w:rFonts w:ascii="Times New Roman" w:hAnsi="Times New Roman"/>
                <w:sz w:val="24"/>
              </w:rPr>
              <w:t>Certificate No. [___]</w:t>
            </w:r>
          </w:p>
        </w:tc>
      </w:tr>
    </w:tbl>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4"/>
        </w:rPr>
        <w:t>ISIN No.:</w:t>
      </w:r>
      <w:r>
        <w:rPr>
          <w:rFonts w:ascii="Times New Roman" w:hAnsi="Times New Roman"/>
          <w:color w:val="000000"/>
          <w:sz w:val="20"/>
        </w:rPr>
        <w:t>          </w:t>
      </w:r>
      <w:r>
        <w:rPr>
          <w:rFonts w:ascii="Times New Roman" w:hAnsi="Times New Roman"/>
          <w:color w:val="000000"/>
          <w:sz w:val="24"/>
        </w:rPr>
        <w:t>[___][</w:t>
      </w:r>
      <w:r>
        <w:rPr>
          <w:rFonts w:ascii="Times New Roman" w:hAnsi="Times New Roman"/>
          <w:i/>
          <w:color w:val="000000"/>
          <w:sz w:val="24"/>
        </w:rPr>
        <w:t>Insert for a “restricted” ISIN number</w:t>
      </w:r>
      <w:r>
        <w:rPr>
          <w:rFonts w:ascii="Times New Roman" w:hAnsi="Times New Roman"/>
          <w:color w:val="000000"/>
          <w:sz w:val="24"/>
        </w:rPr>
        <w:t>: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 w:hAnsi="Times New Roman"/>
          <w:color w:val="000000"/>
          <w:sz w:val="24"/>
        </w:rPr>
      </w:pPr>
      <w:r>
        <w:rPr>
          <w:rFonts w:ascii="Times New Roman" w:hAnsi="Times New Roman"/>
          <w:color w:val="000000"/>
          <w:sz w:val="24"/>
        </w:rPr>
        <w:t>IREN Limited (ACN 629 842 799), an Australian company, for value received, promises to pay to [Cede &amp; Co.], or its registered assigns, the principal sum of [___] dollars ($[___]) [(as revised by the attached Schedule of Exchanges of Interests in the Global Note)]† on June 1, 2032 and to pay interest thereon, as provided in the Indenture referred to below, until the principal and all accrued and unpaid interest are paid or duly provided for.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efc59e03ee814eab94d37b7ee2b92030"/>
      <w:bookmarkStart w:id="61" w:name="zefc59e03ee814eab94d37b7ee2b92030"/>
      <w:bookmarkEnd w:id="61"/>
    </w:p>
    <w:tbl>
      <w:tblPr>
        <w:tblW w:w="8065" w:type="dxa"/>
        <w:jc w:val="left"/>
        <w:tblInd w:w="0" w:type="dxa"/>
        <w:tblLayout w:type="fixed"/>
        <w:tblCellMar>
          <w:top w:w="0" w:type="dxa"/>
          <w:left w:w="0" w:type="dxa"/>
          <w:bottom w:w="0" w:type="dxa"/>
          <w:right w:w="0" w:type="dxa"/>
        </w:tblCellMar>
      </w:tblPr>
      <w:tblGrid>
        <w:gridCol w:w="2270"/>
        <w:gridCol w:w="5795"/>
      </w:tblGrid>
      <w:tr>
        <w:trPr/>
        <w:tc>
          <w:tcPr>
            <w:tcW w:w="2270"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Interest Payment Dates:</w:t>
            </w:r>
          </w:p>
        </w:tc>
        <w:tc>
          <w:tcPr>
            <w:tcW w:w="579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June 1 and December 1 of each year, commencing on [</w:t>
            </w:r>
            <w:r>
              <w:rPr>
                <w:rFonts w:ascii="Times New Roman" w:hAnsi="Times New Roman"/>
                <w:i/>
                <w:sz w:val="24"/>
              </w:rPr>
              <w:t>date</w:t>
            </w:r>
            <w:r>
              <w:rPr>
                <w:rFonts w:ascii="Times New Roman" w:hAnsi="Times New Roman"/>
                <w:sz w:val="24"/>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49eecd04a73e4d1287c817569a74cb3a"/>
      <w:bookmarkStart w:id="63" w:name="z49eecd04a73e4d1287c817569a74cb3a"/>
      <w:bookmarkEnd w:id="63"/>
    </w:p>
    <w:tbl>
      <w:tblPr>
        <w:tblW w:w="4795" w:type="dxa"/>
        <w:jc w:val="left"/>
        <w:tblInd w:w="0" w:type="dxa"/>
        <w:tblLayout w:type="fixed"/>
        <w:tblCellMar>
          <w:top w:w="0" w:type="dxa"/>
          <w:left w:w="0" w:type="dxa"/>
          <w:bottom w:w="0" w:type="dxa"/>
          <w:right w:w="0" w:type="dxa"/>
        </w:tblCellMar>
      </w:tblPr>
      <w:tblGrid>
        <w:gridCol w:w="2195"/>
        <w:gridCol w:w="2600"/>
      </w:tblGrid>
      <w:tr>
        <w:trPr/>
        <w:tc>
          <w:tcPr>
            <w:tcW w:w="2195"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Regular Record Dates:</w:t>
            </w:r>
          </w:p>
        </w:tc>
        <w:tc>
          <w:tcPr>
            <w:tcW w:w="260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May 15 and November 15.</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Additional provisions of this Note are set forth on the other side of this Note.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b/>
          <w:i/>
          <w:color w:val="000000"/>
          <w:sz w:val="24"/>
        </w:rPr>
        <w:t>The Remainder of This Page Intentionally Left Blank; Signature Page Follows</w:t>
      </w:r>
      <w:r>
        <w:rPr>
          <w:rFonts w:ascii="Times New Roman" w:hAnsi="Times New Roman"/>
          <w:color w:val="000000"/>
          <w:sz w:val="24"/>
        </w:rPr>
        <w:t>]</w:t>
      </w:r>
    </w:p>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64" w:name="zfd3ab699397f4961be37e763dee82725"/>
      <w:bookmarkStart w:id="65" w:name="zfd3ab699397f4961be37e763dee82725"/>
      <w:bookmarkEnd w:id="65"/>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This Note will be deemed to be identified by CUSIP No. [___] and ISIN No. [___] from and after such time when the Company delivers, pursuant to Section 2.12 of the within-mentioned Indenture, written notice to the Trustee of the deemed removal of the Restricted Note Legend affixed to this Note.</w:t>
            </w:r>
          </w:p>
        </w:tc>
      </w:tr>
    </w:tbl>
    <w:p>
      <w:pPr>
        <w:pStyle w:val="Normal"/>
        <w:bidi w:val="0"/>
        <w:spacing w:before="0" w:after="0"/>
        <w:jc w:val="left"/>
        <w:rPr>
          <w:sz w:val="4"/>
          <w:szCs w:val="4"/>
        </w:rPr>
      </w:pPr>
      <w:r>
        <w:rPr>
          <w:sz w:val="4"/>
          <w:szCs w:val="4"/>
        </w:rPr>
      </w:r>
      <w:bookmarkStart w:id="66" w:name="z4b35b545554d4c2d84e31fc21d5e50df"/>
      <w:bookmarkStart w:id="67" w:name="z4b35b545554d4c2d84e31fc21d5e50df"/>
      <w:bookmarkEnd w:id="67"/>
    </w:p>
    <w:tbl>
      <w:tblPr>
        <w:tblW w:w="4120" w:type="dxa"/>
        <w:jc w:val="left"/>
        <w:tblInd w:w="0" w:type="dxa"/>
        <w:tblLayout w:type="fixed"/>
        <w:tblCellMar>
          <w:top w:w="0" w:type="dxa"/>
          <w:left w:w="0" w:type="dxa"/>
          <w:bottom w:w="0" w:type="dxa"/>
          <w:right w:w="0" w:type="dxa"/>
        </w:tblCellMar>
      </w:tblPr>
      <w:tblGrid>
        <w:gridCol w:w="155"/>
        <w:gridCol w:w="3965"/>
      </w:tblGrid>
      <w:tr>
        <w:trPr/>
        <w:tc>
          <w:tcPr>
            <w:tcW w:w="155"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Insert bracketed language for Global Notes only.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person executing this document on behalf of a party states that they have no notice of revocation or suspension of their authority.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4"/>
        </w:rPr>
        <w:t>IN WITNESS WHEREOF</w:t>
      </w:r>
      <w:r>
        <w:rPr>
          <w:rFonts w:ascii="Times New Roman" w:hAnsi="Times New Roman"/>
          <w:color w:val="000000"/>
          <w:sz w:val="24"/>
        </w:rPr>
        <w:t>, IREN Limited has caused this instrument to be duly executed as of the date set forth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cdafd10929c14cc18eb1572f9827fc0b"/>
      <w:bookmarkStart w:id="69" w:name="zcdafd10929c14cc18eb1572f9827fc0b"/>
      <w:bookmarkEnd w:id="69"/>
    </w:p>
    <w:tbl>
      <w:tblPr>
        <w:tblW w:w="7689" w:type="dxa"/>
        <w:jc w:val="left"/>
        <w:tblInd w:w="0" w:type="dxa"/>
        <w:tblLayout w:type="fixed"/>
        <w:tblCellMar>
          <w:top w:w="0" w:type="dxa"/>
          <w:left w:w="0" w:type="dxa"/>
          <w:bottom w:w="0" w:type="dxa"/>
          <w:right w:w="0" w:type="dxa"/>
        </w:tblCellMar>
      </w:tblPr>
      <w:tblGrid>
        <w:gridCol w:w="530"/>
        <w:gridCol w:w="60"/>
        <w:gridCol w:w="493"/>
        <w:gridCol w:w="6606"/>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0"/>
              <w:jc w:val="both"/>
              <w:rPr>
                <w:rFonts w:ascii="Times New Roman" w:hAnsi="Times New Roman"/>
                <w:sz w:val="24"/>
              </w:rPr>
            </w:pPr>
            <w:r>
              <w:rPr>
                <w:rFonts w:ascii="Times New Roman" w:hAnsi="Times New Roman"/>
                <w:b/>
                <w:sz w:val="24"/>
              </w:rPr>
              <w:t>Executed</w:t>
            </w:r>
            <w:r>
              <w:rPr>
                <w:rFonts w:ascii="Times New Roman" w:hAnsi="Times New Roman"/>
                <w:sz w:val="24"/>
              </w:rPr>
              <w:t xml:space="preserve"> in accordance with section 127 of the </w:t>
            </w:r>
            <w:r>
              <w:rPr>
                <w:rFonts w:ascii="Times New Roman" w:hAnsi="Times New Roman"/>
                <w:i/>
                <w:sz w:val="24"/>
              </w:rPr>
              <w:t xml:space="preserve">Corporations Act 2001 </w:t>
            </w:r>
            <w:r>
              <w:rPr>
                <w:rFonts w:ascii="Times New Roman" w:hAnsi="Times New Roman"/>
                <w:sz w:val="24"/>
              </w:rPr>
              <w:t>by</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0"/>
              <w:jc w:val="both"/>
              <w:rPr>
                <w:rFonts w:ascii="Times New Roman" w:hAnsi="Times New Roman"/>
                <w:b/>
                <w:sz w:val="24"/>
              </w:rPr>
            </w:pPr>
            <w:r>
              <w:rPr>
                <w:rFonts w:ascii="Times New Roman" w:hAnsi="Times New Roman"/>
                <w:b/>
                <w:smallCaps/>
                <w:sz w:val="24"/>
              </w:rPr>
              <w:t xml:space="preserve">Iren Limited </w:t>
            </w:r>
            <w:r>
              <w:rPr>
                <w:rFonts w:ascii="Times New Roman" w:hAnsi="Times New Roman"/>
                <w:b/>
                <w:sz w:val="24"/>
              </w:rPr>
              <w:t>(ACN 629 842 799)</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left"/>
              <w:rPr/>
            </w:pPr>
            <w:r>
              <w:rPr/>
              <w:t> </w:t>
            </w:r>
          </w:p>
        </w:tc>
      </w:tr>
      <w:tr>
        <w:trPr/>
        <w:tc>
          <w:tcPr>
            <w:tcW w:w="530"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Date:</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Director</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Print Name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vAlign w:val="center"/>
          </w:tcPr>
          <w:p>
            <w:pPr>
              <w:pStyle w:val="TableContents"/>
              <w:bidi w:val="0"/>
              <w:spacing w:before="0" w:after="283"/>
              <w:jc w:val="left"/>
              <w:rPr/>
            </w:pPr>
            <w:r>
              <w:rPr/>
              <w:t> </w:t>
            </w:r>
          </w:p>
        </w:tc>
      </w:tr>
      <w:tr>
        <w:trPr/>
        <w:tc>
          <w:tcPr>
            <w:tcW w:w="530"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Date:</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Director</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6606"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Print Name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TRUSTEE’S CERTIFICATE OF AUTHENTICATION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U.S. Bank Trust Company, National Association, as Trustee, certifies that this is one of the Notes referred to in the within-mentioned Indenture.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56594bfff7fd40479588fec1e5158fc5"/>
      <w:bookmarkStart w:id="71" w:name="z56594bfff7fd40479588fec1e5158fc5"/>
      <w:bookmarkEnd w:id="71"/>
    </w:p>
    <w:tbl>
      <w:tblPr>
        <w:tblW w:w="3075" w:type="dxa"/>
        <w:jc w:val="left"/>
        <w:tblInd w:w="0" w:type="dxa"/>
        <w:tblLayout w:type="fixed"/>
        <w:tblCellMar>
          <w:top w:w="0" w:type="dxa"/>
          <w:left w:w="0" w:type="dxa"/>
          <w:bottom w:w="0" w:type="dxa"/>
          <w:right w:w="0" w:type="dxa"/>
        </w:tblCellMar>
      </w:tblPr>
      <w:tblGrid>
        <w:gridCol w:w="530"/>
        <w:gridCol w:w="60"/>
        <w:gridCol w:w="60"/>
        <w:gridCol w:w="365"/>
        <w:gridCol w:w="2060"/>
      </w:tblGrid>
      <w:tr>
        <w:trPr/>
        <w:tc>
          <w:tcPr>
            <w:tcW w:w="53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2060"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center"/>
              <w:rPr>
                <w:rFonts w:ascii="Times New Roman" w:hAnsi="Times New Roman"/>
                <w:sz w:val="24"/>
              </w:rPr>
            </w:pPr>
            <w:r>
              <w:rPr>
                <w:rFonts w:ascii="Times New Roman" w:hAnsi="Times New Roman"/>
                <w:sz w:val="24"/>
              </w:rPr>
              <w:t>Authorized Signatory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IREN LIMITED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0.25% Convertible Senior Note due 2032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This Note is one of a duly authorized issue of notes of IREN Limited (ACN 629 842 799), an Australian company (the “</w:t>
      </w:r>
      <w:r>
        <w:rPr>
          <w:rFonts w:ascii="Times New Roman" w:hAnsi="Times New Roman"/>
          <w:b/>
          <w:color w:val="000000"/>
          <w:sz w:val="24"/>
        </w:rPr>
        <w:t>Company</w:t>
      </w:r>
      <w:r>
        <w:rPr>
          <w:rFonts w:ascii="Times New Roman" w:hAnsi="Times New Roman"/>
          <w:color w:val="000000"/>
          <w:sz w:val="24"/>
        </w:rPr>
        <w:t>”), designated as its 0.25% Convertible Senior Notes due 2032 (the “</w:t>
      </w:r>
      <w:r>
        <w:rPr>
          <w:rFonts w:ascii="Times New Roman" w:hAnsi="Times New Roman"/>
          <w:b/>
          <w:color w:val="000000"/>
          <w:sz w:val="24"/>
        </w:rPr>
        <w:t>Notes</w:t>
      </w:r>
      <w:r>
        <w:rPr>
          <w:rFonts w:ascii="Times New Roman" w:hAnsi="Times New Roman"/>
          <w:color w:val="000000"/>
          <w:sz w:val="24"/>
        </w:rPr>
        <w:t>”), all issued or to be issued pursuant to an indenture, dated as of December 8, 2025 (as the same may be amended from time to time, the “</w:t>
      </w:r>
      <w:r>
        <w:rPr>
          <w:rFonts w:ascii="Times New Roman" w:hAnsi="Times New Roman"/>
          <w:b/>
          <w:color w:val="000000"/>
          <w:sz w:val="24"/>
        </w:rPr>
        <w:t>Indenture</w:t>
      </w:r>
      <w:r>
        <w:rPr>
          <w:rFonts w:ascii="Times New Roman" w:hAnsi="Times New Roman"/>
          <w:color w:val="000000"/>
          <w:sz w:val="24"/>
        </w:rPr>
        <w:t>”), between the Company and U.S. Bank Trust Company, National Association, as trustee. Capitalized terms used in this Note without definition have the respective meanings ascribed to them in the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b/>
          <w:color w:val="000000"/>
          <w:sz w:val="24"/>
        </w:rPr>
        <w:t>Interest</w:t>
      </w:r>
      <w:r>
        <w:rPr>
          <w:rFonts w:ascii="Times New Roman" w:hAnsi="Times New Roman"/>
          <w:color w:val="000000"/>
          <w:sz w:val="24"/>
        </w:rPr>
        <w:t>. This Note will accrue interest at a rate and in the manner set forth in Section 2.05 of the Indenture. Stated Interest on this Note will begin to accrue from, and including, [</w:t>
      </w:r>
      <w:r>
        <w:rPr>
          <w:rFonts w:ascii="Times New Roman" w:hAnsi="Times New Roman"/>
          <w:i/>
          <w:color w:val="000000"/>
          <w:sz w:val="24"/>
        </w:rPr>
        <w:t>date</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b/>
          <w:color w:val="000000"/>
          <w:sz w:val="24"/>
        </w:rPr>
        <w:t>Maturity</w:t>
      </w:r>
      <w:r>
        <w:rPr>
          <w:rFonts w:ascii="Times New Roman" w:hAnsi="Times New Roman"/>
          <w:color w:val="000000"/>
          <w:sz w:val="24"/>
        </w:rPr>
        <w:t>. This Note will mature on June 1, 2032, unless earlier repurchased, redeemed or Converted.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b/>
          <w:color w:val="000000"/>
          <w:sz w:val="24"/>
        </w:rPr>
        <w:t>Method of Payment</w:t>
      </w:r>
      <w:r>
        <w:rPr>
          <w:rFonts w:ascii="Times New Roman" w:hAnsi="Times New Roman"/>
          <w:color w:val="000000"/>
          <w:sz w:val="24"/>
        </w:rPr>
        <w:t>. Cash amounts due on this Note will be paid in the manner set forth in Section 2.04 of the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b/>
          <w:color w:val="000000"/>
          <w:sz w:val="24"/>
        </w:rPr>
        <w:t>Persons Deemed Owners</w:t>
      </w:r>
      <w:r>
        <w:rPr>
          <w:rFonts w:ascii="Times New Roman" w:hAnsi="Times New Roman"/>
          <w:color w:val="000000"/>
          <w:sz w:val="24"/>
        </w:rPr>
        <w:t>. The Holder of this Note will be treated as the owner of this Note for all purposes.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b/>
          <w:color w:val="000000"/>
          <w:sz w:val="24"/>
        </w:rPr>
        <w:t>Denominations; Transfers and Exchanges</w:t>
      </w:r>
      <w:r>
        <w:rPr>
          <w:rFonts w:ascii="Times New Roman" w:hAnsi="Times New Roman"/>
          <w:color w:val="000000"/>
          <w:sz w:val="24"/>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b/>
          <w:color w:val="000000"/>
          <w:sz w:val="24"/>
        </w:rPr>
        <w:t>Right of Holders to Require the Company to Repurchase Notes Upon a Fundamental Change</w:t>
      </w:r>
      <w:r>
        <w:rPr>
          <w:rFonts w:ascii="Times New Roman" w:hAnsi="Times New Roman"/>
          <w:color w:val="000000"/>
          <w:sz w:val="24"/>
        </w:rPr>
        <w:t>.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b/>
          <w:color w:val="000000"/>
          <w:sz w:val="24"/>
        </w:rPr>
        <w:t>Right of the Company to Redeem the Notes</w:t>
      </w:r>
      <w:r>
        <w:rPr>
          <w:rFonts w:ascii="Times New Roman" w:hAnsi="Times New Roman"/>
          <w:color w:val="000000"/>
          <w:sz w:val="24"/>
        </w:rPr>
        <w:t>. The Company will have the right to redeem the Notes for cash in the manner, and subject to the terms, set forth in Section 4.03 of the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8.</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4"/>
        </w:rPr>
        <w:t>. The Holder of this Note may Convert this Note into Conversion Consideration in the manner, and subject to the terms, set forth in Article 5 of the Indenture.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9.</w:t>
      </w:r>
      <w:r>
        <w:rPr>
          <w:rFonts w:ascii="Times New Roman" w:hAnsi="Times New Roman"/>
          <w:color w:val="000000"/>
          <w:sz w:val="20"/>
        </w:rPr>
        <w:t xml:space="preserve">          </w:t>
      </w:r>
      <w:r>
        <w:rPr>
          <w:rFonts w:ascii="Times New Roman" w:hAnsi="Times New Roman"/>
          <w:b/>
          <w:color w:val="000000"/>
          <w:sz w:val="24"/>
        </w:rPr>
        <w:t>When the Company May Merge, Etc</w:t>
      </w:r>
      <w:r>
        <w:rPr>
          <w:rFonts w:ascii="Times New Roman" w:hAnsi="Times New Roman"/>
          <w:color w:val="000000"/>
          <w:sz w:val="24"/>
        </w:rPr>
        <w:t>. Article 6 of the Indenture places limited restrictions on the Company’s ability to be a party to a Business Combination Event.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b/>
          <w:color w:val="000000"/>
          <w:sz w:val="24"/>
        </w:rPr>
        <w:t>Defaults and Remedies</w:t>
      </w:r>
      <w:r>
        <w:rPr>
          <w:rFonts w:ascii="Times New Roman" w:hAnsi="Times New Roman"/>
          <w:color w:val="000000"/>
          <w:sz w:val="24"/>
        </w:rPr>
        <w:t>. If an Event of Default occurs, then the principal amount of, and all accrued and unpaid interest on, all of the Notes then outstanding may (and, in certain circumstances, will automatically) become due and payable in the manner, and subject to the terms, set forth in Article 7 of the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11.</w:t>
      </w:r>
      <w:r>
        <w:rPr>
          <w:rFonts w:ascii="Times New Roman" w:hAnsi="Times New Roman"/>
          <w:color w:val="000000"/>
          <w:sz w:val="20"/>
        </w:rPr>
        <w:t xml:space="preserve">      </w:t>
      </w:r>
      <w:r>
        <w:rPr>
          <w:rFonts w:ascii="Times New Roman" w:hAnsi="Times New Roman"/>
          <w:b/>
          <w:color w:val="000000"/>
          <w:sz w:val="24"/>
        </w:rPr>
        <w:t>Amendments, Supplements and Waivers</w:t>
      </w:r>
      <w:r>
        <w:rPr>
          <w:rFonts w:ascii="Times New Roman" w:hAnsi="Times New Roman"/>
          <w:color w:val="000000"/>
          <w:sz w:val="24"/>
        </w:rPr>
        <w:t>. The Company and the Trustee may amend or supplement the Indenture or the Notes or waive compliance with any provision of the Indenture or the Notes in the manner, and subject to the terms, set forth in Section 7.05 and Article 8 of the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b/>
          <w:color w:val="000000"/>
          <w:sz w:val="24"/>
        </w:rPr>
        <w:t>No Personal Liability of Directors, Officers, Employees and Shareholders</w:t>
      </w:r>
      <w:r>
        <w:rPr>
          <w:rFonts w:ascii="Times New Roman" w:hAnsi="Times New Roman"/>
          <w:color w:val="000000"/>
          <w:sz w:val="24"/>
        </w:rPr>
        <w:t>. No past, present or future director, officer, employee, incorporator or shareholder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13.</w:t>
      </w:r>
      <w:r>
        <w:rPr>
          <w:rFonts w:ascii="Times New Roman" w:hAnsi="Times New Roman"/>
          <w:color w:val="000000"/>
          <w:sz w:val="20"/>
        </w:rPr>
        <w:t xml:space="preserve">       </w:t>
      </w:r>
      <w:r>
        <w:rPr>
          <w:rFonts w:ascii="Times New Roman" w:hAnsi="Times New Roman"/>
          <w:b/>
          <w:color w:val="000000"/>
          <w:sz w:val="24"/>
        </w:rPr>
        <w:t>Authentication</w:t>
      </w:r>
      <w:r>
        <w:rPr>
          <w:rFonts w:ascii="Times New Roman" w:hAnsi="Times New Roman"/>
          <w:color w:val="000000"/>
          <w:sz w:val="24"/>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14.</w:t>
      </w:r>
      <w:r>
        <w:rPr>
          <w:rFonts w:ascii="Times New Roman" w:hAnsi="Times New Roman"/>
          <w:color w:val="000000"/>
          <w:sz w:val="20"/>
        </w:rPr>
        <w:t xml:space="preserve">       </w:t>
      </w:r>
      <w:r>
        <w:rPr>
          <w:rFonts w:ascii="Times New Roman" w:hAnsi="Times New Roman"/>
          <w:b/>
          <w:color w:val="000000"/>
          <w:sz w:val="24"/>
        </w:rPr>
        <w:t>Abbreviations</w:t>
      </w:r>
      <w:r>
        <w:rPr>
          <w:rFonts w:ascii="Times New Roman" w:hAnsi="Times New Roman"/>
          <w:color w:val="000000"/>
          <w:sz w:val="24"/>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b/>
          <w:color w:val="000000"/>
          <w:sz w:val="24"/>
        </w:rPr>
        <w:t>Governing Law</w:t>
      </w:r>
      <w:r>
        <w:rPr>
          <w:rFonts w:ascii="Times New Roman" w:hAnsi="Times New Roman"/>
          <w:color w:val="000000"/>
          <w:sz w:val="24"/>
        </w:rPr>
        <w:t>. THIS NOTE, AND ANY CLAIM, CONTROVERSY OR DISPUTE ARISING UNDER OR RELATED TO THIS NOTE, WILL BE GOVERNED BY AND CONSTRUED IN ACCORDANCE WITH THE LAWS OF THE STATE OF NEW YORK.</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 *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To request a copy of the Indenture, which the Company will provide to any Holder at no charge, please send a written request to the following address: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Level 6, 55 Market Street</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Sydney, NSW 2000 Australia</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Attention: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 w:hAnsi="Times New Roman"/>
          <w:color w:val="000000"/>
          <w:sz w:val="24"/>
        </w:rPr>
      </w:pPr>
      <w:r>
        <w:rPr>
          <w:rFonts w:ascii="Times New Roman" w:hAnsi="Times New Roman"/>
          <w:b/>
          <w:color w:val="000000"/>
          <w:sz w:val="24"/>
        </w:rPr>
        <w:t>SCHEDULE OF EXCHANGES OF INTERESTS IN THE GLOBAL NOTE</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INITIAL PRINCIPAL AMOUNT OF THIS GLOBAL NOTE: $[___]</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following exchanges, transfers or cancellations of this Global Note have been made: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b5ce02f055ee4d429ce56d159f200fc9"/>
      <w:bookmarkStart w:id="73" w:name="zb5ce02f055ee4d429ce56d159f200fc9"/>
      <w:bookmarkEnd w:id="73"/>
    </w:p>
    <w:tbl>
      <w:tblPr>
        <w:tblW w:w="7115" w:type="dxa"/>
        <w:jc w:val="left"/>
        <w:tblInd w:w="0" w:type="dxa"/>
        <w:tblLayout w:type="fixed"/>
        <w:tblCellMar>
          <w:top w:w="0" w:type="dxa"/>
          <w:left w:w="0" w:type="dxa"/>
          <w:bottom w:w="0" w:type="dxa"/>
          <w:right w:w="0" w:type="dxa"/>
        </w:tblCellMar>
      </w:tblPr>
      <w:tblGrid>
        <w:gridCol w:w="500"/>
        <w:gridCol w:w="60"/>
        <w:gridCol w:w="2165"/>
        <w:gridCol w:w="60"/>
        <w:gridCol w:w="2165"/>
        <w:gridCol w:w="60"/>
        <w:gridCol w:w="2105"/>
      </w:tblGrid>
      <w:tr>
        <w:trPr/>
        <w:tc>
          <w:tcPr>
            <w:tcW w:w="500" w:type="dxa"/>
            <w:tcBorders/>
            <w:vAlign w:val="center"/>
          </w:tcPr>
          <w:p>
            <w:pPr>
              <w:pStyle w:val="TableContents"/>
              <w:bidi w:val="0"/>
              <w:spacing w:before="0" w:after="0"/>
              <w:jc w:val="center"/>
              <w:rPr>
                <w:b/>
                <w:sz w:val="24"/>
                <w:bdr w:val="single" w:sz="4" w:space="1" w:color="000000"/>
              </w:rPr>
            </w:pPr>
            <w:r>
              <w:rPr>
                <w:b/>
                <w:sz w:val="24"/>
                <w:bdr w:val="single" w:sz="4" w:space="1" w:color="000000"/>
              </w:rPr>
              <w:t>Date</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b/>
                <w:sz w:val="24"/>
                <w:bdr w:val="single" w:sz="4" w:space="1" w:color="000000"/>
              </w:rPr>
            </w:pPr>
            <w:r>
              <w:rPr>
                <w:b/>
                <w:sz w:val="24"/>
                <w:bdr w:val="single" w:sz="4" w:space="1" w:color="000000"/>
              </w:rPr>
              <w:t xml:space="preserve">Amount of Increase </w:t>
            </w:r>
          </w:p>
          <w:p>
            <w:pPr>
              <w:pStyle w:val="TableContents"/>
              <w:bidi w:val="0"/>
              <w:spacing w:before="0" w:after="0"/>
              <w:jc w:val="center"/>
              <w:rPr>
                <w:b/>
                <w:sz w:val="24"/>
                <w:bdr w:val="single" w:sz="4" w:space="1" w:color="000000"/>
              </w:rPr>
            </w:pPr>
            <w:r>
              <w:rPr>
                <w:b/>
                <w:sz w:val="24"/>
                <w:bdr w:val="single" w:sz="4" w:space="1" w:color="000000"/>
              </w:rPr>
              <w:t xml:space="preserve">(Decrease) in </w:t>
            </w:r>
          </w:p>
          <w:p>
            <w:pPr>
              <w:pStyle w:val="TableContents"/>
              <w:bidi w:val="0"/>
              <w:spacing w:before="0" w:after="0"/>
              <w:jc w:val="center"/>
              <w:rPr>
                <w:b/>
                <w:sz w:val="24"/>
                <w:bdr w:val="single" w:sz="4" w:space="1" w:color="000000"/>
              </w:rPr>
            </w:pPr>
            <w:r>
              <w:rPr>
                <w:b/>
                <w:sz w:val="24"/>
                <w:bdr w:val="single" w:sz="4" w:space="1" w:color="000000"/>
              </w:rPr>
              <w:t xml:space="preserve">Principal Amount of </w:t>
            </w:r>
          </w:p>
          <w:p>
            <w:pPr>
              <w:pStyle w:val="TableContents"/>
              <w:bidi w:val="0"/>
              <w:spacing w:before="0" w:after="0"/>
              <w:jc w:val="center"/>
              <w:rPr>
                <w:b/>
                <w:sz w:val="24"/>
                <w:bdr w:val="single" w:sz="4" w:space="1" w:color="000000"/>
              </w:rPr>
            </w:pPr>
            <w:r>
              <w:rPr>
                <w:b/>
                <w:sz w:val="24"/>
                <w:bdr w:val="single" w:sz="4" w:space="1" w:color="000000"/>
              </w:rPr>
              <w:t>this Global Note</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b/>
                <w:sz w:val="24"/>
                <w:bdr w:val="single" w:sz="4" w:space="1" w:color="000000"/>
              </w:rPr>
            </w:pPr>
            <w:r>
              <w:rPr>
                <w:b/>
                <w:sz w:val="24"/>
                <w:bdr w:val="single" w:sz="4" w:space="1" w:color="000000"/>
              </w:rPr>
              <w:t xml:space="preserve">Principal Amount of </w:t>
            </w:r>
          </w:p>
          <w:p>
            <w:pPr>
              <w:pStyle w:val="TableContents"/>
              <w:bidi w:val="0"/>
              <w:spacing w:before="0" w:after="0"/>
              <w:jc w:val="center"/>
              <w:rPr>
                <w:b/>
                <w:sz w:val="24"/>
                <w:bdr w:val="single" w:sz="4" w:space="1" w:color="000000"/>
              </w:rPr>
            </w:pPr>
            <w:r>
              <w:rPr>
                <w:b/>
                <w:sz w:val="24"/>
                <w:bdr w:val="single" w:sz="4" w:space="1" w:color="000000"/>
              </w:rPr>
              <w:t>this Global Note</w:t>
            </w:r>
          </w:p>
          <w:p>
            <w:pPr>
              <w:pStyle w:val="TableContents"/>
              <w:bidi w:val="0"/>
              <w:spacing w:before="0" w:after="0"/>
              <w:jc w:val="center"/>
              <w:rPr>
                <w:b/>
                <w:sz w:val="24"/>
                <w:bdr w:val="single" w:sz="4" w:space="1" w:color="000000"/>
              </w:rPr>
            </w:pPr>
            <w:r>
              <w:rPr>
                <w:b/>
                <w:sz w:val="24"/>
                <w:bdr w:val="single" w:sz="4" w:space="1" w:color="000000"/>
              </w:rPr>
              <w:t xml:space="preserve">After Such Increase </w:t>
            </w:r>
          </w:p>
          <w:p>
            <w:pPr>
              <w:pStyle w:val="TableContents"/>
              <w:bidi w:val="0"/>
              <w:spacing w:before="0" w:after="0"/>
              <w:jc w:val="center"/>
              <w:rPr>
                <w:b/>
                <w:sz w:val="24"/>
                <w:bdr w:val="single" w:sz="4" w:space="1" w:color="000000"/>
              </w:rPr>
            </w:pPr>
            <w:r>
              <w:rPr>
                <w:b/>
                <w:sz w:val="24"/>
                <w:bdr w:val="single" w:sz="4" w:space="1" w:color="000000"/>
              </w:rPr>
              <w:t>(Decrease)</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center"/>
              <w:rPr>
                <w:b/>
                <w:sz w:val="24"/>
                <w:bdr w:val="single" w:sz="4" w:space="1" w:color="000000"/>
              </w:rPr>
            </w:pPr>
            <w:r>
              <w:rPr>
                <w:b/>
                <w:sz w:val="24"/>
                <w:bdr w:val="single" w:sz="4" w:space="1" w:color="000000"/>
              </w:rPr>
              <w:t xml:space="preserve">Signature of </w:t>
            </w:r>
          </w:p>
          <w:p>
            <w:pPr>
              <w:pStyle w:val="TableContents"/>
              <w:bidi w:val="0"/>
              <w:spacing w:before="0" w:after="0"/>
              <w:jc w:val="center"/>
              <w:rPr>
                <w:b/>
                <w:sz w:val="24"/>
                <w:bdr w:val="single" w:sz="4" w:space="1" w:color="000000"/>
              </w:rPr>
            </w:pPr>
            <w:r>
              <w:rPr>
                <w:b/>
                <w:sz w:val="24"/>
                <w:bdr w:val="single" w:sz="4" w:space="1" w:color="000000"/>
              </w:rPr>
              <w:t xml:space="preserve">Authorized </w:t>
            </w:r>
          </w:p>
          <w:p>
            <w:pPr>
              <w:pStyle w:val="TableContents"/>
              <w:bidi w:val="0"/>
              <w:spacing w:before="0" w:after="0"/>
              <w:jc w:val="center"/>
              <w:rPr>
                <w:b/>
                <w:sz w:val="24"/>
                <w:bdr w:val="single" w:sz="4" w:space="1" w:color="000000"/>
              </w:rPr>
            </w:pPr>
            <w:r>
              <w:rPr>
                <w:b/>
                <w:sz w:val="24"/>
                <w:bdr w:val="single" w:sz="4" w:space="1" w:color="000000"/>
              </w:rPr>
              <w:t>Signatory of Trustee</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74" w:name="zfdf8c1d583584b57a6fabe96770dd036"/>
      <w:bookmarkStart w:id="75" w:name="zfdf8c1d583584b57a6fabe96770dd036"/>
      <w:bookmarkEnd w:id="75"/>
    </w:p>
    <w:tbl>
      <w:tblPr>
        <w:tblW w:w="2485" w:type="dxa"/>
        <w:jc w:val="left"/>
        <w:tblInd w:w="0" w:type="dxa"/>
        <w:tblLayout w:type="fixed"/>
        <w:tblCellMar>
          <w:top w:w="0" w:type="dxa"/>
          <w:left w:w="0" w:type="dxa"/>
          <w:bottom w:w="0" w:type="dxa"/>
          <w:right w:w="0" w:type="dxa"/>
        </w:tblCellMar>
      </w:tblPr>
      <w:tblGrid>
        <w:gridCol w:w="155"/>
        <w:gridCol w:w="2330"/>
      </w:tblGrid>
      <w:tr>
        <w:trPr/>
        <w:tc>
          <w:tcPr>
            <w:tcW w:w="155" w:type="dxa"/>
            <w:tcBorders/>
            <w:vAlign w:val="center"/>
          </w:tcPr>
          <w:p>
            <w:pPr>
              <w:pStyle w:val="TableContents"/>
              <w:bidi w:val="0"/>
              <w:spacing w:lineRule="auto" w:line="240" w:before="0" w:after="283"/>
              <w:jc w:val="left"/>
              <w:rPr/>
            </w:pPr>
            <w:r>
              <w:rPr/>
              <w:t>*</w:t>
            </w:r>
          </w:p>
        </w:tc>
        <w:tc>
          <w:tcPr>
            <w:tcW w:w="2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Insert for Global Notes only.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CONVERSION NOTICE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0.25% Convertible Senior Notes due 2032</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Subject to the terms of the Indenture, by executing and delivering this Conversion Notice, the undersigned Holder of the Note identified below directs the Company to Convert (check one):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 w:name="zc6c8191b2a6946f9a10e986f815eb6d5"/>
      <w:bookmarkStart w:id="77" w:name="zc6c8191b2a6946f9a10e986f815eb6d5"/>
      <w:bookmarkEnd w:id="77"/>
    </w:p>
    <w:tbl>
      <w:tblPr>
        <w:tblW w:w="3055" w:type="dxa"/>
        <w:jc w:val="left"/>
        <w:tblInd w:w="0" w:type="dxa"/>
        <w:tblLayout w:type="fixed"/>
        <w:tblCellMar>
          <w:top w:w="0" w:type="dxa"/>
          <w:left w:w="0" w:type="dxa"/>
          <w:bottom w:w="0" w:type="dxa"/>
          <w:right w:w="0" w:type="dxa"/>
        </w:tblCellMar>
      </w:tblPr>
      <w:tblGrid>
        <w:gridCol w:w="245"/>
        <w:gridCol w:w="2810"/>
      </w:tblGrid>
      <w:tr>
        <w:trPr/>
        <w:tc>
          <w:tcPr>
            <w:tcW w:w="245"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entire principal amount 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f429752ed47f48cbba41289d18a8d9ad"/>
      <w:bookmarkStart w:id="79" w:name="zf429752ed47f48cbba41289d18a8d9ad"/>
      <w:bookmarkEnd w:id="79"/>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4"/>
              </w:rPr>
              <w:t>$</w:t>
            </w:r>
            <w:r>
              <w:rPr>
                <w:rFonts w:ascii="Times New Roman" w:hAnsi="Times New Roman"/>
                <w:sz w:val="24"/>
                <w:u w:val="single"/>
              </w:rPr>
              <w:t xml:space="preserve">                     </w:t>
            </w:r>
            <w:r>
              <w:rPr>
                <w:rFonts w:ascii="Times New Roman" w:hAnsi="Times New Roman"/>
                <w:sz w:val="24"/>
              </w:rPr>
              <w:t>* aggregate principal amount of</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Note identified by CUSIP No. </w:t>
      </w:r>
      <w:r>
        <w:rPr>
          <w:rFonts w:ascii="Times New Roman" w:hAnsi="Times New Roman"/>
          <w:color w:val="000000"/>
          <w:sz w:val="24"/>
          <w:u w:val="single"/>
        </w:rPr>
        <w:t xml:space="preserve">                     </w:t>
      </w:r>
      <w:r>
        <w:rPr>
          <w:rFonts w:ascii="Times New Roman" w:hAnsi="Times New Roman"/>
          <w:color w:val="000000"/>
          <w:sz w:val="24"/>
        </w:rPr>
        <w:t xml:space="preserve">and Certificate No. </w:t>
      </w:r>
      <w:r>
        <w:rPr>
          <w:rFonts w:ascii="Times New Roman" w:hAnsi="Times New Roman"/>
          <w:color w:val="000000"/>
          <w:sz w:val="24"/>
          <w:u w:val="single"/>
        </w:rPr>
        <w:t xml:space="preserve">                     </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 w:name="zfecd949c0a354f1e89069fd47d7335ee"/>
      <w:bookmarkStart w:id="81" w:name="zfecd949c0a354f1e89069fd47d7335ee"/>
      <w:bookmarkEnd w:id="81"/>
    </w:p>
    <w:tbl>
      <w:tblPr>
        <w:tblW w:w="2965" w:type="dxa"/>
        <w:jc w:val="left"/>
        <w:tblInd w:w="0" w:type="dxa"/>
        <w:tblLayout w:type="fixed"/>
        <w:tblCellMar>
          <w:top w:w="0" w:type="dxa"/>
          <w:left w:w="0" w:type="dxa"/>
          <w:bottom w:w="0" w:type="dxa"/>
          <w:right w:w="0" w:type="dxa"/>
        </w:tblCellMar>
      </w:tblPr>
      <w:tblGrid>
        <w:gridCol w:w="530"/>
        <w:gridCol w:w="60"/>
        <w:gridCol w:w="60"/>
        <w:gridCol w:w="2315"/>
      </w:tblGrid>
      <w:tr>
        <w:trPr/>
        <w:tc>
          <w:tcPr>
            <w:tcW w:w="530" w:type="dxa"/>
            <w:tcBorders/>
            <w:vAlign w:val="center"/>
          </w:tcPr>
          <w:p>
            <w:pPr>
              <w:pStyle w:val="TableContents"/>
              <w:bidi w:val="0"/>
              <w:spacing w:before="0" w:after="0"/>
              <w:jc w:val="both"/>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center"/>
              <w:rPr>
                <w:sz w:val="24"/>
              </w:rPr>
            </w:pPr>
            <w:r>
              <w:rPr>
                <w:sz w:val="24"/>
              </w:rPr>
              <w:t>(Legal Name of Holder)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 w:name="z0679106916a54c6abb6f28f7a71d1b2f"/>
      <w:bookmarkStart w:id="83" w:name="z0679106916a54c6abb6f28f7a71d1b2f"/>
      <w:bookmarkEnd w:id="83"/>
    </w:p>
    <w:tbl>
      <w:tblPr>
        <w:tblW w:w="1075" w:type="dxa"/>
        <w:jc w:val="left"/>
        <w:tblInd w:w="0" w:type="dxa"/>
        <w:tblLayout w:type="fixed"/>
        <w:tblCellMar>
          <w:top w:w="0" w:type="dxa"/>
          <w:left w:w="0" w:type="dxa"/>
          <w:bottom w:w="0" w:type="dxa"/>
          <w:right w:w="0" w:type="dxa"/>
        </w:tblCellMar>
      </w:tblPr>
      <w:tblGrid>
        <w:gridCol w:w="60"/>
        <w:gridCol w:w="365"/>
        <w:gridCol w:w="65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65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Name:</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Title:</w:t>
            </w:r>
          </w:p>
        </w:tc>
      </w:tr>
    </w:tbl>
    <w:p>
      <w:pPr>
        <w:pStyle w:val="TextBody"/>
        <w:bidi w:val="0"/>
        <w:spacing w:before="0" w:after="0"/>
        <w:jc w:val="left"/>
        <w:rPr>
          <w:sz w:val="24"/>
        </w:rPr>
      </w:pPr>
      <w:r>
        <w:rPr>
          <w:sz w:val="24"/>
        </w:rPr>
      </w:r>
    </w:p>
    <w:p>
      <w:pPr>
        <w:pStyle w:val="Normal"/>
        <w:bidi w:val="0"/>
        <w:spacing w:before="0" w:after="0"/>
        <w:jc w:val="left"/>
        <w:rPr>
          <w:sz w:val="4"/>
          <w:szCs w:val="4"/>
        </w:rPr>
      </w:pPr>
      <w:r>
        <w:rPr>
          <w:sz w:val="4"/>
          <w:szCs w:val="4"/>
        </w:rPr>
      </w:r>
      <w:bookmarkStart w:id="84" w:name="z77ddc1a3235e4d80af1da381f2ff615b"/>
      <w:bookmarkStart w:id="85" w:name="z77ddc1a3235e4d80af1da381f2ff615b"/>
      <w:bookmarkEnd w:id="85"/>
    </w:p>
    <w:tbl>
      <w:tblPr>
        <w:tblW w:w="3635" w:type="dxa"/>
        <w:jc w:val="left"/>
        <w:tblInd w:w="0" w:type="dxa"/>
        <w:tblLayout w:type="fixed"/>
        <w:tblCellMar>
          <w:top w:w="0" w:type="dxa"/>
          <w:left w:w="0" w:type="dxa"/>
          <w:bottom w:w="0" w:type="dxa"/>
          <w:right w:w="0" w:type="dxa"/>
        </w:tblCellMar>
      </w:tblPr>
      <w:tblGrid>
        <w:gridCol w:w="60"/>
        <w:gridCol w:w="3575"/>
      </w:tblGrid>
      <w:tr>
        <w:trPr/>
        <w:tc>
          <w:tcPr>
            <w:tcW w:w="60" w:type="dxa"/>
            <w:tcBorders/>
            <w:vAlign w:val="center"/>
          </w:tcPr>
          <w:p>
            <w:pPr>
              <w:pStyle w:val="TableContents"/>
              <w:bidi w:val="0"/>
              <w:spacing w:before="0" w:after="0"/>
              <w:jc w:val="both"/>
              <w:rPr>
                <w:sz w:val="24"/>
                <w:szCs w:val="24"/>
              </w:rPr>
            </w:pPr>
            <w:r>
              <w:rPr>
                <w:sz w:val="24"/>
                <w:szCs w:val="24"/>
              </w:rPr>
            </w:r>
          </w:p>
        </w:tc>
        <w:tc>
          <w:tcPr>
            <w:tcW w:w="3575" w:type="dxa"/>
            <w:tcBorders/>
            <w:vAlign w:val="center"/>
          </w:tcPr>
          <w:p>
            <w:pPr>
              <w:pStyle w:val="TableContents"/>
              <w:bidi w:val="0"/>
              <w:spacing w:before="0" w:after="0"/>
              <w:jc w:val="both"/>
              <w:rPr>
                <w:sz w:val="24"/>
              </w:rPr>
            </w:pPr>
            <w:r>
              <w:rPr>
                <w:sz w:val="24"/>
              </w:rPr>
              <w:t>Signature Guaranteed:</w:t>
            </w:r>
          </w:p>
        </w:tc>
      </w:tr>
      <w:tr>
        <w:trPr/>
        <w:tc>
          <w:tcPr>
            <w:tcW w:w="60" w:type="dxa"/>
            <w:tcBorders/>
            <w:vAlign w:val="center"/>
          </w:tcPr>
          <w:p>
            <w:pPr>
              <w:pStyle w:val="TableContents"/>
              <w:bidi w:val="0"/>
              <w:spacing w:before="0" w:after="283"/>
              <w:jc w:val="left"/>
              <w:rPr/>
            </w:pPr>
            <w:r>
              <w:rPr/>
              <w:t> </w:t>
            </w:r>
          </w:p>
        </w:tc>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Participant in a Recognized Signature</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Guarantee Medallion Program</w:t>
            </w:r>
          </w:p>
        </w:tc>
      </w:tr>
    </w:tbl>
    <w:p>
      <w:pPr>
        <w:pStyle w:val="TextBody"/>
        <w:bidi w:val="0"/>
        <w:spacing w:before="0" w:after="0"/>
        <w:jc w:val="left"/>
        <w:rPr>
          <w:color w:val="000000"/>
        </w:rPr>
      </w:pPr>
      <w:r>
        <w:rPr>
          <w:color w:val="000000"/>
        </w:rPr>
        <w:t xml:space="preserve">  </w:t>
      </w:r>
      <w:bookmarkStart w:id="86" w:name="za59f2acf98a040f7b9777c2136db6751"/>
      <w:bookmarkEnd w:id="86"/>
    </w:p>
    <w:tbl>
      <w:tblPr>
        <w:tblW w:w="2485" w:type="dxa"/>
        <w:jc w:val="left"/>
        <w:tblInd w:w="0" w:type="dxa"/>
        <w:tblLayout w:type="fixed"/>
        <w:tblCellMar>
          <w:top w:w="0" w:type="dxa"/>
          <w:left w:w="0" w:type="dxa"/>
          <w:bottom w:w="0" w:type="dxa"/>
          <w:right w:w="0" w:type="dxa"/>
        </w:tblCellMar>
      </w:tblPr>
      <w:tblGrid>
        <w:gridCol w:w="60"/>
        <w:gridCol w:w="365"/>
        <w:gridCol w:w="206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20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sz w:val="24"/>
              </w:rPr>
            </w:pPr>
            <w:r>
              <w:rPr>
                <w:sz w:val="24"/>
              </w:rPr>
              <w:t>Authorized Signatory</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87" w:name="z873cbf939062460ab8712161a06d6ec1"/>
      <w:bookmarkStart w:id="88" w:name="z873cbf939062460ab8712161a06d6ec1"/>
      <w:bookmarkEnd w:id="88"/>
    </w:p>
    <w:tbl>
      <w:tblPr>
        <w:tblW w:w="3310" w:type="dxa"/>
        <w:jc w:val="left"/>
        <w:tblInd w:w="0" w:type="dxa"/>
        <w:tblLayout w:type="fixed"/>
        <w:tblCellMar>
          <w:top w:w="0" w:type="dxa"/>
          <w:left w:w="0" w:type="dxa"/>
          <w:bottom w:w="0" w:type="dxa"/>
          <w:right w:w="0" w:type="dxa"/>
        </w:tblCellMar>
      </w:tblPr>
      <w:tblGrid>
        <w:gridCol w:w="155"/>
        <w:gridCol w:w="3155"/>
      </w:tblGrid>
      <w:tr>
        <w:trPr/>
        <w:tc>
          <w:tcPr>
            <w:tcW w:w="155" w:type="dxa"/>
            <w:tcBorders/>
            <w:vAlign w:val="center"/>
          </w:tcPr>
          <w:p>
            <w:pPr>
              <w:pStyle w:val="TableContents"/>
              <w:bidi w:val="0"/>
              <w:spacing w:lineRule="auto" w:line="240" w:before="0" w:after="283"/>
              <w:jc w:val="left"/>
              <w:rPr/>
            </w:pPr>
            <w:r>
              <w:rPr/>
              <w:t>*</w:t>
            </w:r>
          </w:p>
        </w:tc>
        <w:tc>
          <w:tcPr>
            <w:tcW w:w="3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Must be an Authorized Denomination.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FUNDAMENTAL CHANGE REPURCHASE NOTICE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0.25% Convertible Senior Notes due 2032</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 w:name="zf22e81e8524a493b993c72e41fd9307c"/>
      <w:bookmarkStart w:id="90" w:name="zf22e81e8524a493b993c72e41fd9307c"/>
      <w:bookmarkEnd w:id="90"/>
    </w:p>
    <w:tbl>
      <w:tblPr>
        <w:tblW w:w="3055" w:type="dxa"/>
        <w:jc w:val="left"/>
        <w:tblInd w:w="0" w:type="dxa"/>
        <w:tblLayout w:type="fixed"/>
        <w:tblCellMar>
          <w:top w:w="0" w:type="dxa"/>
          <w:left w:w="0" w:type="dxa"/>
          <w:bottom w:w="0" w:type="dxa"/>
          <w:right w:w="0" w:type="dxa"/>
        </w:tblCellMar>
      </w:tblPr>
      <w:tblGrid>
        <w:gridCol w:w="245"/>
        <w:gridCol w:w="2810"/>
      </w:tblGrid>
      <w:tr>
        <w:trPr/>
        <w:tc>
          <w:tcPr>
            <w:tcW w:w="245"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entire principal amount 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1" w:name="zecdd58395ca94f268b316f04906c7f0a"/>
      <w:bookmarkStart w:id="92" w:name="zecdd58395ca94f268b316f04906c7f0a"/>
      <w:bookmarkEnd w:id="92"/>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r>
              <w:rPr>
                <w:rFonts w:ascii="Times New Roman" w:hAnsi="Times New Roman"/>
                <w:sz w:val="24"/>
                <w:u w:val="single"/>
              </w:rPr>
              <w:t xml:space="preserve">                     </w:t>
            </w:r>
            <w:r>
              <w:rPr>
                <w:rFonts w:ascii="Times New Roman" w:hAnsi="Times New Roman"/>
                <w:sz w:val="24"/>
              </w:rPr>
              <w:t>* aggregate principal amount of</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Note identified by CUSIP No. </w:t>
      </w:r>
      <w:r>
        <w:rPr>
          <w:rFonts w:ascii="Times New Roman" w:hAnsi="Times New Roman"/>
          <w:color w:val="000000"/>
          <w:sz w:val="24"/>
          <w:u w:val="single"/>
        </w:rPr>
        <w:t xml:space="preserve">                     </w:t>
      </w:r>
      <w:r>
        <w:rPr>
          <w:rFonts w:ascii="Times New Roman" w:hAnsi="Times New Roman"/>
          <w:color w:val="000000"/>
          <w:sz w:val="24"/>
        </w:rPr>
        <w:t xml:space="preserve">and Certificate No. </w:t>
      </w:r>
      <w:r>
        <w:rPr>
          <w:rFonts w:ascii="Times New Roman" w:hAnsi="Times New Roman"/>
          <w:color w:val="000000"/>
          <w:sz w:val="24"/>
          <w:u w:val="single"/>
        </w:rPr>
        <w:t xml:space="preserve">                     </w:t>
      </w:r>
      <w:r>
        <w:rPr>
          <w:rFonts w:ascii="Times New Roman" w:hAnsi="Times New Roman"/>
          <w:color w:val="000000"/>
          <w:sz w:val="24"/>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undersigned acknowledges that this Note, duly endorsed for transfer, must be delivered to the Paying Agent before the Fundamental Change Repurchase Price will be paid.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 w:name="zd758bf464ec646a6889d1040fdee4e43"/>
      <w:bookmarkStart w:id="94" w:name="zd758bf464ec646a6889d1040fdee4e43"/>
      <w:bookmarkEnd w:id="94"/>
    </w:p>
    <w:tbl>
      <w:tblPr>
        <w:tblW w:w="2965" w:type="dxa"/>
        <w:jc w:val="left"/>
        <w:tblInd w:w="0" w:type="dxa"/>
        <w:tblLayout w:type="fixed"/>
        <w:tblCellMar>
          <w:top w:w="0" w:type="dxa"/>
          <w:left w:w="0" w:type="dxa"/>
          <w:bottom w:w="0" w:type="dxa"/>
          <w:right w:w="0" w:type="dxa"/>
        </w:tblCellMar>
      </w:tblPr>
      <w:tblGrid>
        <w:gridCol w:w="530"/>
        <w:gridCol w:w="60"/>
        <w:gridCol w:w="60"/>
        <w:gridCol w:w="2315"/>
      </w:tblGrid>
      <w:tr>
        <w:trPr/>
        <w:tc>
          <w:tcPr>
            <w:tcW w:w="530" w:type="dxa"/>
            <w:tcBorders/>
            <w:vAlign w:val="center"/>
          </w:tcPr>
          <w:p>
            <w:pPr>
              <w:pStyle w:val="TableContents"/>
              <w:bidi w:val="0"/>
              <w:spacing w:before="0" w:after="0"/>
              <w:jc w:val="both"/>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center"/>
              <w:rPr>
                <w:sz w:val="24"/>
              </w:rPr>
            </w:pPr>
            <w:r>
              <w:rPr>
                <w:sz w:val="24"/>
              </w:rPr>
              <w:t>(Legal Name of Holder)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 w:name="z54eb1125f7794c34af0628e742430645"/>
      <w:bookmarkStart w:id="96" w:name="z54eb1125f7794c34af0628e742430645"/>
      <w:bookmarkEnd w:id="96"/>
    </w:p>
    <w:tbl>
      <w:tblPr>
        <w:tblW w:w="1075" w:type="dxa"/>
        <w:jc w:val="left"/>
        <w:tblInd w:w="0" w:type="dxa"/>
        <w:tblLayout w:type="fixed"/>
        <w:tblCellMar>
          <w:top w:w="0" w:type="dxa"/>
          <w:left w:w="0" w:type="dxa"/>
          <w:bottom w:w="0" w:type="dxa"/>
          <w:right w:w="0" w:type="dxa"/>
        </w:tblCellMar>
      </w:tblPr>
      <w:tblGrid>
        <w:gridCol w:w="60"/>
        <w:gridCol w:w="365"/>
        <w:gridCol w:w="65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65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Name:</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Title:</w:t>
            </w:r>
          </w:p>
        </w:tc>
      </w:tr>
    </w:tbl>
    <w:p>
      <w:pPr>
        <w:pStyle w:val="TextBody"/>
        <w:bidi w:val="0"/>
        <w:spacing w:before="0" w:after="0"/>
        <w:jc w:val="left"/>
        <w:rPr>
          <w:sz w:val="24"/>
        </w:rPr>
      </w:pPr>
      <w:r>
        <w:rPr>
          <w:sz w:val="24"/>
        </w:rPr>
      </w:r>
    </w:p>
    <w:p>
      <w:pPr>
        <w:pStyle w:val="Normal"/>
        <w:bidi w:val="0"/>
        <w:spacing w:before="0" w:after="0"/>
        <w:jc w:val="left"/>
        <w:rPr>
          <w:sz w:val="4"/>
          <w:szCs w:val="4"/>
        </w:rPr>
      </w:pPr>
      <w:r>
        <w:rPr>
          <w:sz w:val="4"/>
          <w:szCs w:val="4"/>
        </w:rPr>
      </w:r>
      <w:bookmarkStart w:id="97" w:name="z295576a3a2634edeb1d696296fcd525e"/>
      <w:bookmarkStart w:id="98" w:name="z295576a3a2634edeb1d696296fcd525e"/>
      <w:bookmarkEnd w:id="98"/>
    </w:p>
    <w:tbl>
      <w:tblPr>
        <w:tblW w:w="3635" w:type="dxa"/>
        <w:jc w:val="left"/>
        <w:tblInd w:w="0" w:type="dxa"/>
        <w:tblLayout w:type="fixed"/>
        <w:tblCellMar>
          <w:top w:w="0" w:type="dxa"/>
          <w:left w:w="0" w:type="dxa"/>
          <w:bottom w:w="0" w:type="dxa"/>
          <w:right w:w="0" w:type="dxa"/>
        </w:tblCellMar>
      </w:tblPr>
      <w:tblGrid>
        <w:gridCol w:w="60"/>
        <w:gridCol w:w="3575"/>
      </w:tblGrid>
      <w:tr>
        <w:trPr/>
        <w:tc>
          <w:tcPr>
            <w:tcW w:w="60" w:type="dxa"/>
            <w:tcBorders/>
            <w:vAlign w:val="center"/>
          </w:tcPr>
          <w:p>
            <w:pPr>
              <w:pStyle w:val="TableContents"/>
              <w:bidi w:val="0"/>
              <w:spacing w:before="0" w:after="0"/>
              <w:jc w:val="both"/>
              <w:rPr>
                <w:sz w:val="24"/>
                <w:szCs w:val="24"/>
              </w:rPr>
            </w:pPr>
            <w:r>
              <w:rPr>
                <w:sz w:val="24"/>
                <w:szCs w:val="24"/>
              </w:rPr>
            </w:r>
          </w:p>
        </w:tc>
        <w:tc>
          <w:tcPr>
            <w:tcW w:w="3575" w:type="dxa"/>
            <w:tcBorders/>
            <w:vAlign w:val="center"/>
          </w:tcPr>
          <w:p>
            <w:pPr>
              <w:pStyle w:val="TableContents"/>
              <w:bidi w:val="0"/>
              <w:spacing w:before="0" w:after="0"/>
              <w:jc w:val="both"/>
              <w:rPr>
                <w:sz w:val="24"/>
              </w:rPr>
            </w:pPr>
            <w:r>
              <w:rPr>
                <w:sz w:val="24"/>
              </w:rPr>
              <w:t>Signature Guaranteed:</w:t>
            </w:r>
          </w:p>
        </w:tc>
      </w:tr>
      <w:tr>
        <w:trPr/>
        <w:tc>
          <w:tcPr>
            <w:tcW w:w="60" w:type="dxa"/>
            <w:tcBorders/>
            <w:vAlign w:val="center"/>
          </w:tcPr>
          <w:p>
            <w:pPr>
              <w:pStyle w:val="TableContents"/>
              <w:bidi w:val="0"/>
              <w:spacing w:before="0" w:after="283"/>
              <w:jc w:val="left"/>
              <w:rPr/>
            </w:pPr>
            <w:r>
              <w:rPr/>
              <w:t> </w:t>
            </w:r>
          </w:p>
        </w:tc>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Participant in a Recognized Signature</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Guarantee Medallion Program</w:t>
            </w:r>
          </w:p>
        </w:tc>
      </w:tr>
    </w:tbl>
    <w:p>
      <w:pPr>
        <w:pStyle w:val="TextBody"/>
        <w:bidi w:val="0"/>
        <w:spacing w:before="0" w:after="0"/>
        <w:jc w:val="left"/>
        <w:rPr>
          <w:color w:val="000000"/>
        </w:rPr>
      </w:pPr>
      <w:r>
        <w:rPr>
          <w:color w:val="000000"/>
        </w:rPr>
        <w:t xml:space="preserve">  </w:t>
      </w:r>
      <w:bookmarkStart w:id="99" w:name="z6b7bc573cd3b4195b34b71b7bdbe7440"/>
      <w:bookmarkEnd w:id="99"/>
    </w:p>
    <w:tbl>
      <w:tblPr>
        <w:tblW w:w="2485" w:type="dxa"/>
        <w:jc w:val="left"/>
        <w:tblInd w:w="0" w:type="dxa"/>
        <w:tblLayout w:type="fixed"/>
        <w:tblCellMar>
          <w:top w:w="0" w:type="dxa"/>
          <w:left w:w="0" w:type="dxa"/>
          <w:bottom w:w="0" w:type="dxa"/>
          <w:right w:w="0" w:type="dxa"/>
        </w:tblCellMar>
      </w:tblPr>
      <w:tblGrid>
        <w:gridCol w:w="60"/>
        <w:gridCol w:w="365"/>
        <w:gridCol w:w="206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20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sz w:val="24"/>
              </w:rPr>
            </w:pPr>
            <w:r>
              <w:rPr>
                <w:sz w:val="24"/>
              </w:rPr>
              <w:t>Authorized Signatory</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00" w:name="z3b3f3fc9f8fb4b5a902b9708061d81b1"/>
      <w:bookmarkStart w:id="101" w:name="z3b3f3fc9f8fb4b5a902b9708061d81b1"/>
      <w:bookmarkEnd w:id="101"/>
    </w:p>
    <w:tbl>
      <w:tblPr>
        <w:tblW w:w="3310" w:type="dxa"/>
        <w:jc w:val="left"/>
        <w:tblInd w:w="0" w:type="dxa"/>
        <w:tblLayout w:type="fixed"/>
        <w:tblCellMar>
          <w:top w:w="0" w:type="dxa"/>
          <w:left w:w="0" w:type="dxa"/>
          <w:bottom w:w="0" w:type="dxa"/>
          <w:right w:w="0" w:type="dxa"/>
        </w:tblCellMar>
      </w:tblPr>
      <w:tblGrid>
        <w:gridCol w:w="155"/>
        <w:gridCol w:w="3155"/>
      </w:tblGrid>
      <w:tr>
        <w:trPr/>
        <w:tc>
          <w:tcPr>
            <w:tcW w:w="155" w:type="dxa"/>
            <w:tcBorders/>
            <w:vAlign w:val="center"/>
          </w:tcPr>
          <w:p>
            <w:pPr>
              <w:pStyle w:val="TableContents"/>
              <w:bidi w:val="0"/>
              <w:spacing w:lineRule="auto" w:line="240" w:before="0" w:after="283"/>
              <w:jc w:val="left"/>
              <w:rPr/>
            </w:pPr>
            <w:r>
              <w:rPr/>
              <w:t>*</w:t>
            </w:r>
          </w:p>
        </w:tc>
        <w:tc>
          <w:tcPr>
            <w:tcW w:w="3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Must be an Authorized Denomination.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ASSIGNMENT FORM</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0.25% Convertible Senior Notes due 2032</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Subject to the terms of the Indenture, the undersigned Holder of the Note identified below assigns (check one):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 w:name="zd724162fc5b941d4834e8a53268e8b71"/>
      <w:bookmarkStart w:id="103" w:name="zd724162fc5b941d4834e8a53268e8b71"/>
      <w:bookmarkEnd w:id="103"/>
    </w:p>
    <w:tbl>
      <w:tblPr>
        <w:tblW w:w="3055" w:type="dxa"/>
        <w:jc w:val="left"/>
        <w:tblInd w:w="0" w:type="dxa"/>
        <w:tblLayout w:type="fixed"/>
        <w:tblCellMar>
          <w:top w:w="0" w:type="dxa"/>
          <w:left w:w="0" w:type="dxa"/>
          <w:bottom w:w="0" w:type="dxa"/>
          <w:right w:w="0" w:type="dxa"/>
        </w:tblCellMar>
      </w:tblPr>
      <w:tblGrid>
        <w:gridCol w:w="245"/>
        <w:gridCol w:w="2810"/>
      </w:tblGrid>
      <w:tr>
        <w:trPr/>
        <w:tc>
          <w:tcPr>
            <w:tcW w:w="245"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entire principal amount 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86d08580612245319745a0621dccd1f8"/>
      <w:bookmarkStart w:id="105" w:name="z86d08580612245319745a0621dccd1f8"/>
      <w:bookmarkEnd w:id="105"/>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4"/>
              </w:rPr>
              <w:t>$</w:t>
            </w:r>
            <w:r>
              <w:rPr>
                <w:rFonts w:ascii="Times New Roman" w:hAnsi="Times New Roman"/>
                <w:sz w:val="24"/>
                <w:u w:val="single"/>
              </w:rPr>
              <w:t xml:space="preserve">                     </w:t>
            </w:r>
            <w:r>
              <w:rPr>
                <w:rFonts w:ascii="Times New Roman" w:hAnsi="Times New Roman"/>
                <w:sz w:val="24"/>
              </w:rPr>
              <w:t>* aggregate principal amount of</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Note identified by CUSIP No. </w:t>
      </w:r>
      <w:r>
        <w:rPr>
          <w:rFonts w:ascii="Times New Roman" w:hAnsi="Times New Roman"/>
          <w:color w:val="000000"/>
          <w:sz w:val="24"/>
          <w:u w:val="single"/>
        </w:rPr>
        <w:t xml:space="preserve">                     </w:t>
      </w:r>
      <w:r>
        <w:rPr>
          <w:rFonts w:ascii="Times New Roman" w:hAnsi="Times New Roman"/>
          <w:color w:val="000000"/>
          <w:sz w:val="24"/>
        </w:rPr>
        <w:t xml:space="preserve">and Certificate No. </w:t>
      </w:r>
      <w:r>
        <w:rPr>
          <w:rFonts w:ascii="Times New Roman" w:hAnsi="Times New Roman"/>
          <w:color w:val="000000"/>
          <w:sz w:val="24"/>
          <w:u w:val="single"/>
        </w:rPr>
        <w:t xml:space="preserve">                     </w:t>
      </w:r>
      <w:r>
        <w:rPr>
          <w:rFonts w:ascii="Times New Roman" w:hAnsi="Times New Roman"/>
          <w:color w:val="000000"/>
          <w:sz w:val="24"/>
        </w:rPr>
        <w:t>, and all rights thereunder,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 w:name="zcdd367f69a694c6d8fe27f094c6bb910"/>
      <w:bookmarkStart w:id="107" w:name="zcdd367f69a694c6d8fe27f094c6bb910"/>
      <w:bookmarkEnd w:id="107"/>
    </w:p>
    <w:tbl>
      <w:tblPr>
        <w:tblW w:w="2810" w:type="dxa"/>
        <w:jc w:val="left"/>
        <w:tblInd w:w="0" w:type="dxa"/>
        <w:tblLayout w:type="fixed"/>
        <w:tblCellMar>
          <w:top w:w="0" w:type="dxa"/>
          <w:left w:w="0" w:type="dxa"/>
          <w:bottom w:w="0" w:type="dxa"/>
          <w:right w:w="0" w:type="dxa"/>
        </w:tblCellMar>
      </w:tblPr>
      <w:tblGrid>
        <w:gridCol w:w="75"/>
        <w:gridCol w:w="2660"/>
        <w:gridCol w:w="75"/>
      </w:tblGrid>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sz w:val="24"/>
              </w:rPr>
            </w:pPr>
            <w:r>
              <w:rPr>
                <w:sz w:val="24"/>
              </w:rPr>
              <w:t>Name: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sz w:val="24"/>
              </w:rPr>
            </w:pPr>
            <w:r>
              <w:rPr>
                <w:sz w:val="24"/>
              </w:rPr>
              <w:t>Address:</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sz w:val="24"/>
              </w:rPr>
            </w:pPr>
            <w:r>
              <w:rPr>
                <w:sz w:val="24"/>
              </w:rPr>
              <w:t>Social security or tax id.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35" w:type="dxa"/>
            <w:gridSpan w:val="2"/>
            <w:tcBorders/>
            <w:vAlign w:val="center"/>
          </w:tcPr>
          <w:p>
            <w:pPr>
              <w:pStyle w:val="TableContents"/>
              <w:bidi w:val="0"/>
              <w:spacing w:before="0" w:after="0"/>
              <w:jc w:val="both"/>
              <w:rPr>
                <w:sz w:val="24"/>
              </w:rPr>
            </w:pPr>
            <w:r>
              <w:rPr>
                <w:sz w:val="24"/>
              </w:rPr>
              <w:t>and irrevocably appoints:</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as agent to transfer the within Note on the books of the Company. The agent may substitute another to act for him/her.</w:t>
      </w:r>
    </w:p>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108" w:name="z18740d7b0ab64859afe1ee7b416dcd6c"/>
      <w:bookmarkStart w:id="109" w:name="z18740d7b0ab64859afe1ee7b416dcd6c"/>
      <w:bookmarkEnd w:id="109"/>
    </w:p>
    <w:tbl>
      <w:tblPr>
        <w:tblW w:w="2965" w:type="dxa"/>
        <w:jc w:val="left"/>
        <w:tblInd w:w="0" w:type="dxa"/>
        <w:tblLayout w:type="fixed"/>
        <w:tblCellMar>
          <w:top w:w="0" w:type="dxa"/>
          <w:left w:w="0" w:type="dxa"/>
          <w:bottom w:w="0" w:type="dxa"/>
          <w:right w:w="0" w:type="dxa"/>
        </w:tblCellMar>
      </w:tblPr>
      <w:tblGrid>
        <w:gridCol w:w="530"/>
        <w:gridCol w:w="60"/>
        <w:gridCol w:w="60"/>
        <w:gridCol w:w="2315"/>
      </w:tblGrid>
      <w:tr>
        <w:trPr/>
        <w:tc>
          <w:tcPr>
            <w:tcW w:w="530" w:type="dxa"/>
            <w:tcBorders/>
            <w:vAlign w:val="center"/>
          </w:tcPr>
          <w:p>
            <w:pPr>
              <w:pStyle w:val="TableContents"/>
              <w:bidi w:val="0"/>
              <w:spacing w:before="0" w:after="0"/>
              <w:jc w:val="both"/>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center"/>
              <w:rPr>
                <w:sz w:val="24"/>
              </w:rPr>
            </w:pPr>
            <w:r>
              <w:rPr>
                <w:sz w:val="24"/>
              </w:rPr>
              <w:t>(Legal Name of Holder)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 w:name="z1ca065799e1e49edadb9a9410ada5afa"/>
      <w:bookmarkStart w:id="111" w:name="z1ca065799e1e49edadb9a9410ada5afa"/>
      <w:bookmarkEnd w:id="111"/>
    </w:p>
    <w:tbl>
      <w:tblPr>
        <w:tblW w:w="1038" w:type="dxa"/>
        <w:jc w:val="left"/>
        <w:tblInd w:w="0" w:type="dxa"/>
        <w:tblLayout w:type="fixed"/>
        <w:tblCellMar>
          <w:top w:w="0" w:type="dxa"/>
          <w:left w:w="0" w:type="dxa"/>
          <w:bottom w:w="0" w:type="dxa"/>
          <w:right w:w="0" w:type="dxa"/>
        </w:tblCellMar>
      </w:tblPr>
      <w:tblGrid>
        <w:gridCol w:w="23"/>
        <w:gridCol w:w="365"/>
        <w:gridCol w:w="650"/>
      </w:tblGrid>
      <w:tr>
        <w:trPr/>
        <w:tc>
          <w:tcPr>
            <w:tcW w:w="23"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0"/>
              <w:jc w:val="both"/>
              <w:rPr>
                <w:sz w:val="24"/>
              </w:rPr>
            </w:pPr>
            <w:r>
              <w:rPr>
                <w:sz w:val="24"/>
              </w:rPr>
              <w:t>By:</w:t>
            </w:r>
          </w:p>
        </w:tc>
        <w:tc>
          <w:tcPr>
            <w:tcW w:w="65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Name:</w:t>
            </w:r>
          </w:p>
        </w:tc>
      </w:tr>
      <w:tr>
        <w:trPr/>
        <w:tc>
          <w:tcPr>
            <w:tcW w:w="23"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Title:</w:t>
            </w:r>
          </w:p>
        </w:tc>
      </w:tr>
    </w:tbl>
    <w:p>
      <w:pPr>
        <w:pStyle w:val="TextBody"/>
        <w:bidi w:val="0"/>
        <w:spacing w:before="0" w:after="0"/>
        <w:jc w:val="left"/>
        <w:rPr>
          <w:sz w:val="24"/>
        </w:rPr>
      </w:pPr>
      <w:r>
        <w:rPr>
          <w:sz w:val="24"/>
        </w:rPr>
      </w:r>
    </w:p>
    <w:p>
      <w:pPr>
        <w:pStyle w:val="Normal"/>
        <w:bidi w:val="0"/>
        <w:spacing w:before="0" w:after="0"/>
        <w:jc w:val="left"/>
        <w:rPr>
          <w:sz w:val="4"/>
          <w:szCs w:val="4"/>
        </w:rPr>
      </w:pPr>
      <w:r>
        <w:rPr>
          <w:sz w:val="4"/>
          <w:szCs w:val="4"/>
        </w:rPr>
      </w:r>
      <w:bookmarkStart w:id="112" w:name="zdad0e4d4b6fd4f58800027946ba31680"/>
      <w:bookmarkStart w:id="113" w:name="zdad0e4d4b6fd4f58800027946ba31680"/>
      <w:bookmarkEnd w:id="113"/>
    </w:p>
    <w:tbl>
      <w:tblPr>
        <w:tblW w:w="3635" w:type="dxa"/>
        <w:jc w:val="left"/>
        <w:tblInd w:w="0" w:type="dxa"/>
        <w:tblLayout w:type="fixed"/>
        <w:tblCellMar>
          <w:top w:w="0" w:type="dxa"/>
          <w:left w:w="0" w:type="dxa"/>
          <w:bottom w:w="0" w:type="dxa"/>
          <w:right w:w="0" w:type="dxa"/>
        </w:tblCellMar>
      </w:tblPr>
      <w:tblGrid>
        <w:gridCol w:w="60"/>
        <w:gridCol w:w="3575"/>
      </w:tblGrid>
      <w:tr>
        <w:trPr/>
        <w:tc>
          <w:tcPr>
            <w:tcW w:w="60" w:type="dxa"/>
            <w:tcBorders/>
            <w:vAlign w:val="center"/>
          </w:tcPr>
          <w:p>
            <w:pPr>
              <w:pStyle w:val="TableContents"/>
              <w:bidi w:val="0"/>
              <w:spacing w:before="0" w:after="0"/>
              <w:jc w:val="both"/>
              <w:rPr>
                <w:sz w:val="24"/>
                <w:szCs w:val="24"/>
              </w:rPr>
            </w:pPr>
            <w:r>
              <w:rPr>
                <w:sz w:val="24"/>
                <w:szCs w:val="24"/>
              </w:rPr>
            </w:r>
          </w:p>
        </w:tc>
        <w:tc>
          <w:tcPr>
            <w:tcW w:w="3575" w:type="dxa"/>
            <w:tcBorders/>
            <w:vAlign w:val="center"/>
          </w:tcPr>
          <w:p>
            <w:pPr>
              <w:pStyle w:val="TableContents"/>
              <w:bidi w:val="0"/>
              <w:spacing w:before="0" w:after="0"/>
              <w:jc w:val="both"/>
              <w:rPr>
                <w:sz w:val="24"/>
              </w:rPr>
            </w:pPr>
            <w:r>
              <w:rPr>
                <w:sz w:val="24"/>
              </w:rPr>
              <w:t>Signature Guaranteed:</w:t>
            </w:r>
          </w:p>
        </w:tc>
      </w:tr>
      <w:tr>
        <w:trPr/>
        <w:tc>
          <w:tcPr>
            <w:tcW w:w="60" w:type="dxa"/>
            <w:tcBorders/>
            <w:vAlign w:val="center"/>
          </w:tcPr>
          <w:p>
            <w:pPr>
              <w:pStyle w:val="TableContents"/>
              <w:bidi w:val="0"/>
              <w:spacing w:before="0" w:after="283"/>
              <w:jc w:val="left"/>
              <w:rPr/>
            </w:pPr>
            <w:r>
              <w:rPr/>
              <w:t> </w:t>
            </w:r>
          </w:p>
        </w:tc>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Participant in a Recognized Signature</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Guarantee Medallion Program</w:t>
            </w:r>
          </w:p>
        </w:tc>
      </w:tr>
    </w:tbl>
    <w:p>
      <w:pPr>
        <w:pStyle w:val="TextBody"/>
        <w:bidi w:val="0"/>
        <w:spacing w:before="0" w:after="0"/>
        <w:jc w:val="left"/>
        <w:rPr>
          <w:color w:val="000000"/>
        </w:rPr>
      </w:pPr>
      <w:r>
        <w:rPr>
          <w:color w:val="000000"/>
        </w:rPr>
        <w:t xml:space="preserve">  </w:t>
      </w:r>
      <w:bookmarkStart w:id="114" w:name="z315ab2f3596d4488abda7d6941e4859c"/>
      <w:bookmarkEnd w:id="114"/>
    </w:p>
    <w:tbl>
      <w:tblPr>
        <w:tblW w:w="2485" w:type="dxa"/>
        <w:jc w:val="left"/>
        <w:tblInd w:w="0" w:type="dxa"/>
        <w:tblLayout w:type="fixed"/>
        <w:tblCellMar>
          <w:top w:w="0" w:type="dxa"/>
          <w:left w:w="0" w:type="dxa"/>
          <w:bottom w:w="0" w:type="dxa"/>
          <w:right w:w="0" w:type="dxa"/>
        </w:tblCellMar>
      </w:tblPr>
      <w:tblGrid>
        <w:gridCol w:w="60"/>
        <w:gridCol w:w="365"/>
        <w:gridCol w:w="206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20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sz w:val="24"/>
              </w:rPr>
            </w:pPr>
            <w:r>
              <w:rPr>
                <w:sz w:val="24"/>
              </w:rPr>
              <w:t>Authorized Signatory</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15" w:name="z9d8823d004064ce7826b8a4e39f80fd5"/>
      <w:bookmarkStart w:id="116" w:name="z9d8823d004064ce7826b8a4e39f80fd5"/>
      <w:bookmarkEnd w:id="116"/>
    </w:p>
    <w:tbl>
      <w:tblPr>
        <w:tblW w:w="3310" w:type="dxa"/>
        <w:jc w:val="left"/>
        <w:tblInd w:w="0" w:type="dxa"/>
        <w:tblLayout w:type="fixed"/>
        <w:tblCellMar>
          <w:top w:w="0" w:type="dxa"/>
          <w:left w:w="0" w:type="dxa"/>
          <w:bottom w:w="0" w:type="dxa"/>
          <w:right w:w="0" w:type="dxa"/>
        </w:tblCellMar>
      </w:tblPr>
      <w:tblGrid>
        <w:gridCol w:w="155"/>
        <w:gridCol w:w="3155"/>
      </w:tblGrid>
      <w:tr>
        <w:trPr/>
        <w:tc>
          <w:tcPr>
            <w:tcW w:w="155" w:type="dxa"/>
            <w:tcBorders/>
            <w:vAlign w:val="center"/>
          </w:tcPr>
          <w:p>
            <w:pPr>
              <w:pStyle w:val="TableContents"/>
              <w:bidi w:val="0"/>
              <w:spacing w:lineRule="auto" w:line="240" w:before="0" w:after="283"/>
              <w:jc w:val="left"/>
              <w:rPr/>
            </w:pPr>
            <w:r>
              <w:rPr/>
              <w:t>*</w:t>
            </w:r>
          </w:p>
        </w:tc>
        <w:tc>
          <w:tcPr>
            <w:tcW w:w="3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Must be an Authorized Denomination.</w:t>
            </w:r>
          </w:p>
        </w:tc>
      </w:tr>
    </w:tbl>
    <w:p>
      <w:pPr>
        <w:pStyle w:val="Normal"/>
        <w:bidi w:val="0"/>
        <w:spacing w:before="0" w:after="0"/>
        <w:jc w:val="left"/>
        <w:rPr>
          <w:sz w:val="4"/>
          <w:szCs w:val="4"/>
        </w:rPr>
      </w:pPr>
      <w:r>
        <w:rPr>
          <w:sz w:val="4"/>
          <w:szCs w:val="4"/>
        </w:rPr>
      </w:r>
      <w:bookmarkStart w:id="117" w:name="zd0070a90e010410fa0e0bbd0836c6461"/>
      <w:bookmarkStart w:id="118" w:name="zd0070a90e010410fa0e0bbd0836c6461"/>
      <w:bookmarkEnd w:id="118"/>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transferee is not required to quote an Australian tax file number; however, if an Australian tax file number is not quoted, tax may be deducted from interest payments, if required by law, at the highest marginal tax rate (plus any applicable government levy) in relation to investors who are Australian tax residents or non-residents of Australia who are investing in carrying on business at or through a permanent establishment in Australia. This tax will not be deducted if the transferee supplies an Australian business number (if applicable) or an appropriate exemption applies to its investment. If an Australian tax file number, Australian business number or proof of exemption is not supplied, the issuer may not be obliged to pay any additional amounts pursuant to Section 3.05 of the Indenture. The use and disclosure of Australian tax file numbers is strictly regulated by Australian tax and privacy laws.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TRANSFEROR ACKNOWLEDGMENT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If the within Note bears a Restricted Note Legend, the undersigned further certifies that (check one):</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9" w:name="z96bd076ec3cb4afcafaa7178cb38b110"/>
      <w:bookmarkStart w:id="120" w:name="z96bd076ec3cb4afcafaa7178cb38b110"/>
      <w:bookmarkEnd w:id="120"/>
    </w:p>
    <w:tbl>
      <w:tblPr>
        <w:tblW w:w="7930" w:type="dxa"/>
        <w:jc w:val="left"/>
        <w:tblInd w:w="0" w:type="dxa"/>
        <w:tblLayout w:type="fixed"/>
        <w:tblCellMar>
          <w:top w:w="0" w:type="dxa"/>
          <w:left w:w="0" w:type="dxa"/>
          <w:bottom w:w="0" w:type="dxa"/>
          <w:right w:w="0" w:type="dxa"/>
        </w:tblCellMar>
      </w:tblPr>
      <w:tblGrid>
        <w:gridCol w:w="485"/>
        <w:gridCol w:w="7445"/>
      </w:tblGrid>
      <w:tr>
        <w:trPr/>
        <w:tc>
          <w:tcPr>
            <w:tcW w:w="485" w:type="dxa"/>
            <w:tcBorders/>
            <w:vAlign w:val="center"/>
          </w:tcPr>
          <w:p>
            <w:pPr>
              <w:pStyle w:val="TableContents"/>
              <w:bidi w:val="0"/>
              <w:spacing w:before="0" w:after="283"/>
              <w:jc w:val="left"/>
              <w:rPr>
                <w:sz w:val="24"/>
              </w:rPr>
            </w:pPr>
            <w:r>
              <w:rPr>
                <w:sz w:val="24"/>
              </w:rPr>
              <w:t>1. ☐</w:t>
            </w:r>
          </w:p>
        </w:tc>
        <w:tc>
          <w:tcPr>
            <w:tcW w:w="7445" w:type="dxa"/>
            <w:tcBorders/>
            <w:vAlign w:val="center"/>
          </w:tcPr>
          <w:p>
            <w:pPr>
              <w:pStyle w:val="TableContents"/>
              <w:bidi w:val="0"/>
              <w:spacing w:before="0" w:after="0"/>
              <w:jc w:val="both"/>
              <w:rPr>
                <w:sz w:val="24"/>
              </w:rPr>
            </w:pPr>
            <w:r>
              <w:rPr>
                <w:sz w:val="24"/>
              </w:rPr>
              <w:t>Such Transfer is being made to the Company or a Subsidiary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1" w:name="z53d38c19ad8242fb82bffd215cc558d1"/>
      <w:bookmarkStart w:id="122" w:name="z53d38c19ad8242fb82bffd215cc558d1"/>
      <w:bookmarkEnd w:id="122"/>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sz w:val="24"/>
              </w:rPr>
            </w:pPr>
            <w:r>
              <w:rPr>
                <w:sz w:val="24"/>
              </w:rPr>
              <w:t>2. ☐</w:t>
            </w:r>
          </w:p>
        </w:tc>
        <w:tc>
          <w:tcPr>
            <w:tcW w:w="9840" w:type="dxa"/>
            <w:tcBorders/>
            <w:vAlign w:val="center"/>
          </w:tcPr>
          <w:p>
            <w:pPr>
              <w:pStyle w:val="TableContents"/>
              <w:bidi w:val="0"/>
              <w:spacing w:before="0" w:after="0"/>
              <w:jc w:val="both"/>
              <w:rPr>
                <w:sz w:val="24"/>
              </w:rPr>
            </w:pPr>
            <w:r>
              <w:rPr>
                <w:sz w:val="24"/>
              </w:rPr>
              <w:t>Such Transfer is being made pursuant to, and in accordance with, a registration statement that is effective under the Securities Act at the time of the Transfer.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3" w:name="ze02095e96e76475d94b09c8205aeab92"/>
      <w:bookmarkStart w:id="124" w:name="ze02095e96e76475d94b09c8205aeab92"/>
      <w:bookmarkEnd w:id="124"/>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sz w:val="24"/>
              </w:rPr>
            </w:pPr>
            <w:r>
              <w:rPr>
                <w:sz w:val="24"/>
              </w:rPr>
              <w:t>3. ☐</w:t>
            </w:r>
          </w:p>
        </w:tc>
        <w:tc>
          <w:tcPr>
            <w:tcW w:w="10000" w:type="dxa"/>
            <w:tcBorders/>
            <w:vAlign w:val="center"/>
          </w:tcPr>
          <w:p>
            <w:pPr>
              <w:pStyle w:val="TableContents"/>
              <w:bidi w:val="0"/>
              <w:spacing w:before="0" w:after="0"/>
              <w:jc w:val="both"/>
              <w:rPr>
                <w:sz w:val="24"/>
              </w:rPr>
            </w:pPr>
            <w:r>
              <w:rPr>
                <w:sz w:val="24"/>
              </w:rPr>
              <w:t>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5" w:name="zf34649d958e74cf9adcd3ba202fa9807"/>
      <w:bookmarkStart w:id="126" w:name="zf34649d958e74cf9adcd3ba202fa9807"/>
      <w:bookmarkEnd w:id="126"/>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sz w:val="24"/>
              </w:rPr>
            </w:pPr>
            <w:r>
              <w:rPr>
                <w:sz w:val="24"/>
              </w:rPr>
              <w:t>4. ☐</w:t>
            </w:r>
          </w:p>
        </w:tc>
        <w:tc>
          <w:tcPr>
            <w:tcW w:w="9916" w:type="dxa"/>
            <w:tcBorders/>
            <w:vAlign w:val="center"/>
          </w:tcPr>
          <w:p>
            <w:pPr>
              <w:pStyle w:val="TableContents"/>
              <w:bidi w:val="0"/>
              <w:spacing w:before="0" w:after="0"/>
              <w:jc w:val="both"/>
              <w:rPr>
                <w:sz w:val="24"/>
              </w:rPr>
            </w:pPr>
            <w:r>
              <w:rPr>
                <w:sz w:val="24"/>
              </w:rPr>
              <w:t>Such Transfer is being made pursuant to, and in accordance with, any other available exemption from the registration requirements of the Securities Act (including, if available, the exemption provided by Rule 144 under the Securities Act).</w:t>
            </w:r>
          </w:p>
        </w:tc>
      </w:tr>
    </w:tbl>
    <w:p>
      <w:pPr>
        <w:pStyle w:val="TextBody"/>
        <w:bidi w:val="0"/>
        <w:spacing w:before="0" w:after="0"/>
        <w:jc w:val="left"/>
        <w:rPr>
          <w:sz w:val="24"/>
        </w:rPr>
      </w:pPr>
      <w:r>
        <w:rPr>
          <w:sz w:val="24"/>
        </w:rPr>
      </w:r>
    </w:p>
    <w:p>
      <w:pPr>
        <w:pStyle w:val="Normal"/>
        <w:bidi w:val="0"/>
        <w:spacing w:before="0" w:after="0"/>
        <w:jc w:val="left"/>
        <w:rPr>
          <w:sz w:val="4"/>
          <w:szCs w:val="4"/>
        </w:rPr>
      </w:pPr>
      <w:r>
        <w:rPr>
          <w:sz w:val="4"/>
          <w:szCs w:val="4"/>
        </w:rPr>
      </w:r>
      <w:bookmarkStart w:id="127" w:name="zc7f624fc0aa1489bbd6fdbe8f6e813ac"/>
      <w:bookmarkStart w:id="128" w:name="zc7f624fc0aa1489bbd6fdbe8f6e813ac"/>
      <w:bookmarkEnd w:id="128"/>
    </w:p>
    <w:tbl>
      <w:tblPr>
        <w:tblW w:w="2374" w:type="dxa"/>
        <w:jc w:val="left"/>
        <w:tblInd w:w="0" w:type="dxa"/>
        <w:tblLayout w:type="fixed"/>
        <w:tblCellMar>
          <w:top w:w="0" w:type="dxa"/>
          <w:left w:w="0" w:type="dxa"/>
          <w:bottom w:w="0" w:type="dxa"/>
          <w:right w:w="0" w:type="dxa"/>
        </w:tblCellMar>
      </w:tblPr>
      <w:tblGrid>
        <w:gridCol w:w="2119"/>
        <w:gridCol w:w="195"/>
        <w:gridCol w:w="60"/>
      </w:tblGrid>
      <w:tr>
        <w:trPr/>
        <w:tc>
          <w:tcPr>
            <w:tcW w:w="2119" w:type="dxa"/>
            <w:tcBorders/>
            <w:vAlign w:val="center"/>
          </w:tcPr>
          <w:p>
            <w:pPr>
              <w:pStyle w:val="TableContents"/>
              <w:bidi w:val="0"/>
              <w:spacing w:before="0" w:after="0"/>
              <w:jc w:val="left"/>
              <w:rPr>
                <w:sz w:val="24"/>
              </w:rPr>
            </w:pPr>
            <w:r>
              <w:rPr>
                <w:sz w:val="24"/>
              </w:rPr>
              <w:t>Dated:</w:t>
            </w:r>
          </w:p>
        </w:tc>
        <w:tc>
          <w:tcPr>
            <w:tcW w:w="195"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2314"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2314" w:type="dxa"/>
            <w:gridSpan w:val="2"/>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0"/>
              <w:jc w:val="center"/>
              <w:rPr>
                <w:sz w:val="24"/>
              </w:rPr>
            </w:pPr>
            <w:r>
              <w:rPr>
                <w:sz w:val="24"/>
              </w:rPr>
              <w:t>(Legal Name of Holder)</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both"/>
        <w:rPr>
          <w:sz w:val="24"/>
        </w:rPr>
      </w:pPr>
      <w:r>
        <w:rPr>
          <w:sz w:val="24"/>
        </w:rPr>
      </w:r>
    </w:p>
    <w:p>
      <w:pPr>
        <w:pStyle w:val="Normal"/>
        <w:bidi w:val="0"/>
        <w:spacing w:before="0" w:after="0"/>
        <w:jc w:val="left"/>
        <w:rPr>
          <w:sz w:val="4"/>
          <w:szCs w:val="4"/>
        </w:rPr>
      </w:pPr>
      <w:r>
        <w:rPr>
          <w:sz w:val="4"/>
          <w:szCs w:val="4"/>
        </w:rPr>
      </w:r>
      <w:bookmarkStart w:id="129" w:name="z43d4fe479fe548648ca6f1a95d85505d"/>
      <w:bookmarkStart w:id="130" w:name="z43d4fe479fe548648ca6f1a95d85505d"/>
      <w:bookmarkEnd w:id="130"/>
    </w:p>
    <w:tbl>
      <w:tblPr>
        <w:tblW w:w="1135" w:type="dxa"/>
        <w:jc w:val="left"/>
        <w:tblInd w:w="0" w:type="dxa"/>
        <w:tblLayout w:type="fixed"/>
        <w:tblCellMar>
          <w:top w:w="0" w:type="dxa"/>
          <w:left w:w="0" w:type="dxa"/>
          <w:bottom w:w="0" w:type="dxa"/>
          <w:right w:w="0" w:type="dxa"/>
        </w:tblCellMar>
      </w:tblPr>
      <w:tblGrid>
        <w:gridCol w:w="425"/>
        <w:gridCol w:w="650"/>
        <w:gridCol w:w="60"/>
      </w:tblGrid>
      <w:tr>
        <w:trPr/>
        <w:tc>
          <w:tcPr>
            <w:tcW w:w="425" w:type="dxa"/>
            <w:tcBorders/>
            <w:vAlign w:val="center"/>
          </w:tcPr>
          <w:p>
            <w:pPr>
              <w:pStyle w:val="TableContents"/>
              <w:bidi w:val="0"/>
              <w:spacing w:before="0" w:after="283"/>
              <w:jc w:val="left"/>
              <w:rPr>
                <w:sz w:val="24"/>
              </w:rPr>
            </w:pPr>
            <w:r>
              <w:rPr>
                <w:sz w:val="24"/>
              </w:rPr>
              <w:t xml:space="preserve">By: </w:t>
            </w:r>
          </w:p>
        </w:tc>
        <w:tc>
          <w:tcPr>
            <w:tcW w:w="65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42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left"/>
              <w:rPr>
                <w:sz w:val="24"/>
              </w:rPr>
            </w:pPr>
            <w:r>
              <w:rPr>
                <w:sz w:val="24"/>
              </w:rPr>
              <w:t>Name:</w:t>
            </w:r>
          </w:p>
        </w:tc>
        <w:tc>
          <w:tcPr>
            <w:tcW w:w="60" w:type="dxa"/>
            <w:tcBorders/>
            <w:vAlign w:val="center"/>
          </w:tcPr>
          <w:p>
            <w:pPr>
              <w:pStyle w:val="TableContents"/>
              <w:bidi w:val="0"/>
              <w:spacing w:before="0" w:after="0"/>
              <w:jc w:val="left"/>
              <w:rPr/>
            </w:pPr>
            <w:r>
              <w:rPr/>
              <w:t> </w:t>
            </w:r>
          </w:p>
        </w:tc>
      </w:tr>
      <w:tr>
        <w:trPr/>
        <w:tc>
          <w:tcPr>
            <w:tcW w:w="42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left"/>
              <w:rPr>
                <w:sz w:val="24"/>
              </w:rPr>
            </w:pPr>
            <w:r>
              <w:rPr>
                <w:sz w:val="24"/>
              </w:rPr>
              <w:t>Title:</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sz w:val="24"/>
        </w:rPr>
      </w:pPr>
      <w:r>
        <w:rPr>
          <w:sz w:val="24"/>
        </w:rPr>
      </w:r>
      <w:bookmarkStart w:id="131" w:name="za8732cca702a47dea224b7aca00cf1cc"/>
      <w:bookmarkStart w:id="132" w:name="za8732cca702a47dea224b7aca00cf1cc"/>
      <w:bookmarkEnd w:id="132"/>
    </w:p>
    <w:tbl>
      <w:tblPr>
        <w:tblW w:w="3710" w:type="dxa"/>
        <w:jc w:val="left"/>
        <w:tblInd w:w="0" w:type="dxa"/>
        <w:tblLayout w:type="fixed"/>
        <w:tblCellMar>
          <w:top w:w="0" w:type="dxa"/>
          <w:left w:w="0" w:type="dxa"/>
          <w:bottom w:w="0" w:type="dxa"/>
          <w:right w:w="0" w:type="dxa"/>
        </w:tblCellMar>
      </w:tblPr>
      <w:tblGrid>
        <w:gridCol w:w="3650"/>
        <w:gridCol w:w="60"/>
      </w:tblGrid>
      <w:tr>
        <w:trPr/>
        <w:tc>
          <w:tcPr>
            <w:tcW w:w="3650" w:type="dxa"/>
            <w:tcBorders/>
            <w:vAlign w:val="center"/>
          </w:tcPr>
          <w:p>
            <w:pPr>
              <w:pStyle w:val="TableContents"/>
              <w:bidi w:val="0"/>
              <w:spacing w:before="0" w:after="0"/>
              <w:jc w:val="both"/>
              <w:rPr>
                <w:sz w:val="24"/>
              </w:rPr>
            </w:pPr>
            <w:r>
              <w:rPr>
                <w:sz w:val="24"/>
              </w:rPr>
              <w:t>Signature Guaranteed:</w:t>
            </w:r>
          </w:p>
        </w:tc>
        <w:tc>
          <w:tcPr>
            <w:tcW w:w="60" w:type="dxa"/>
            <w:tcBorders/>
            <w:vAlign w:val="center"/>
          </w:tcPr>
          <w:p>
            <w:pPr>
              <w:pStyle w:val="TableContents"/>
              <w:bidi w:val="0"/>
              <w:spacing w:before="0" w:after="0"/>
              <w:jc w:val="left"/>
              <w:rPr/>
            </w:pPr>
            <w:r>
              <w:rPr/>
              <w:t> </w:t>
            </w:r>
          </w:p>
        </w:tc>
      </w:tr>
      <w:tr>
        <w:trPr/>
        <w:tc>
          <w:tcPr>
            <w:tcW w:w="365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3650" w:type="dxa"/>
            <w:tcBorders/>
            <w:vAlign w:val="center"/>
          </w:tcPr>
          <w:p>
            <w:pPr>
              <w:pStyle w:val="TableContents"/>
              <w:bidi w:val="0"/>
              <w:spacing w:before="0" w:after="0"/>
              <w:jc w:val="center"/>
              <w:rPr>
                <w:sz w:val="24"/>
              </w:rPr>
            </w:pPr>
            <w:r>
              <w:rPr>
                <w:sz w:val="24"/>
              </w:rPr>
              <w:t>(Participant in a Recognized Signature</w:t>
            </w:r>
          </w:p>
          <w:p>
            <w:pPr>
              <w:pStyle w:val="TableContents"/>
              <w:bidi w:val="0"/>
              <w:spacing w:before="0" w:after="0"/>
              <w:jc w:val="center"/>
              <w:rPr>
                <w:sz w:val="24"/>
              </w:rPr>
            </w:pPr>
            <w:r>
              <w:rPr>
                <w:sz w:val="24"/>
              </w:rPr>
              <w:t>Guarantee Medallion Program)</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both"/>
        <w:rPr>
          <w:sz w:val="24"/>
        </w:rPr>
      </w:pPr>
      <w:r>
        <w:rPr>
          <w:sz w:val="24"/>
        </w:rPr>
      </w:r>
    </w:p>
    <w:p>
      <w:pPr>
        <w:pStyle w:val="Normal"/>
        <w:bidi w:val="0"/>
        <w:spacing w:before="0" w:after="0"/>
        <w:jc w:val="left"/>
        <w:rPr>
          <w:sz w:val="4"/>
          <w:szCs w:val="4"/>
        </w:rPr>
      </w:pPr>
      <w:r>
        <w:rPr>
          <w:sz w:val="4"/>
          <w:szCs w:val="4"/>
        </w:rPr>
      </w:r>
      <w:bookmarkStart w:id="133" w:name="z64f0f8c9130f4a23a9793f1a3b751715"/>
      <w:bookmarkStart w:id="134" w:name="z64f0f8c9130f4a23a9793f1a3b751715"/>
      <w:bookmarkEnd w:id="134"/>
    </w:p>
    <w:tbl>
      <w:tblPr>
        <w:tblW w:w="2545" w:type="dxa"/>
        <w:jc w:val="left"/>
        <w:tblInd w:w="0" w:type="dxa"/>
        <w:tblLayout w:type="fixed"/>
        <w:tblCellMar>
          <w:top w:w="0" w:type="dxa"/>
          <w:left w:w="0" w:type="dxa"/>
          <w:bottom w:w="0" w:type="dxa"/>
          <w:right w:w="0" w:type="dxa"/>
        </w:tblCellMar>
      </w:tblPr>
      <w:tblGrid>
        <w:gridCol w:w="425"/>
        <w:gridCol w:w="2060"/>
        <w:gridCol w:w="60"/>
      </w:tblGrid>
      <w:tr>
        <w:trPr/>
        <w:tc>
          <w:tcPr>
            <w:tcW w:w="425" w:type="dxa"/>
            <w:tcBorders/>
            <w:vAlign w:val="center"/>
          </w:tcPr>
          <w:p>
            <w:pPr>
              <w:pStyle w:val="TableContents"/>
              <w:bidi w:val="0"/>
              <w:spacing w:before="0" w:after="283"/>
              <w:jc w:val="left"/>
              <w:rPr>
                <w:sz w:val="24"/>
              </w:rPr>
            </w:pPr>
            <w:r>
              <w:rPr>
                <w:sz w:val="24"/>
              </w:rPr>
              <w:t xml:space="preserve">By: </w:t>
            </w:r>
          </w:p>
        </w:tc>
        <w:tc>
          <w:tcPr>
            <w:tcW w:w="206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425"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center"/>
              <w:rPr>
                <w:sz w:val="24"/>
              </w:rPr>
            </w:pPr>
            <w:r>
              <w:rPr>
                <w:sz w:val="24"/>
              </w:rPr>
              <w:t>Authorized Signatory</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A-10</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EXHIBIT B-1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FORM OF RESTRICTED NOTE LEGEND</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OFFER AND SALE OF THIS NOTE AND THE ORDINARY SHARES,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5" w:name="z37bd600c2b5043f6bee8ebe83872d4e5"/>
      <w:bookmarkStart w:id="136" w:name="z37bd600c2b5043f6bee8ebe83872d4e5"/>
      <w:bookmarkEnd w:id="136"/>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(1)</w:t>
            </w:r>
          </w:p>
        </w:tc>
        <w:tc>
          <w:tcPr>
            <w:tcW w:w="9956"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REPRESENTS THAT IT AND ANY ACCOUNT FOR WHICH IT IS ACTING IS A “QUALIFIED INSTITUTIONAL BUYER” (WITHIN THE MEANING OF RULE 144A UNDER THE SECURITIES ACT) AND THAT IT EXERCISES SOLE INVESTMENT DISCRETION WITH RESPECT TO EACH SUCH ACCOUNT;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7" w:name="zd5c2dfddb1c74cecafefae535caa4b1f"/>
      <w:bookmarkStart w:id="138" w:name="zd5c2dfddb1c74cecafefae535caa4b1f"/>
      <w:bookmarkEnd w:id="138"/>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(2)</w:t>
            </w:r>
          </w:p>
        </w:tc>
        <w:tc>
          <w:tcPr>
            <w:tcW w:w="9943"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AGREES FOR THE BENEFIT OF THE COMPANY THAT IT WILL NOT OFFER TO SELL, SELL OR OTHERWISE TRANSFER THIS NOTE OR ANY BENEFICIAL INTEREST HEREIN, EXCEPT ONLY: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9" w:name="z70be90f4b3d94d4788090e6a2f523683"/>
      <w:bookmarkStart w:id="140" w:name="z70be90f4b3d94d4788090e6a2f523683"/>
      <w:bookmarkEnd w:id="140"/>
    </w:p>
    <w:tbl>
      <w:tblPr>
        <w:tblW w:w="6348" w:type="dxa"/>
        <w:jc w:val="left"/>
        <w:tblInd w:w="0" w:type="dxa"/>
        <w:tblLayout w:type="fixed"/>
        <w:tblCellMar>
          <w:top w:w="0" w:type="dxa"/>
          <w:left w:w="0" w:type="dxa"/>
          <w:bottom w:w="0" w:type="dxa"/>
          <w:right w:w="0" w:type="dxa"/>
        </w:tblCellMar>
      </w:tblPr>
      <w:tblGrid>
        <w:gridCol w:w="38"/>
        <w:gridCol w:w="350"/>
        <w:gridCol w:w="596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(A)</w:t>
            </w:r>
          </w:p>
        </w:tc>
        <w:tc>
          <w:tcPr>
            <w:tcW w:w="59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TO THE COMPANY OR ANY SUBSIDIARY THEREOF;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1" w:name="zb816ad213d4a4915a84803ef45e40711"/>
      <w:bookmarkStart w:id="142" w:name="zb816ad213d4a4915a84803ef45e40711"/>
      <w:bookmarkEnd w:id="142"/>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(B)</w:t>
            </w:r>
          </w:p>
        </w:tc>
        <w:tc>
          <w:tcPr>
            <w:tcW w:w="9843"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PURSUANT TO A REGISTRATION STATEMENT THAT IS EFFECTIVE UNDER THE SECURITIES ACT;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3" w:name="zba0eb053ec8a43049529650e7e41e100"/>
      <w:bookmarkStart w:id="144" w:name="zba0eb053ec8a43049529650e7e41e100"/>
      <w:bookmarkEnd w:id="144"/>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pPr>
            <w:r>
              <w:rPr/>
            </w:r>
          </w:p>
        </w:tc>
        <w:tc>
          <w:tcPr>
            <w:tcW w:w="298"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(C)</w:t>
            </w:r>
          </w:p>
        </w:tc>
        <w:tc>
          <w:tcPr>
            <w:tcW w:w="9869"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TO A PERSON REASONABLY BELIEVED TO BE A QUALIFIED INSTITUTIONAL BUYER IN COMPLIANCE WITH RULE 144A UNDER THE SECURITIES ACT;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5" w:name="z39f58533b29746919bd7bc8bf1186407"/>
      <w:bookmarkStart w:id="146" w:name="z39f58533b29746919bd7bc8bf1186407"/>
      <w:bookmarkEnd w:id="146"/>
    </w:p>
    <w:tbl>
      <w:tblPr>
        <w:tblW w:w="7158" w:type="dxa"/>
        <w:jc w:val="left"/>
        <w:tblInd w:w="0" w:type="dxa"/>
        <w:tblLayout w:type="fixed"/>
        <w:tblCellMar>
          <w:top w:w="0" w:type="dxa"/>
          <w:left w:w="0" w:type="dxa"/>
          <w:bottom w:w="0" w:type="dxa"/>
          <w:right w:w="0" w:type="dxa"/>
        </w:tblCellMar>
      </w:tblPr>
      <w:tblGrid>
        <w:gridCol w:w="38"/>
        <w:gridCol w:w="350"/>
        <w:gridCol w:w="677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(D)</w:t>
            </w:r>
          </w:p>
        </w:tc>
        <w:tc>
          <w:tcPr>
            <w:tcW w:w="677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PURSUANT TO RULE 144 UNDER THE SECURITIES ACT;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7" w:name="zfe5a9353f49449c4a0a905503d54b396"/>
      <w:bookmarkStart w:id="148" w:name="zfe5a9353f49449c4a0a905503d54b396"/>
      <w:bookmarkEnd w:id="148"/>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pPr>
            <w:r>
              <w:rPr/>
            </w:r>
          </w:p>
        </w:tc>
        <w:tc>
          <w:tcPr>
            <w:tcW w:w="282"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(E)</w:t>
            </w:r>
          </w:p>
        </w:tc>
        <w:tc>
          <w:tcPr>
            <w:tcW w:w="988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PURSUANT TO ANY OTHER EXEMPTION FROM, OR IN A TRANSACTION NOT SUBJECT TO, THE REGISTRATION REQUIREMENTS OF THE SECURITIES ACT.</w:t>
            </w:r>
          </w:p>
        </w:tc>
      </w:tr>
    </w:tbl>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4"/>
        </w:rPr>
      </w:pPr>
      <w:r>
        <w:rPr>
          <w:rFonts w:ascii="Times New Roman" w:hAnsi="Times New Roman"/>
          <w:color w:val="000000"/>
          <w:sz w:val="24"/>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49" w:name="ze4b2efa1c4f242ecb3cc3bb3289b3670"/>
      <w:bookmarkStart w:id="150" w:name="ze4b2efa1c4f242ecb3cc3bb3289b3670"/>
      <w:bookmarkEnd w:id="150"/>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This paragraph and the immediately preceding paragraph will be deemed to be removed from the face of this Note at such time when the Company delivers written notice to the Trustee of such deemed removal pursuant to Section 2.12 of the within-mentioned Indenture.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B1-1</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EXHIBIT B-2</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FORM OF GLOBAL NOTE LEGEND</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B2-1</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EXHIBIT B-3</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FORM OF NON-AFFILIATE LEGEND</w:t>
      </w:r>
    </w:p>
    <w:p>
      <w:pPr>
        <w:pStyle w:val="TextBody"/>
        <w:bidi w:val="0"/>
        <w:spacing w:before="0" w:after="0"/>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AFFILIATE (AS DEFINED IN RULE 144 UNDER THE SECURITIES ACT OF 1933, AS AMENDED) OF THE COMPANY MAY PURCHASE OR OTHERWISE ACQUIRE THIS NOTE OR ANY BENEFICIAL INTEREST HEREIN.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B3-1</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1" w:name="ef20060782_ex4-3.htm"/>
      <w:bookmarkStart w:id="152" w:name="ksef20060782_ex43"/>
      <w:bookmarkStart w:id="153" w:name="ef20060782_ex4-3.htm"/>
      <w:bookmarkStart w:id="154" w:name="ksef20060782_ex43"/>
      <w:bookmarkEnd w:id="153"/>
      <w:bookmarkEnd w:id="15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4.3</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Portions of this exhibit have been redacted in compliance with Item 601(a)(6) of Regulation S-K because disclosure would constitute a clearly unwarranted invasion of personal privacy. Redacted information is indicated by [***].</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right"/>
        <w:rPr>
          <w:rFonts w:ascii="Times New Roman" w:hAnsi="Times New Roman"/>
          <w:b/>
          <w:i/>
          <w:color w:val="000000"/>
          <w:sz w:val="24"/>
        </w:rPr>
      </w:pPr>
      <w:r>
        <w:rPr>
          <w:rFonts w:ascii="Times New Roman" w:hAnsi="Times New Roman"/>
          <w:b/>
          <w:i/>
          <w:color w:val="000000"/>
          <w:sz w:val="24"/>
        </w:rPr>
        <w:t>Execution Version</w:t>
      </w:r>
    </w:p>
    <w:p>
      <w:pPr>
        <w:pStyle w:val="Normal"/>
        <w:bidi w:val="0"/>
        <w:spacing w:before="0" w:after="0"/>
        <w:jc w:val="left"/>
        <w:rPr>
          <w:sz w:val="4"/>
          <w:szCs w:val="4"/>
        </w:rPr>
      </w:pPr>
      <w:r>
        <w:rPr>
          <w:sz w:val="4"/>
          <w:szCs w:val="4"/>
        </w:rPr>
      </w:r>
      <w:bookmarkStart w:id="155" w:name="zffdddacaf8bd473dab54daded3e5f364"/>
      <w:bookmarkStart w:id="156" w:name="zffdddacaf8bd473dab54daded3e5f364"/>
      <w:bookmarkEnd w:id="156"/>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double" w:sz="8" w:space="0" w:color="000000"/>
            </w:tcBorders>
            <w:vAlign w:val="center"/>
          </w:tcPr>
          <w:p>
            <w:pPr>
              <w:pStyle w:val="TableContents"/>
              <w:bidi w:val="0"/>
              <w:spacing w:before="0" w:after="0"/>
              <w:jc w:val="right"/>
              <w:rPr>
                <w:b/>
                <w:sz w:val="24"/>
              </w:rPr>
            </w:pPr>
            <w:r>
              <w:rPr>
                <w:b/>
                <w:sz w:val="24"/>
              </w:rPr>
            </w:r>
          </w:p>
        </w:tc>
      </w:tr>
      <w:tr>
        <w:trPr/>
        <w:tc>
          <w:tcPr>
            <w:tcW w:w="60" w:type="dxa"/>
            <w:tcBorders>
              <w:bottom w:val="double" w:sz="8" w:space="0" w:color="000000"/>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IREN LIMITED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U.S. BANK TRUST COMPANY, NATIONAL ASSOCIATION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as Trustee</w:t>
      </w:r>
    </w:p>
    <w:p>
      <w:pPr>
        <w:pStyle w:val="HorizontalLine"/>
        <w:pBdr>
          <w:bottom w:val="single" w:sz="12" w:space="0" w:color="808080"/>
        </w:pBdr>
        <w:bidi w:val="0"/>
        <w:jc w:val="center"/>
        <w:rPr/>
      </w:pPr>
      <w:r>
        <w:rPr/>
      </w:r>
    </w:p>
    <w:p>
      <w:pPr>
        <w:pStyle w:val="TextBody"/>
        <w:bidi w:val="0"/>
        <w:spacing w:before="0" w:after="0"/>
        <w:ind w:left="2520" w:right="2520" w:hanging="0"/>
        <w:jc w:val="center"/>
        <w:rPr>
          <w:rFonts w:ascii="Times New Roman" w:hAnsi="Times New Roman"/>
          <w:color w:val="000000"/>
          <w:sz w:val="24"/>
        </w:rPr>
      </w:pPr>
      <w:r>
        <w:rPr>
          <w:rFonts w:ascii="Times New Roman" w:hAnsi="Times New Roman"/>
          <w:color w:val="000000"/>
          <w:sz w:val="24"/>
        </w:rPr>
        <w:t>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2880" w:right="2880" w:hanging="0"/>
        <w:jc w:val="center"/>
        <w:rPr>
          <w:rFonts w:ascii="Times New Roman" w:hAnsi="Times New Roman"/>
          <w:color w:val="000000"/>
          <w:sz w:val="24"/>
        </w:rPr>
      </w:pPr>
      <w:r>
        <w:rPr>
          <w:rFonts w:ascii="Times New Roman" w:hAnsi="Times New Roman"/>
          <w:color w:val="000000"/>
          <w:sz w:val="24"/>
        </w:rPr>
        <w:t>Dated as of December 8, 2025</w:t>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1.00% Convertible Senior Notes due 2033</w:t>
      </w:r>
    </w:p>
    <w:p>
      <w:pPr>
        <w:pStyle w:val="Normal"/>
        <w:bidi w:val="0"/>
        <w:spacing w:before="0" w:after="0"/>
        <w:jc w:val="left"/>
        <w:rPr>
          <w:sz w:val="4"/>
          <w:szCs w:val="4"/>
        </w:rPr>
      </w:pPr>
      <w:r>
        <w:rPr>
          <w:sz w:val="4"/>
          <w:szCs w:val="4"/>
        </w:rPr>
      </w:r>
      <w:bookmarkStart w:id="157" w:name="za141c52be1274b80990d7a23e2304c1d"/>
      <w:bookmarkStart w:id="158" w:name="za141c52be1274b80990d7a23e2304c1d"/>
      <w:bookmarkEnd w:id="158"/>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double" w:sz="8" w:space="0" w:color="000000"/>
            </w:tcBorders>
            <w:vAlign w:val="center"/>
          </w:tcPr>
          <w:p>
            <w:pPr>
              <w:pStyle w:val="TableContents"/>
              <w:bidi w:val="0"/>
              <w:spacing w:before="0" w:after="0"/>
              <w:jc w:val="right"/>
              <w:rPr>
                <w:b/>
                <w:sz w:val="24"/>
              </w:rPr>
            </w:pPr>
            <w:r>
              <w:rPr>
                <w:b/>
                <w:sz w:val="24"/>
              </w:rPr>
            </w:r>
          </w:p>
        </w:tc>
      </w:tr>
      <w:tr>
        <w:trPr/>
        <w:tc>
          <w:tcPr>
            <w:tcW w:w="60" w:type="dxa"/>
            <w:tcBorders>
              <w:bottom w:val="double" w:sz="8" w:space="0" w:color="000000"/>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159" w:name="z56b333b195af4f71b6006443768241a5"/>
      <w:bookmarkStart w:id="160" w:name="z56b333b195af4f71b6006443768241a5"/>
      <w:bookmarkEnd w:id="160"/>
    </w:p>
    <w:tbl>
      <w:tblPr>
        <w:tblW w:w="4680" w:type="dxa"/>
        <w:jc w:val="left"/>
        <w:tblInd w:w="0" w:type="dxa"/>
        <w:tblLayout w:type="fixed"/>
        <w:tblCellMar>
          <w:top w:w="0" w:type="dxa"/>
          <w:left w:w="0" w:type="dxa"/>
          <w:bottom w:w="0" w:type="dxa"/>
          <w:right w:w="0" w:type="dxa"/>
        </w:tblCellMar>
      </w:tblPr>
      <w:tblGrid>
        <w:gridCol w:w="905"/>
        <w:gridCol w:w="3260"/>
        <w:gridCol w:w="515"/>
      </w:tblGrid>
      <w:tr>
        <w:trPr/>
        <w:tc>
          <w:tcPr>
            <w:tcW w:w="90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right"/>
              <w:rPr>
                <w:rFonts w:ascii="Times New Roman" w:hAnsi="Times New Roman"/>
                <w:b/>
                <w:sz w:val="24"/>
                <w:u w:val="single"/>
              </w:rPr>
            </w:pPr>
            <w:r>
              <w:rPr>
                <w:rFonts w:ascii="Times New Roman" w:hAnsi="Times New Roman"/>
                <w:b/>
                <w:sz w:val="24"/>
                <w:u w:val="single"/>
              </w:rPr>
              <w:t>Page</w:t>
            </w:r>
          </w:p>
        </w:tc>
      </w:tr>
      <w:tr>
        <w:trPr/>
        <w:tc>
          <w:tcPr>
            <w:tcW w:w="90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Article 1.</w:t>
            </w:r>
          </w:p>
        </w:tc>
        <w:tc>
          <w:tcPr>
            <w:tcW w:w="326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Definitions; Rules of Construction</w:t>
            </w:r>
          </w:p>
        </w:tc>
        <w:tc>
          <w:tcPr>
            <w:tcW w:w="51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161" w:name="z64cc356ec4f14e87adff6218ce06cf6f"/>
      <w:bookmarkStart w:id="162" w:name="z64cc356ec4f14e87adff6218ce06cf6f"/>
      <w:bookmarkEnd w:id="162"/>
    </w:p>
    <w:tbl>
      <w:tblPr>
        <w:tblW w:w="4455" w:type="dxa"/>
        <w:jc w:val="left"/>
        <w:tblInd w:w="0" w:type="dxa"/>
        <w:tblLayout w:type="fixed"/>
        <w:tblCellMar>
          <w:top w:w="0" w:type="dxa"/>
          <w:left w:w="0" w:type="dxa"/>
          <w:bottom w:w="0" w:type="dxa"/>
          <w:right w:w="0" w:type="dxa"/>
        </w:tblCellMar>
      </w:tblPr>
      <w:tblGrid>
        <w:gridCol w:w="60"/>
        <w:gridCol w:w="1265"/>
        <w:gridCol w:w="2870"/>
        <w:gridCol w:w="260"/>
      </w:tblGrid>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1.01.</w:t>
            </w:r>
          </w:p>
        </w:tc>
        <w:tc>
          <w:tcPr>
            <w:tcW w:w="2870"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Definitions.</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1.02.</w:t>
            </w:r>
          </w:p>
        </w:tc>
        <w:tc>
          <w:tcPr>
            <w:tcW w:w="2870"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Other Definitions.</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14</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1.03.</w:t>
            </w:r>
          </w:p>
        </w:tc>
        <w:tc>
          <w:tcPr>
            <w:tcW w:w="2870"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Rules of Construction.</w:t>
            </w:r>
          </w:p>
        </w:tc>
        <w:tc>
          <w:tcPr>
            <w:tcW w:w="26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14</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163" w:name="z38ed234b76bb4e2095ae0d2445dd5182"/>
      <w:bookmarkStart w:id="164" w:name="z38ed234b76bb4e2095ae0d2445dd5182"/>
      <w:bookmarkEnd w:id="164"/>
    </w:p>
    <w:tbl>
      <w:tblPr>
        <w:tblW w:w="2205" w:type="dxa"/>
        <w:jc w:val="left"/>
        <w:tblInd w:w="0" w:type="dxa"/>
        <w:tblLayout w:type="fixed"/>
        <w:tblCellMar>
          <w:top w:w="0" w:type="dxa"/>
          <w:left w:w="0" w:type="dxa"/>
          <w:bottom w:w="0" w:type="dxa"/>
          <w:right w:w="0" w:type="dxa"/>
        </w:tblCellMar>
      </w:tblPr>
      <w:tblGrid>
        <w:gridCol w:w="920"/>
        <w:gridCol w:w="1010"/>
        <w:gridCol w:w="275"/>
      </w:tblGrid>
      <w:tr>
        <w:trPr/>
        <w:tc>
          <w:tcPr>
            <w:tcW w:w="92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Article 2.</w:t>
            </w:r>
          </w:p>
        </w:tc>
        <w:tc>
          <w:tcPr>
            <w:tcW w:w="101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The Notes</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15</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165" w:name="zf818b58773aa4ca6a546f4560004f091"/>
      <w:bookmarkStart w:id="166" w:name="zf818b58773aa4ca6a546f4560004f091"/>
      <w:bookmarkEnd w:id="166"/>
    </w:p>
    <w:tbl>
      <w:tblPr>
        <w:tblW w:w="10205" w:type="dxa"/>
        <w:jc w:val="left"/>
        <w:tblInd w:w="0" w:type="dxa"/>
        <w:tblLayout w:type="fixed"/>
        <w:tblCellMar>
          <w:top w:w="0" w:type="dxa"/>
          <w:left w:w="0" w:type="dxa"/>
          <w:bottom w:w="0" w:type="dxa"/>
          <w:right w:w="0" w:type="dxa"/>
        </w:tblCellMar>
      </w:tblPr>
      <w:tblGrid>
        <w:gridCol w:w="75"/>
        <w:gridCol w:w="1013"/>
        <w:gridCol w:w="8841"/>
        <w:gridCol w:w="276"/>
      </w:tblGrid>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2.01.</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Form, Dating and Denominations.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15</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2.02.</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Execution, Authentication and Delivery.</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16</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2.03.</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Initial Notes and Additional Notes.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16</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2.04.</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Method of Payment.</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17</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2.05.</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Accrual of Interest; Defaulted Amounts; When Payment Date is Not a Business Day.</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17</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2.06.</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Registrar, Paying Agent and Conversion Agent.</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18</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2.07.</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Paying Agent and Conversion Agent to Hold Property in Trust.</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19</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2.08.</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Holder Lists.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20</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2.09.</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Legends.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20</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2.10.</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Transfers and Exchanges; Certain Transfer Restrictions.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21</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2.11.</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Exchange and Cancellation of Notes to Be Converted or to Be Repurchased Pursuant to a Repurchase Upon Fundamental Change or Redemption.</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25</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2.12.</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Removal of Transfer Restrictions.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26</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2.13.</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Replacement Notes.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27</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2.14.</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Registered Holders; Certain Rights with Respect to Global Notes.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27</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2.15.</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Cancellation.</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27</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2.16.</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Notes Held by the Company or its Affiliates.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28</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2.17.</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Temporary Notes.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28</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2.18.</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Outstanding Notes.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28</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2.19.</w:t>
            </w:r>
          </w:p>
        </w:tc>
        <w:tc>
          <w:tcPr>
            <w:tcW w:w="8841"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Repurchases by the Company.</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29</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2.20.</w:t>
            </w:r>
          </w:p>
        </w:tc>
        <w:tc>
          <w:tcPr>
            <w:tcW w:w="8841"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CUSIP and ISIN Numbers.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29</w:t>
            </w:r>
          </w:p>
        </w:tc>
      </w:tr>
      <w:tr>
        <w:trPr/>
        <w:tc>
          <w:tcPr>
            <w:tcW w:w="7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841"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67" w:name="z3290bb1c72e5445da2d7e2f612ec4ec3"/>
      <w:bookmarkStart w:id="168" w:name="z3290bb1c72e5445da2d7e2f612ec4ec3"/>
      <w:bookmarkEnd w:id="168"/>
    </w:p>
    <w:tbl>
      <w:tblPr>
        <w:tblW w:w="2220" w:type="dxa"/>
        <w:jc w:val="left"/>
        <w:tblInd w:w="0" w:type="dxa"/>
        <w:tblLayout w:type="fixed"/>
        <w:tblCellMar>
          <w:top w:w="0" w:type="dxa"/>
          <w:left w:w="0" w:type="dxa"/>
          <w:bottom w:w="0" w:type="dxa"/>
          <w:right w:w="0" w:type="dxa"/>
        </w:tblCellMar>
      </w:tblPr>
      <w:tblGrid>
        <w:gridCol w:w="920"/>
        <w:gridCol w:w="1025"/>
        <w:gridCol w:w="275"/>
      </w:tblGrid>
      <w:tr>
        <w:trPr/>
        <w:tc>
          <w:tcPr>
            <w:tcW w:w="9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3.</w:t>
            </w:r>
          </w:p>
        </w:tc>
        <w:tc>
          <w:tcPr>
            <w:tcW w:w="102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Covenants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29</w:t>
            </w:r>
          </w:p>
        </w:tc>
      </w:tr>
      <w:tr>
        <w:trPr/>
        <w:tc>
          <w:tcPr>
            <w:tcW w:w="9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69" w:name="zc7b5c4fb335e4b7294741884de58b7f0"/>
      <w:bookmarkStart w:id="170" w:name="zc7b5c4fb335e4b7294741884de58b7f0"/>
      <w:bookmarkEnd w:id="170"/>
    </w:p>
    <w:tbl>
      <w:tblPr>
        <w:tblW w:w="7620" w:type="dxa"/>
        <w:jc w:val="left"/>
        <w:tblInd w:w="0" w:type="dxa"/>
        <w:tblLayout w:type="fixed"/>
        <w:tblCellMar>
          <w:top w:w="0" w:type="dxa"/>
          <w:left w:w="0" w:type="dxa"/>
          <w:bottom w:w="0" w:type="dxa"/>
          <w:right w:w="0" w:type="dxa"/>
        </w:tblCellMar>
      </w:tblPr>
      <w:tblGrid>
        <w:gridCol w:w="75"/>
        <w:gridCol w:w="1265"/>
        <w:gridCol w:w="6005"/>
        <w:gridCol w:w="275"/>
      </w:tblGrid>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3.01.</w:t>
            </w:r>
          </w:p>
        </w:tc>
        <w:tc>
          <w:tcPr>
            <w:tcW w:w="600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Payment on Notes.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29</w:t>
            </w:r>
          </w:p>
        </w:tc>
      </w:tr>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3.02.</w:t>
            </w:r>
          </w:p>
        </w:tc>
        <w:tc>
          <w:tcPr>
            <w:tcW w:w="600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Exchange Act Reports.</w:t>
            </w:r>
          </w:p>
        </w:tc>
        <w:tc>
          <w:tcPr>
            <w:tcW w:w="275" w:type="dxa"/>
            <w:tcBorders/>
            <w:shd w:fill="CCEEFF" w:val="clear"/>
            <w:vAlign w:val="center"/>
          </w:tcPr>
          <w:p>
            <w:pPr>
              <w:pStyle w:val="TableContents"/>
              <w:bidi w:val="0"/>
              <w:spacing w:before="0" w:after="283"/>
              <w:jc w:val="right"/>
              <w:rPr>
                <w:rFonts w:ascii="Times New Roman" w:hAnsi="Times New Roman"/>
                <w:sz w:val="24"/>
              </w:rPr>
            </w:pPr>
            <w:r>
              <w:rPr>
                <w:rFonts w:ascii="Times New Roman" w:hAnsi="Times New Roman"/>
                <w:sz w:val="24"/>
              </w:rPr>
              <w:t>30</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3.03.</w:t>
            </w:r>
          </w:p>
        </w:tc>
        <w:tc>
          <w:tcPr>
            <w:tcW w:w="600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Rule 144A Information.</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30</w:t>
            </w:r>
          </w:p>
        </w:tc>
      </w:tr>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3.04.</w:t>
            </w:r>
          </w:p>
        </w:tc>
        <w:tc>
          <w:tcPr>
            <w:tcW w:w="600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Additional Interest.</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30</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3.05.</w:t>
            </w:r>
          </w:p>
        </w:tc>
        <w:tc>
          <w:tcPr>
            <w:tcW w:w="600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Additional Amounts.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33</w:t>
            </w:r>
          </w:p>
        </w:tc>
      </w:tr>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3.06.</w:t>
            </w:r>
          </w:p>
        </w:tc>
        <w:tc>
          <w:tcPr>
            <w:tcW w:w="600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Compliance and Default Certificates.</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35</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3.07.</w:t>
            </w:r>
          </w:p>
        </w:tc>
        <w:tc>
          <w:tcPr>
            <w:tcW w:w="600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Stay, Extension and Usury Laws.</w:t>
            </w:r>
          </w:p>
        </w:tc>
        <w:tc>
          <w:tcPr>
            <w:tcW w:w="275" w:type="dxa"/>
            <w:tcBorders/>
            <w:vAlign w:val="center"/>
          </w:tcPr>
          <w:p>
            <w:pPr>
              <w:pStyle w:val="TableContents"/>
              <w:bidi w:val="0"/>
              <w:spacing w:before="0" w:after="283"/>
              <w:jc w:val="right"/>
              <w:rPr>
                <w:rFonts w:ascii="Times New Roman" w:hAnsi="Times New Roman"/>
                <w:sz w:val="24"/>
              </w:rPr>
            </w:pPr>
            <w:r>
              <w:rPr>
                <w:rFonts w:ascii="Times New Roman" w:hAnsi="Times New Roman"/>
                <w:sz w:val="24"/>
              </w:rPr>
              <w:t>36</w:t>
            </w:r>
          </w:p>
        </w:tc>
      </w:tr>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3.08.</w:t>
            </w:r>
          </w:p>
        </w:tc>
        <w:tc>
          <w:tcPr>
            <w:tcW w:w="600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Acquisition of Notes by the Company and its Affiliates.</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171" w:name="z966558bacc0f4875a7f480bc501d066e"/>
      <w:bookmarkStart w:id="172" w:name="z966558bacc0f4875a7f480bc501d066e"/>
      <w:bookmarkEnd w:id="172"/>
    </w:p>
    <w:tbl>
      <w:tblPr>
        <w:tblW w:w="3945" w:type="dxa"/>
        <w:jc w:val="left"/>
        <w:tblInd w:w="0" w:type="dxa"/>
        <w:tblLayout w:type="fixed"/>
        <w:tblCellMar>
          <w:top w:w="0" w:type="dxa"/>
          <w:left w:w="0" w:type="dxa"/>
          <w:bottom w:w="0" w:type="dxa"/>
          <w:right w:w="0" w:type="dxa"/>
        </w:tblCellMar>
      </w:tblPr>
      <w:tblGrid>
        <w:gridCol w:w="920"/>
        <w:gridCol w:w="2750"/>
        <w:gridCol w:w="275"/>
      </w:tblGrid>
      <w:tr>
        <w:trPr/>
        <w:tc>
          <w:tcPr>
            <w:tcW w:w="92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Article 4.</w:t>
            </w:r>
          </w:p>
        </w:tc>
        <w:tc>
          <w:tcPr>
            <w:tcW w:w="275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Repurchase and Redemption</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173" w:name="zd0ab1559e85e455eb87d8299e3f5db8a"/>
      <w:bookmarkStart w:id="174" w:name="zd0ab1559e85e455eb87d8299e3f5db8a"/>
      <w:bookmarkEnd w:id="174"/>
    </w:p>
    <w:tbl>
      <w:tblPr>
        <w:tblW w:w="4065" w:type="dxa"/>
        <w:jc w:val="left"/>
        <w:tblInd w:w="0" w:type="dxa"/>
        <w:tblLayout w:type="fixed"/>
        <w:tblCellMar>
          <w:top w:w="0" w:type="dxa"/>
          <w:left w:w="0" w:type="dxa"/>
          <w:bottom w:w="0" w:type="dxa"/>
          <w:right w:w="0" w:type="dxa"/>
        </w:tblCellMar>
      </w:tblPr>
      <w:tblGrid>
        <w:gridCol w:w="75"/>
        <w:gridCol w:w="1265"/>
        <w:gridCol w:w="2450"/>
        <w:gridCol w:w="275"/>
      </w:tblGrid>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4.01.</w:t>
            </w:r>
          </w:p>
        </w:tc>
        <w:tc>
          <w:tcPr>
            <w:tcW w:w="2450"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No Sinking Fund.</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i -</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175" w:name="z6a2d585c7d6147c0a8f8116772cab091"/>
      <w:bookmarkStart w:id="176" w:name="z6a2d585c7d6147c0a8f8116772cab091"/>
      <w:bookmarkEnd w:id="176"/>
    </w:p>
    <w:tbl>
      <w:tblPr>
        <w:tblW w:w="10205" w:type="dxa"/>
        <w:jc w:val="left"/>
        <w:tblInd w:w="0" w:type="dxa"/>
        <w:tblLayout w:type="fixed"/>
        <w:tblCellMar>
          <w:top w:w="0" w:type="dxa"/>
          <w:left w:w="0" w:type="dxa"/>
          <w:bottom w:w="0" w:type="dxa"/>
          <w:right w:w="0" w:type="dxa"/>
        </w:tblCellMar>
      </w:tblPr>
      <w:tblGrid>
        <w:gridCol w:w="75"/>
        <w:gridCol w:w="1195"/>
        <w:gridCol w:w="8659"/>
        <w:gridCol w:w="276"/>
      </w:tblGrid>
      <w:tr>
        <w:trPr/>
        <w:tc>
          <w:tcPr>
            <w:tcW w:w="7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4.02.</w:t>
            </w:r>
          </w:p>
        </w:tc>
        <w:tc>
          <w:tcPr>
            <w:tcW w:w="8659"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Right of Holders to Require the Company to Repurchase Notes Upon a Fundamental Change.</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36</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4.03.</w:t>
            </w:r>
          </w:p>
        </w:tc>
        <w:tc>
          <w:tcPr>
            <w:tcW w:w="8659"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Right of the Company to Redeem the Notes.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41</w:t>
            </w:r>
          </w:p>
        </w:tc>
      </w:tr>
      <w:tr>
        <w:trPr/>
        <w:tc>
          <w:tcPr>
            <w:tcW w:w="7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left"/>
              <w:rPr/>
            </w:pPr>
            <w:r>
              <w:rPr/>
              <w:t> </w:t>
            </w:r>
          </w:p>
        </w:tc>
        <w:tc>
          <w:tcPr>
            <w:tcW w:w="8659"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77" w:name="z84df84331f854f8ca46582aab24fafec"/>
      <w:bookmarkStart w:id="178" w:name="z84df84331f854f8ca46582aab24fafec"/>
      <w:bookmarkEnd w:id="178"/>
    </w:p>
    <w:tbl>
      <w:tblPr>
        <w:tblW w:w="3615" w:type="dxa"/>
        <w:jc w:val="left"/>
        <w:tblInd w:w="0" w:type="dxa"/>
        <w:tblLayout w:type="fixed"/>
        <w:tblCellMar>
          <w:top w:w="0" w:type="dxa"/>
          <w:left w:w="0" w:type="dxa"/>
          <w:bottom w:w="0" w:type="dxa"/>
          <w:right w:w="0" w:type="dxa"/>
        </w:tblCellMar>
      </w:tblPr>
      <w:tblGrid>
        <w:gridCol w:w="920"/>
        <w:gridCol w:w="2420"/>
        <w:gridCol w:w="275"/>
      </w:tblGrid>
      <w:tr>
        <w:trPr/>
        <w:tc>
          <w:tcPr>
            <w:tcW w:w="9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5.</w:t>
            </w:r>
          </w:p>
        </w:tc>
        <w:tc>
          <w:tcPr>
            <w:tcW w:w="24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The Conversion of Notes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46</w:t>
            </w:r>
          </w:p>
        </w:tc>
      </w:tr>
      <w:tr>
        <w:trPr/>
        <w:tc>
          <w:tcPr>
            <w:tcW w:w="92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79" w:name="z72f2d132708c4890bf1678f2cf24601b"/>
      <w:bookmarkStart w:id="180" w:name="z72f2d132708c4890bf1678f2cf24601b"/>
      <w:bookmarkEnd w:id="180"/>
    </w:p>
    <w:tbl>
      <w:tblPr>
        <w:tblW w:w="10205" w:type="dxa"/>
        <w:jc w:val="left"/>
        <w:tblInd w:w="0" w:type="dxa"/>
        <w:tblLayout w:type="fixed"/>
        <w:tblCellMar>
          <w:top w:w="0" w:type="dxa"/>
          <w:left w:w="0" w:type="dxa"/>
          <w:bottom w:w="0" w:type="dxa"/>
          <w:right w:w="0" w:type="dxa"/>
        </w:tblCellMar>
      </w:tblPr>
      <w:tblGrid>
        <w:gridCol w:w="75"/>
        <w:gridCol w:w="1195"/>
        <w:gridCol w:w="8659"/>
        <w:gridCol w:w="276"/>
      </w:tblGrid>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5.01.</w:t>
            </w:r>
          </w:p>
        </w:tc>
        <w:tc>
          <w:tcPr>
            <w:tcW w:w="8659"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Right to Convert.</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46</w:t>
            </w:r>
          </w:p>
        </w:tc>
      </w:tr>
      <w:tr>
        <w:trPr/>
        <w:tc>
          <w:tcPr>
            <w:tcW w:w="7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5.02.</w:t>
            </w:r>
          </w:p>
        </w:tc>
        <w:tc>
          <w:tcPr>
            <w:tcW w:w="8659"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Conversion Procedures.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50</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5.03.</w:t>
            </w:r>
          </w:p>
        </w:tc>
        <w:tc>
          <w:tcPr>
            <w:tcW w:w="8659"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Settlement Upon Conversion.</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51</w:t>
            </w:r>
          </w:p>
        </w:tc>
      </w:tr>
      <w:tr>
        <w:trPr/>
        <w:tc>
          <w:tcPr>
            <w:tcW w:w="7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5.04.</w:t>
            </w:r>
          </w:p>
        </w:tc>
        <w:tc>
          <w:tcPr>
            <w:tcW w:w="8659"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Status of Ordinary Shares Issued Upon Conversion.</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55</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5.05.</w:t>
            </w:r>
          </w:p>
        </w:tc>
        <w:tc>
          <w:tcPr>
            <w:tcW w:w="8659"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Adjustments to the Conversion Rate.</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55</w:t>
            </w:r>
          </w:p>
        </w:tc>
      </w:tr>
      <w:tr>
        <w:trPr/>
        <w:tc>
          <w:tcPr>
            <w:tcW w:w="7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5.06.</w:t>
            </w:r>
          </w:p>
        </w:tc>
        <w:tc>
          <w:tcPr>
            <w:tcW w:w="8659"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Voluntary Adjustments.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65</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5.07.</w:t>
            </w:r>
          </w:p>
        </w:tc>
        <w:tc>
          <w:tcPr>
            <w:tcW w:w="8659"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Adjustments to the Conversion Rate in Connection with a Make-Whole Fundamental Change.</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66</w:t>
            </w:r>
          </w:p>
        </w:tc>
      </w:tr>
      <w:tr>
        <w:trPr/>
        <w:tc>
          <w:tcPr>
            <w:tcW w:w="7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5.08.</w:t>
            </w:r>
          </w:p>
        </w:tc>
        <w:tc>
          <w:tcPr>
            <w:tcW w:w="8659"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Exchange in Lieu of Conversion.</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67</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5.09.</w:t>
            </w:r>
          </w:p>
        </w:tc>
        <w:tc>
          <w:tcPr>
            <w:tcW w:w="8659"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Effect of Ordinary Share Change Event.</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68</w:t>
            </w:r>
          </w:p>
        </w:tc>
      </w:tr>
    </w:tbl>
    <w:p>
      <w:pPr>
        <w:pStyle w:val="Normal"/>
        <w:bidi w:val="0"/>
        <w:spacing w:before="0" w:after="0"/>
        <w:jc w:val="left"/>
        <w:rPr>
          <w:sz w:val="4"/>
          <w:szCs w:val="4"/>
        </w:rPr>
      </w:pPr>
      <w:r>
        <w:rPr>
          <w:sz w:val="4"/>
          <w:szCs w:val="4"/>
        </w:rPr>
      </w:r>
      <w:bookmarkStart w:id="181" w:name="z3634db09c307403b9c81ec30fedd1855"/>
      <w:bookmarkStart w:id="182" w:name="z3634db09c307403b9c81ec30fedd1855"/>
      <w:bookmarkEnd w:id="182"/>
    </w:p>
    <w:tbl>
      <w:tblPr>
        <w:tblW w:w="2250" w:type="dxa"/>
        <w:jc w:val="left"/>
        <w:tblInd w:w="0" w:type="dxa"/>
        <w:tblLayout w:type="fixed"/>
        <w:tblCellMar>
          <w:top w:w="0" w:type="dxa"/>
          <w:left w:w="0" w:type="dxa"/>
          <w:bottom w:w="0" w:type="dxa"/>
          <w:right w:w="0" w:type="dxa"/>
        </w:tblCellMar>
      </w:tblPr>
      <w:tblGrid>
        <w:gridCol w:w="920"/>
        <w:gridCol w:w="1055"/>
        <w:gridCol w:w="275"/>
      </w:tblGrid>
      <w:tr>
        <w:trPr/>
        <w:tc>
          <w:tcPr>
            <w:tcW w:w="9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6.</w:t>
            </w:r>
          </w:p>
        </w:tc>
        <w:tc>
          <w:tcPr>
            <w:tcW w:w="105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Successors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70</w:t>
            </w:r>
          </w:p>
        </w:tc>
      </w:tr>
      <w:tr>
        <w:trPr/>
        <w:tc>
          <w:tcPr>
            <w:tcW w:w="9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83" w:name="z5949a5f5009d41448162d4e4b960cb62"/>
      <w:bookmarkStart w:id="184" w:name="z5949a5f5009d41448162d4e4b960cb62"/>
      <w:bookmarkEnd w:id="184"/>
    </w:p>
    <w:tbl>
      <w:tblPr>
        <w:tblW w:w="8430" w:type="dxa"/>
        <w:jc w:val="left"/>
        <w:tblInd w:w="0" w:type="dxa"/>
        <w:tblLayout w:type="fixed"/>
        <w:tblCellMar>
          <w:top w:w="0" w:type="dxa"/>
          <w:left w:w="0" w:type="dxa"/>
          <w:bottom w:w="0" w:type="dxa"/>
          <w:right w:w="0" w:type="dxa"/>
        </w:tblCellMar>
      </w:tblPr>
      <w:tblGrid>
        <w:gridCol w:w="75"/>
        <w:gridCol w:w="1265"/>
        <w:gridCol w:w="6815"/>
        <w:gridCol w:w="275"/>
      </w:tblGrid>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6.01.</w:t>
            </w:r>
          </w:p>
        </w:tc>
        <w:tc>
          <w:tcPr>
            <w:tcW w:w="681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When the Company May Merge, Etc.</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70</w:t>
            </w:r>
          </w:p>
        </w:tc>
      </w:tr>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6.02.</w:t>
            </w:r>
          </w:p>
        </w:tc>
        <w:tc>
          <w:tcPr>
            <w:tcW w:w="681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Successor Entity Substituted.</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70</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6.03.</w:t>
            </w:r>
          </w:p>
        </w:tc>
        <w:tc>
          <w:tcPr>
            <w:tcW w:w="681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Exclusion for Asset Transfers with Wholly Owned Subsidiaries.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70</w:t>
            </w:r>
          </w:p>
        </w:tc>
      </w:tr>
    </w:tbl>
    <w:p>
      <w:pPr>
        <w:pStyle w:val="Normal"/>
        <w:bidi w:val="0"/>
        <w:spacing w:before="0" w:after="0"/>
        <w:jc w:val="left"/>
        <w:rPr>
          <w:sz w:val="4"/>
          <w:szCs w:val="4"/>
        </w:rPr>
      </w:pPr>
      <w:r>
        <w:rPr>
          <w:sz w:val="4"/>
          <w:szCs w:val="4"/>
        </w:rPr>
      </w:r>
      <w:bookmarkStart w:id="185" w:name="zac1dc37d13bc49df9bbd3629e3409173"/>
      <w:bookmarkStart w:id="186" w:name="zac1dc37d13bc49df9bbd3629e3409173"/>
      <w:bookmarkEnd w:id="186"/>
    </w:p>
    <w:tbl>
      <w:tblPr>
        <w:tblW w:w="3405" w:type="dxa"/>
        <w:jc w:val="left"/>
        <w:tblInd w:w="0" w:type="dxa"/>
        <w:tblLayout w:type="fixed"/>
        <w:tblCellMar>
          <w:top w:w="0" w:type="dxa"/>
          <w:left w:w="0" w:type="dxa"/>
          <w:bottom w:w="0" w:type="dxa"/>
          <w:right w:w="0" w:type="dxa"/>
        </w:tblCellMar>
      </w:tblPr>
      <w:tblGrid>
        <w:gridCol w:w="920"/>
        <w:gridCol w:w="2210"/>
        <w:gridCol w:w="275"/>
      </w:tblGrid>
      <w:tr>
        <w:trPr/>
        <w:tc>
          <w:tcPr>
            <w:tcW w:w="9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7.</w:t>
            </w:r>
          </w:p>
        </w:tc>
        <w:tc>
          <w:tcPr>
            <w:tcW w:w="221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Defaults and Remedies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71</w:t>
            </w:r>
          </w:p>
        </w:tc>
      </w:tr>
      <w:tr>
        <w:trPr/>
        <w:tc>
          <w:tcPr>
            <w:tcW w:w="9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87" w:name="z847dfc8ba50f4c0687a89cad98e77eaa"/>
      <w:bookmarkStart w:id="188" w:name="z847dfc8ba50f4c0687a89cad98e77eaa"/>
      <w:bookmarkEnd w:id="188"/>
    </w:p>
    <w:tbl>
      <w:tblPr>
        <w:tblW w:w="10205" w:type="dxa"/>
        <w:jc w:val="left"/>
        <w:tblInd w:w="0" w:type="dxa"/>
        <w:tblLayout w:type="fixed"/>
        <w:tblCellMar>
          <w:top w:w="0" w:type="dxa"/>
          <w:left w:w="0" w:type="dxa"/>
          <w:bottom w:w="0" w:type="dxa"/>
          <w:right w:w="0" w:type="dxa"/>
        </w:tblCellMar>
      </w:tblPr>
      <w:tblGrid>
        <w:gridCol w:w="75"/>
        <w:gridCol w:w="1061"/>
        <w:gridCol w:w="8793"/>
        <w:gridCol w:w="276"/>
      </w:tblGrid>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7.01.</w:t>
            </w:r>
          </w:p>
        </w:tc>
        <w:tc>
          <w:tcPr>
            <w:tcW w:w="87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Events of Default.</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71</w:t>
            </w:r>
          </w:p>
        </w:tc>
      </w:tr>
      <w:tr>
        <w:trPr/>
        <w:tc>
          <w:tcPr>
            <w:tcW w:w="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7.02.</w:t>
            </w:r>
          </w:p>
        </w:tc>
        <w:tc>
          <w:tcPr>
            <w:tcW w:w="87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Acceleration.</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73</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7.03.</w:t>
            </w:r>
          </w:p>
        </w:tc>
        <w:tc>
          <w:tcPr>
            <w:tcW w:w="87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Sole Remedy for a Failure to Report.</w:t>
            </w:r>
          </w:p>
        </w:tc>
        <w:tc>
          <w:tcPr>
            <w:tcW w:w="276" w:type="dxa"/>
            <w:tcBorders/>
            <w:vAlign w:val="center"/>
          </w:tcPr>
          <w:p>
            <w:pPr>
              <w:pStyle w:val="TableContents"/>
              <w:bidi w:val="0"/>
              <w:spacing w:before="0" w:after="283"/>
              <w:jc w:val="right"/>
              <w:rPr>
                <w:rFonts w:ascii="Times New Roman" w:hAnsi="Times New Roman"/>
                <w:sz w:val="24"/>
              </w:rPr>
            </w:pPr>
            <w:r>
              <w:rPr>
                <w:rFonts w:ascii="Times New Roman" w:hAnsi="Times New Roman"/>
                <w:sz w:val="24"/>
              </w:rPr>
              <w:t>74</w:t>
            </w:r>
          </w:p>
        </w:tc>
      </w:tr>
      <w:tr>
        <w:trPr/>
        <w:tc>
          <w:tcPr>
            <w:tcW w:w="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7.04.</w:t>
            </w:r>
          </w:p>
        </w:tc>
        <w:tc>
          <w:tcPr>
            <w:tcW w:w="87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Other Remedies.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75</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7.05.</w:t>
            </w:r>
          </w:p>
        </w:tc>
        <w:tc>
          <w:tcPr>
            <w:tcW w:w="87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Waiver of Past Defaults.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75</w:t>
            </w:r>
          </w:p>
        </w:tc>
      </w:tr>
      <w:tr>
        <w:trPr/>
        <w:tc>
          <w:tcPr>
            <w:tcW w:w="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7.06.</w:t>
            </w:r>
          </w:p>
        </w:tc>
        <w:tc>
          <w:tcPr>
            <w:tcW w:w="87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Control by Majority.</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75</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7.07.</w:t>
            </w:r>
          </w:p>
        </w:tc>
        <w:tc>
          <w:tcPr>
            <w:tcW w:w="87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Limitation on Suits.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76</w:t>
            </w:r>
          </w:p>
        </w:tc>
      </w:tr>
      <w:tr>
        <w:trPr/>
        <w:tc>
          <w:tcPr>
            <w:tcW w:w="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7.08.</w:t>
            </w:r>
          </w:p>
        </w:tc>
        <w:tc>
          <w:tcPr>
            <w:tcW w:w="87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Absolute Right of Holders to Institute Suit for the Enforcement of the Right to Receive Payment and Conversion Consideration.</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76</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7.09.</w:t>
            </w:r>
          </w:p>
        </w:tc>
        <w:tc>
          <w:tcPr>
            <w:tcW w:w="87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Collection Suit by Trustee.</w:t>
            </w:r>
          </w:p>
        </w:tc>
        <w:tc>
          <w:tcPr>
            <w:tcW w:w="276" w:type="dxa"/>
            <w:tcBorders/>
            <w:vAlign w:val="center"/>
          </w:tcPr>
          <w:p>
            <w:pPr>
              <w:pStyle w:val="TableContents"/>
              <w:bidi w:val="0"/>
              <w:spacing w:before="0" w:after="283"/>
              <w:jc w:val="right"/>
              <w:rPr>
                <w:rFonts w:ascii="Times New Roman" w:hAnsi="Times New Roman"/>
                <w:sz w:val="24"/>
              </w:rPr>
            </w:pPr>
            <w:r>
              <w:rPr>
                <w:rFonts w:ascii="Times New Roman" w:hAnsi="Times New Roman"/>
                <w:sz w:val="24"/>
              </w:rPr>
              <w:t>77</w:t>
            </w:r>
          </w:p>
        </w:tc>
      </w:tr>
      <w:tr>
        <w:trPr/>
        <w:tc>
          <w:tcPr>
            <w:tcW w:w="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7.10.</w:t>
            </w:r>
          </w:p>
        </w:tc>
        <w:tc>
          <w:tcPr>
            <w:tcW w:w="87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Trustee May File Proofs of Claim.</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77</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7.11.</w:t>
            </w:r>
          </w:p>
        </w:tc>
        <w:tc>
          <w:tcPr>
            <w:tcW w:w="87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Priorities.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77</w:t>
            </w:r>
          </w:p>
        </w:tc>
      </w:tr>
      <w:tr>
        <w:trPr/>
        <w:tc>
          <w:tcPr>
            <w:tcW w:w="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7.12.</w:t>
            </w:r>
          </w:p>
        </w:tc>
        <w:tc>
          <w:tcPr>
            <w:tcW w:w="87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Undertaking for Costs.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78</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8793"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89" w:name="z4aec723f691b4de7b7c2791d5397ebdd"/>
      <w:bookmarkStart w:id="190" w:name="z4aec723f691b4de7b7c2791d5397ebdd"/>
      <w:bookmarkEnd w:id="190"/>
    </w:p>
    <w:tbl>
      <w:tblPr>
        <w:tblW w:w="5055" w:type="dxa"/>
        <w:jc w:val="left"/>
        <w:tblInd w:w="0" w:type="dxa"/>
        <w:tblLayout w:type="fixed"/>
        <w:tblCellMar>
          <w:top w:w="0" w:type="dxa"/>
          <w:left w:w="0" w:type="dxa"/>
          <w:bottom w:w="0" w:type="dxa"/>
          <w:right w:w="0" w:type="dxa"/>
        </w:tblCellMar>
      </w:tblPr>
      <w:tblGrid>
        <w:gridCol w:w="920"/>
        <w:gridCol w:w="3860"/>
        <w:gridCol w:w="275"/>
      </w:tblGrid>
      <w:tr>
        <w:trPr/>
        <w:tc>
          <w:tcPr>
            <w:tcW w:w="92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Article 8.</w:t>
            </w:r>
          </w:p>
        </w:tc>
        <w:tc>
          <w:tcPr>
            <w:tcW w:w="3860"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Amendments, Supplements and Waivers</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78</w:t>
            </w:r>
          </w:p>
        </w:tc>
      </w:tr>
      <w:tr>
        <w:trPr/>
        <w:tc>
          <w:tcPr>
            <w:tcW w:w="92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91" w:name="za1e9cd67fd4d417aa890fd1ded95e730"/>
      <w:bookmarkStart w:id="192" w:name="za1e9cd67fd4d417aa890fd1ded95e730"/>
      <w:bookmarkEnd w:id="192"/>
    </w:p>
    <w:tbl>
      <w:tblPr>
        <w:tblW w:w="9495" w:type="dxa"/>
        <w:jc w:val="left"/>
        <w:tblInd w:w="0" w:type="dxa"/>
        <w:tblLayout w:type="fixed"/>
        <w:tblCellMar>
          <w:top w:w="0" w:type="dxa"/>
          <w:left w:w="0" w:type="dxa"/>
          <w:bottom w:w="0" w:type="dxa"/>
          <w:right w:w="0" w:type="dxa"/>
        </w:tblCellMar>
      </w:tblPr>
      <w:tblGrid>
        <w:gridCol w:w="75"/>
        <w:gridCol w:w="1265"/>
        <w:gridCol w:w="7880"/>
        <w:gridCol w:w="275"/>
      </w:tblGrid>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8.01.</w:t>
            </w:r>
          </w:p>
        </w:tc>
        <w:tc>
          <w:tcPr>
            <w:tcW w:w="7880"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Without the Consent of Holders.</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78</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8.02.</w:t>
            </w:r>
          </w:p>
        </w:tc>
        <w:tc>
          <w:tcPr>
            <w:tcW w:w="7880"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With the Consent of Holders.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79</w:t>
            </w:r>
          </w:p>
        </w:tc>
      </w:tr>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8.03.</w:t>
            </w:r>
          </w:p>
        </w:tc>
        <w:tc>
          <w:tcPr>
            <w:tcW w:w="7880"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Notice of Amendments, Supplements and Waivers.</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80</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8.04.</w:t>
            </w:r>
          </w:p>
        </w:tc>
        <w:tc>
          <w:tcPr>
            <w:tcW w:w="7880"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Revocation, Effect and Solicitation of Consents; Special Record Dates; Etc.</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80</w:t>
            </w:r>
          </w:p>
        </w:tc>
      </w:tr>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8.05.</w:t>
            </w:r>
          </w:p>
        </w:tc>
        <w:tc>
          <w:tcPr>
            <w:tcW w:w="7880"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Notations and Exchanges.</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81</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8.06.</w:t>
            </w:r>
          </w:p>
        </w:tc>
        <w:tc>
          <w:tcPr>
            <w:tcW w:w="7880"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Trustee to Execute Supplemental Indentures.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81</w:t>
            </w:r>
          </w:p>
        </w:tc>
      </w:tr>
    </w:tbl>
    <w:p>
      <w:pPr>
        <w:pStyle w:val="Normal"/>
        <w:bidi w:val="0"/>
        <w:spacing w:before="0" w:after="0"/>
        <w:jc w:val="left"/>
        <w:rPr>
          <w:sz w:val="4"/>
          <w:szCs w:val="4"/>
        </w:rPr>
      </w:pPr>
      <w:r>
        <w:rPr>
          <w:sz w:val="4"/>
          <w:szCs w:val="4"/>
        </w:rPr>
      </w:r>
      <w:bookmarkStart w:id="193" w:name="z86c365a1bc964372a39d254b8537eb11"/>
      <w:bookmarkStart w:id="194" w:name="z86c365a1bc964372a39d254b8537eb11"/>
      <w:bookmarkEnd w:id="194"/>
    </w:p>
    <w:tbl>
      <w:tblPr>
        <w:tblW w:w="3735" w:type="dxa"/>
        <w:jc w:val="left"/>
        <w:tblInd w:w="0" w:type="dxa"/>
        <w:tblLayout w:type="fixed"/>
        <w:tblCellMar>
          <w:top w:w="0" w:type="dxa"/>
          <w:left w:w="0" w:type="dxa"/>
          <w:bottom w:w="0" w:type="dxa"/>
          <w:right w:w="0" w:type="dxa"/>
        </w:tblCellMar>
      </w:tblPr>
      <w:tblGrid>
        <w:gridCol w:w="920"/>
        <w:gridCol w:w="2540"/>
        <w:gridCol w:w="275"/>
      </w:tblGrid>
      <w:tr>
        <w:trPr/>
        <w:tc>
          <w:tcPr>
            <w:tcW w:w="92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9.</w:t>
            </w:r>
          </w:p>
        </w:tc>
        <w:tc>
          <w:tcPr>
            <w:tcW w:w="254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Satisfaction and Discharge</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81</w:t>
            </w:r>
          </w:p>
        </w:tc>
      </w:tr>
      <w:tr>
        <w:trPr/>
        <w:tc>
          <w:tcPr>
            <w:tcW w:w="92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95" w:name="zf9deca84c8fd4e33b917b3bd5da90139"/>
      <w:bookmarkStart w:id="196" w:name="zf9deca84c8fd4e33b917b3bd5da90139"/>
      <w:bookmarkEnd w:id="196"/>
    </w:p>
    <w:tbl>
      <w:tblPr>
        <w:tblW w:w="6135" w:type="dxa"/>
        <w:jc w:val="left"/>
        <w:tblInd w:w="0" w:type="dxa"/>
        <w:tblLayout w:type="fixed"/>
        <w:tblCellMar>
          <w:top w:w="0" w:type="dxa"/>
          <w:left w:w="0" w:type="dxa"/>
          <w:bottom w:w="0" w:type="dxa"/>
          <w:right w:w="0" w:type="dxa"/>
        </w:tblCellMar>
      </w:tblPr>
      <w:tblGrid>
        <w:gridCol w:w="75"/>
        <w:gridCol w:w="1265"/>
        <w:gridCol w:w="4520"/>
        <w:gridCol w:w="275"/>
      </w:tblGrid>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9.01.</w:t>
            </w:r>
          </w:p>
        </w:tc>
        <w:tc>
          <w:tcPr>
            <w:tcW w:w="4520"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Termination of Company’s Obligations.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81</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ii -</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197" w:name="zddc12fa4d50c47c29fbb8ea1eec2d476"/>
      <w:bookmarkStart w:id="198" w:name="zddc12fa4d50c47c29fbb8ea1eec2d476"/>
      <w:bookmarkEnd w:id="198"/>
    </w:p>
    <w:tbl>
      <w:tblPr>
        <w:tblW w:w="4725" w:type="dxa"/>
        <w:jc w:val="left"/>
        <w:tblInd w:w="0" w:type="dxa"/>
        <w:tblLayout w:type="fixed"/>
        <w:tblCellMar>
          <w:top w:w="0" w:type="dxa"/>
          <w:left w:w="0" w:type="dxa"/>
          <w:bottom w:w="0" w:type="dxa"/>
          <w:right w:w="0" w:type="dxa"/>
        </w:tblCellMar>
      </w:tblPr>
      <w:tblGrid>
        <w:gridCol w:w="75"/>
        <w:gridCol w:w="1265"/>
        <w:gridCol w:w="3110"/>
        <w:gridCol w:w="275"/>
      </w:tblGrid>
      <w:tr>
        <w:trPr/>
        <w:tc>
          <w:tcPr>
            <w:tcW w:w="7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9.02.</w:t>
            </w:r>
          </w:p>
        </w:tc>
        <w:tc>
          <w:tcPr>
            <w:tcW w:w="3110"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Repayment to Company.</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82</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9.03.</w:t>
            </w:r>
          </w:p>
        </w:tc>
        <w:tc>
          <w:tcPr>
            <w:tcW w:w="3110"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Reinstatement.</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82</w:t>
            </w:r>
          </w:p>
        </w:tc>
      </w:tr>
    </w:tbl>
    <w:p>
      <w:pPr>
        <w:pStyle w:val="Normal"/>
        <w:bidi w:val="0"/>
        <w:spacing w:before="0" w:after="0"/>
        <w:jc w:val="left"/>
        <w:rPr>
          <w:sz w:val="4"/>
          <w:szCs w:val="4"/>
        </w:rPr>
      </w:pPr>
      <w:r>
        <w:rPr>
          <w:sz w:val="4"/>
          <w:szCs w:val="4"/>
        </w:rPr>
      </w:r>
      <w:bookmarkStart w:id="199" w:name="z0bce9b1e7a9f4def9fd4b1b5246c9f5f"/>
      <w:bookmarkStart w:id="200" w:name="z0bce9b1e7a9f4def9fd4b1b5246c9f5f"/>
      <w:bookmarkEnd w:id="200"/>
    </w:p>
    <w:tbl>
      <w:tblPr>
        <w:tblW w:w="2010" w:type="dxa"/>
        <w:jc w:val="left"/>
        <w:tblInd w:w="0" w:type="dxa"/>
        <w:tblLayout w:type="fixed"/>
        <w:tblCellMar>
          <w:top w:w="0" w:type="dxa"/>
          <w:left w:w="0" w:type="dxa"/>
          <w:bottom w:w="0" w:type="dxa"/>
          <w:right w:w="0" w:type="dxa"/>
        </w:tblCellMar>
      </w:tblPr>
      <w:tblGrid>
        <w:gridCol w:w="1025"/>
        <w:gridCol w:w="725"/>
        <w:gridCol w:w="260"/>
      </w:tblGrid>
      <w:tr>
        <w:trPr/>
        <w:tc>
          <w:tcPr>
            <w:tcW w:w="102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10.</w:t>
            </w:r>
          </w:p>
        </w:tc>
        <w:tc>
          <w:tcPr>
            <w:tcW w:w="72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Trustee</w:t>
            </w:r>
          </w:p>
        </w:tc>
        <w:tc>
          <w:tcPr>
            <w:tcW w:w="26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83</w:t>
            </w:r>
          </w:p>
        </w:tc>
      </w:tr>
      <w:tr>
        <w:trPr/>
        <w:tc>
          <w:tcPr>
            <w:tcW w:w="102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201" w:name="z56c0badccf9f457ca0b792e17915febc"/>
      <w:bookmarkStart w:id="202" w:name="z56c0badccf9f457ca0b792e17915febc"/>
      <w:bookmarkEnd w:id="202"/>
    </w:p>
    <w:tbl>
      <w:tblPr>
        <w:tblW w:w="5730" w:type="dxa"/>
        <w:jc w:val="left"/>
        <w:tblInd w:w="0" w:type="dxa"/>
        <w:tblLayout w:type="fixed"/>
        <w:tblCellMar>
          <w:top w:w="0" w:type="dxa"/>
          <w:left w:w="0" w:type="dxa"/>
          <w:bottom w:w="0" w:type="dxa"/>
          <w:right w:w="0" w:type="dxa"/>
        </w:tblCellMar>
      </w:tblPr>
      <w:tblGrid>
        <w:gridCol w:w="75"/>
        <w:gridCol w:w="1385"/>
        <w:gridCol w:w="3995"/>
        <w:gridCol w:w="275"/>
      </w:tblGrid>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10.01.</w:t>
            </w:r>
          </w:p>
        </w:tc>
        <w:tc>
          <w:tcPr>
            <w:tcW w:w="399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Duties of the Trustee.</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83</w:t>
            </w:r>
          </w:p>
        </w:tc>
      </w:tr>
      <w:tr>
        <w:trPr/>
        <w:tc>
          <w:tcPr>
            <w:tcW w:w="7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10.02.</w:t>
            </w:r>
          </w:p>
        </w:tc>
        <w:tc>
          <w:tcPr>
            <w:tcW w:w="399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Rights of the Trustee.</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84</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10.03.</w:t>
            </w:r>
          </w:p>
        </w:tc>
        <w:tc>
          <w:tcPr>
            <w:tcW w:w="399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Individual Rights of the Trustee.</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85</w:t>
            </w:r>
          </w:p>
        </w:tc>
      </w:tr>
      <w:tr>
        <w:trPr/>
        <w:tc>
          <w:tcPr>
            <w:tcW w:w="7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10.04.</w:t>
            </w:r>
          </w:p>
        </w:tc>
        <w:tc>
          <w:tcPr>
            <w:tcW w:w="399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Trustee’s Disclaimer.</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85</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10.05.</w:t>
            </w:r>
          </w:p>
        </w:tc>
        <w:tc>
          <w:tcPr>
            <w:tcW w:w="399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Notice of Defaults.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85</w:t>
            </w:r>
          </w:p>
        </w:tc>
      </w:tr>
      <w:tr>
        <w:trPr/>
        <w:tc>
          <w:tcPr>
            <w:tcW w:w="7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10.06.</w:t>
            </w:r>
          </w:p>
        </w:tc>
        <w:tc>
          <w:tcPr>
            <w:tcW w:w="399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Compensation and Indemnity.</w:t>
            </w:r>
          </w:p>
        </w:tc>
        <w:tc>
          <w:tcPr>
            <w:tcW w:w="275" w:type="dxa"/>
            <w:tcBorders/>
            <w:shd w:fill="CCEEFF" w:val="clear"/>
            <w:vAlign w:val="center"/>
          </w:tcPr>
          <w:p>
            <w:pPr>
              <w:pStyle w:val="TableContents"/>
              <w:bidi w:val="0"/>
              <w:spacing w:before="0" w:after="283"/>
              <w:jc w:val="right"/>
              <w:rPr>
                <w:rFonts w:ascii="Times New Roman" w:hAnsi="Times New Roman"/>
                <w:sz w:val="24"/>
              </w:rPr>
            </w:pPr>
            <w:r>
              <w:rPr>
                <w:rFonts w:ascii="Times New Roman" w:hAnsi="Times New Roman"/>
                <w:sz w:val="24"/>
              </w:rPr>
              <w:t>86</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10.07.</w:t>
            </w:r>
          </w:p>
        </w:tc>
        <w:tc>
          <w:tcPr>
            <w:tcW w:w="399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Replacement of the Trustee.</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86</w:t>
            </w:r>
          </w:p>
        </w:tc>
      </w:tr>
      <w:tr>
        <w:trPr/>
        <w:tc>
          <w:tcPr>
            <w:tcW w:w="7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10.08.</w:t>
            </w:r>
          </w:p>
        </w:tc>
        <w:tc>
          <w:tcPr>
            <w:tcW w:w="3995"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Successor Trustee by Merger, Etc.</w:t>
            </w:r>
          </w:p>
        </w:tc>
        <w:tc>
          <w:tcPr>
            <w:tcW w:w="275"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87</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10.09.</w:t>
            </w:r>
          </w:p>
        </w:tc>
        <w:tc>
          <w:tcPr>
            <w:tcW w:w="3995"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Eligibility; Disqualification.</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88</w:t>
            </w:r>
          </w:p>
        </w:tc>
      </w:tr>
    </w:tbl>
    <w:p>
      <w:pPr>
        <w:pStyle w:val="Normal"/>
        <w:bidi w:val="0"/>
        <w:spacing w:before="0" w:after="0"/>
        <w:jc w:val="left"/>
        <w:rPr>
          <w:sz w:val="4"/>
          <w:szCs w:val="4"/>
        </w:rPr>
      </w:pPr>
      <w:r>
        <w:rPr>
          <w:sz w:val="4"/>
          <w:szCs w:val="4"/>
        </w:rPr>
      </w:r>
      <w:bookmarkStart w:id="203" w:name="z2628d0a89336404797ec988ba248124f"/>
      <w:bookmarkStart w:id="204" w:name="z2628d0a89336404797ec988ba248124f"/>
      <w:bookmarkEnd w:id="204"/>
    </w:p>
    <w:tbl>
      <w:tblPr>
        <w:tblW w:w="2685" w:type="dxa"/>
        <w:jc w:val="left"/>
        <w:tblInd w:w="0" w:type="dxa"/>
        <w:tblLayout w:type="fixed"/>
        <w:tblCellMar>
          <w:top w:w="0" w:type="dxa"/>
          <w:left w:w="0" w:type="dxa"/>
          <w:bottom w:w="0" w:type="dxa"/>
          <w:right w:w="0" w:type="dxa"/>
        </w:tblCellMar>
      </w:tblPr>
      <w:tblGrid>
        <w:gridCol w:w="1040"/>
        <w:gridCol w:w="1370"/>
        <w:gridCol w:w="275"/>
      </w:tblGrid>
      <w:tr>
        <w:trPr/>
        <w:tc>
          <w:tcPr>
            <w:tcW w:w="10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Article 11.</w:t>
            </w:r>
          </w:p>
        </w:tc>
        <w:tc>
          <w:tcPr>
            <w:tcW w:w="1370"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Miscellaneous</w:t>
            </w:r>
          </w:p>
        </w:tc>
        <w:tc>
          <w:tcPr>
            <w:tcW w:w="275"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88</w:t>
            </w:r>
          </w:p>
        </w:tc>
      </w:tr>
      <w:tr>
        <w:trPr/>
        <w:tc>
          <w:tcPr>
            <w:tcW w:w="10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205" w:name="za4ca752259d0468c967e71618ee33ed3"/>
      <w:bookmarkStart w:id="206" w:name="za4ca752259d0468c967e71618ee33ed3"/>
      <w:bookmarkEnd w:id="206"/>
    </w:p>
    <w:tbl>
      <w:tblPr>
        <w:tblW w:w="10205" w:type="dxa"/>
        <w:jc w:val="left"/>
        <w:tblInd w:w="0" w:type="dxa"/>
        <w:tblLayout w:type="fixed"/>
        <w:tblCellMar>
          <w:top w:w="0" w:type="dxa"/>
          <w:left w:w="0" w:type="dxa"/>
          <w:bottom w:w="0" w:type="dxa"/>
          <w:right w:w="0" w:type="dxa"/>
        </w:tblCellMar>
      </w:tblPr>
      <w:tblGrid>
        <w:gridCol w:w="75"/>
        <w:gridCol w:w="1361"/>
        <w:gridCol w:w="8493"/>
        <w:gridCol w:w="276"/>
      </w:tblGrid>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11.01.</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Notices.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88</w:t>
            </w:r>
          </w:p>
        </w:tc>
      </w:tr>
      <w:tr>
        <w:trPr/>
        <w:tc>
          <w:tcPr>
            <w:tcW w:w="75"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11.02.</w:t>
            </w:r>
          </w:p>
        </w:tc>
        <w:tc>
          <w:tcPr>
            <w:tcW w:w="84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Delivery of Officer’s Certificate and Opinion of Counsel as to Conditions Precedent.</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90</w:t>
            </w:r>
          </w:p>
        </w:tc>
      </w:tr>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11.03.</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Statements Required in Officer’s Certificate and Opinion of Counsel.</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90</w:t>
            </w:r>
          </w:p>
        </w:tc>
      </w:tr>
      <w:tr>
        <w:trPr/>
        <w:tc>
          <w:tcPr>
            <w:tcW w:w="75"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11.04.</w:t>
            </w:r>
          </w:p>
        </w:tc>
        <w:tc>
          <w:tcPr>
            <w:tcW w:w="84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Rules by the Trustee, the Registrar, the Paying Agent and the Conversion Agent.</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90</w:t>
            </w:r>
          </w:p>
        </w:tc>
      </w:tr>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11.05.</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No Personal Liability of Directors, Officers, Employees and Shareholders.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90</w:t>
            </w:r>
          </w:p>
        </w:tc>
      </w:tr>
      <w:tr>
        <w:trPr/>
        <w:tc>
          <w:tcPr>
            <w:tcW w:w="75"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11.06.</w:t>
            </w:r>
          </w:p>
        </w:tc>
        <w:tc>
          <w:tcPr>
            <w:tcW w:w="84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Governing Law; Waiver of Jury Trial.</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11.07.</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Submission to Jurisdiction.</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75"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11.08.</w:t>
            </w:r>
          </w:p>
        </w:tc>
        <w:tc>
          <w:tcPr>
            <w:tcW w:w="84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No Adverse Interpretation of Other Agreements.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11.09.</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Successors.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75"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11.10.</w:t>
            </w:r>
          </w:p>
        </w:tc>
        <w:tc>
          <w:tcPr>
            <w:tcW w:w="84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Force Majeure.</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91</w:t>
            </w:r>
          </w:p>
        </w:tc>
      </w:tr>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11.11.</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U.S.A. PATRIOT Act.</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92</w:t>
            </w:r>
          </w:p>
        </w:tc>
      </w:tr>
      <w:tr>
        <w:trPr/>
        <w:tc>
          <w:tcPr>
            <w:tcW w:w="75"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11.12.</w:t>
            </w:r>
          </w:p>
        </w:tc>
        <w:tc>
          <w:tcPr>
            <w:tcW w:w="84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Calculations.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92</w:t>
            </w:r>
          </w:p>
        </w:tc>
      </w:tr>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11.13.</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Severability.</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92</w:t>
            </w:r>
          </w:p>
        </w:tc>
      </w:tr>
      <w:tr>
        <w:trPr/>
        <w:tc>
          <w:tcPr>
            <w:tcW w:w="75"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11.14.</w:t>
            </w:r>
          </w:p>
        </w:tc>
        <w:tc>
          <w:tcPr>
            <w:tcW w:w="84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Counterparts; Electronic Signatures.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92</w:t>
            </w:r>
          </w:p>
        </w:tc>
      </w:tr>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11.15.</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Table of Contents, Headings, Etc.</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93</w:t>
            </w:r>
          </w:p>
        </w:tc>
      </w:tr>
      <w:tr>
        <w:trPr/>
        <w:tc>
          <w:tcPr>
            <w:tcW w:w="75"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0"/>
              <w:jc w:val="left"/>
              <w:rPr>
                <w:rFonts w:ascii="Times New Roman" w:hAnsi="Times New Roman"/>
                <w:sz w:val="24"/>
              </w:rPr>
            </w:pPr>
            <w:r>
              <w:rPr>
                <w:rFonts w:ascii="Times New Roman" w:hAnsi="Times New Roman"/>
                <w:sz w:val="24"/>
              </w:rPr>
              <w:t>Section 11.16.</w:t>
            </w:r>
          </w:p>
        </w:tc>
        <w:tc>
          <w:tcPr>
            <w:tcW w:w="8493" w:type="dxa"/>
            <w:tcBorders/>
            <w:shd w:fill="CCEEFF" w:val="clear"/>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Withholding Taxes.</w:t>
            </w:r>
          </w:p>
        </w:tc>
        <w:tc>
          <w:tcPr>
            <w:tcW w:w="276"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93</w:t>
            </w:r>
          </w:p>
        </w:tc>
      </w:tr>
      <w:tr>
        <w:trPr/>
        <w:tc>
          <w:tcPr>
            <w:tcW w:w="75"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Section 11.17.</w:t>
            </w:r>
          </w:p>
        </w:tc>
        <w:tc>
          <w:tcPr>
            <w:tcW w:w="8493" w:type="dxa"/>
            <w:tcBorders/>
            <w:vAlign w:val="center"/>
          </w:tcPr>
          <w:p>
            <w:pPr>
              <w:pStyle w:val="TableContents"/>
              <w:bidi w:val="0"/>
              <w:spacing w:before="0" w:after="0"/>
              <w:ind w:left="0" w:right="720" w:hanging="0"/>
              <w:jc w:val="left"/>
              <w:rPr>
                <w:rFonts w:ascii="Times New Roman" w:hAnsi="Times New Roman"/>
                <w:sz w:val="24"/>
              </w:rPr>
            </w:pPr>
            <w:r>
              <w:rPr>
                <w:rFonts w:ascii="Times New Roman" w:hAnsi="Times New Roman"/>
                <w:sz w:val="24"/>
              </w:rPr>
              <w:t>Service of Process.</w:t>
            </w:r>
          </w:p>
        </w:tc>
        <w:tc>
          <w:tcPr>
            <w:tcW w:w="276"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93</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07" w:name="ze9ce36a0cc3f4603945215db818258b4"/>
      <w:bookmarkStart w:id="208" w:name="ze9ce36a0cc3f4603945215db818258b4"/>
      <w:bookmarkEnd w:id="208"/>
    </w:p>
    <w:tbl>
      <w:tblPr>
        <w:tblW w:w="4825" w:type="dxa"/>
        <w:jc w:val="left"/>
        <w:tblInd w:w="0" w:type="dxa"/>
        <w:tblLayout w:type="fixed"/>
        <w:tblCellMar>
          <w:top w:w="0" w:type="dxa"/>
          <w:left w:w="0" w:type="dxa"/>
          <w:bottom w:w="0" w:type="dxa"/>
          <w:right w:w="0" w:type="dxa"/>
        </w:tblCellMar>
      </w:tblPr>
      <w:tblGrid>
        <w:gridCol w:w="4325"/>
        <w:gridCol w:w="500"/>
      </w:tblGrid>
      <w:tr>
        <w:trPr/>
        <w:tc>
          <w:tcPr>
            <w:tcW w:w="4325" w:type="dxa"/>
            <w:tcBorders/>
            <w:vAlign w:val="center"/>
          </w:tcPr>
          <w:p>
            <w:pPr>
              <w:pStyle w:val="TableContents"/>
              <w:bidi w:val="0"/>
              <w:spacing w:before="0" w:after="0"/>
              <w:jc w:val="both"/>
              <w:rPr>
                <w:rFonts w:ascii="Times New Roman" w:hAnsi="Times New Roman"/>
                <w:sz w:val="24"/>
                <w:u w:val="single"/>
              </w:rPr>
            </w:pPr>
            <w:r>
              <w:rPr>
                <w:rFonts w:ascii="Times New Roman" w:hAnsi="Times New Roman"/>
                <w:sz w:val="24"/>
                <w:u w:val="single"/>
              </w:rPr>
              <w:t>Exhibits</w:t>
            </w:r>
          </w:p>
        </w:tc>
        <w:tc>
          <w:tcPr>
            <w:tcW w:w="50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both"/>
              <w:rPr>
                <w:rFonts w:ascii="Times New Roman" w:hAnsi="Times New Roman"/>
                <w:sz w:val="24"/>
              </w:rPr>
            </w:pPr>
            <w:r>
              <w:rPr>
                <w:rFonts w:ascii="Times New Roman" w:hAnsi="Times New Roman"/>
                <w:sz w:val="24"/>
              </w:rPr>
              <w:t>Exhibit A: Form of Note</w:t>
            </w:r>
          </w:p>
        </w:tc>
        <w:tc>
          <w:tcPr>
            <w:tcW w:w="50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A-1</w:t>
            </w:r>
          </w:p>
        </w:tc>
      </w:tr>
      <w:tr>
        <w:trPr/>
        <w:tc>
          <w:tcPr>
            <w:tcW w:w="432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Exhibit B-1: Form of Restricted Note Legend</w:t>
            </w:r>
          </w:p>
        </w:tc>
        <w:tc>
          <w:tcPr>
            <w:tcW w:w="50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B1-1</w:t>
            </w:r>
          </w:p>
        </w:tc>
      </w:tr>
      <w:tr>
        <w:trPr/>
        <w:tc>
          <w:tcPr>
            <w:tcW w:w="4325" w:type="dxa"/>
            <w:tcBorders/>
            <w:shd w:fill="CCEEFF" w:val="clear"/>
            <w:vAlign w:val="center"/>
          </w:tcPr>
          <w:p>
            <w:pPr>
              <w:pStyle w:val="TableContents"/>
              <w:bidi w:val="0"/>
              <w:spacing w:before="0" w:after="0"/>
              <w:jc w:val="both"/>
              <w:rPr>
                <w:rFonts w:ascii="Times New Roman" w:hAnsi="Times New Roman"/>
                <w:sz w:val="24"/>
              </w:rPr>
            </w:pPr>
            <w:r>
              <w:rPr>
                <w:rFonts w:ascii="Times New Roman" w:hAnsi="Times New Roman"/>
                <w:sz w:val="24"/>
              </w:rPr>
              <w:t>Exhibit B-2: Form of Global Note Legend</w:t>
            </w:r>
          </w:p>
        </w:tc>
        <w:tc>
          <w:tcPr>
            <w:tcW w:w="500" w:type="dxa"/>
            <w:tcBorders/>
            <w:shd w:fill="CCEEFF" w:val="clear"/>
            <w:vAlign w:val="center"/>
          </w:tcPr>
          <w:p>
            <w:pPr>
              <w:pStyle w:val="TableContents"/>
              <w:bidi w:val="0"/>
              <w:spacing w:before="0" w:after="0"/>
              <w:jc w:val="right"/>
              <w:rPr>
                <w:rFonts w:ascii="Times New Roman" w:hAnsi="Times New Roman"/>
                <w:sz w:val="24"/>
              </w:rPr>
            </w:pPr>
            <w:r>
              <w:rPr>
                <w:rFonts w:ascii="Times New Roman" w:hAnsi="Times New Roman"/>
                <w:sz w:val="24"/>
              </w:rPr>
              <w:t>B2-1</w:t>
            </w:r>
          </w:p>
        </w:tc>
      </w:tr>
      <w:tr>
        <w:trPr/>
        <w:tc>
          <w:tcPr>
            <w:tcW w:w="432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Exhibit B-3: Form of Non-Affiliate Legend</w:t>
            </w:r>
          </w:p>
        </w:tc>
        <w:tc>
          <w:tcPr>
            <w:tcW w:w="500" w:type="dxa"/>
            <w:tcBorders/>
            <w:vAlign w:val="center"/>
          </w:tcPr>
          <w:p>
            <w:pPr>
              <w:pStyle w:val="TableContents"/>
              <w:bidi w:val="0"/>
              <w:spacing w:before="0" w:after="0"/>
              <w:jc w:val="right"/>
              <w:rPr>
                <w:rFonts w:ascii="Times New Roman" w:hAnsi="Times New Roman"/>
                <w:sz w:val="24"/>
              </w:rPr>
            </w:pPr>
            <w:r>
              <w:rPr>
                <w:rFonts w:ascii="Times New Roman" w:hAnsi="Times New Roman"/>
                <w:sz w:val="24"/>
              </w:rPr>
              <w:t>B3-1</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iii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serif" w:hAnsi="Times New Roman;serif"/>
          <w:color w:val="000000"/>
          <w:sz w:val="24"/>
        </w:rPr>
      </w:pPr>
      <w:r>
        <w:rPr>
          <w:rFonts w:ascii="Times New Roman" w:hAnsi="Times New Roman"/>
          <w:b/>
          <w:color w:val="000000"/>
          <w:sz w:val="24"/>
        </w:rPr>
        <w:t>INDENTURE</w:t>
      </w:r>
      <w:r>
        <w:rPr>
          <w:rFonts w:ascii="Times New Roman" w:hAnsi="Times New Roman"/>
          <w:color w:val="000000"/>
          <w:sz w:val="24"/>
        </w:rPr>
        <w:t>, dated as of December 8, 2025, between IREN Limited (ACN 629 842 799), an Australian company, as issuer (the “</w:t>
      </w:r>
      <w:r>
        <w:rPr>
          <w:rFonts w:ascii="Times New Roman" w:hAnsi="Times New Roman"/>
          <w:b/>
          <w:color w:val="000000"/>
          <w:sz w:val="24"/>
        </w:rPr>
        <w:t>Company</w:t>
      </w:r>
      <w:r>
        <w:rPr>
          <w:rFonts w:ascii="Times New Roman" w:hAnsi="Times New Roman"/>
          <w:color w:val="000000"/>
          <w:sz w:val="24"/>
        </w:rPr>
        <w:t>”), and U.S. Bank Trust Company, National Association, as trustee (the “</w:t>
      </w:r>
      <w:r>
        <w:rPr>
          <w:rFonts w:ascii="Times New Roman" w:hAnsi="Times New Roman"/>
          <w:b/>
          <w:color w:val="000000"/>
          <w:sz w:val="24"/>
        </w:rPr>
        <w:t>Trustee</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party to this Indenture (as defined below) agrees as follows for the benefit of the other party and for the equal and ratable benefit of the Holders (as defined below) of the Company’s 1.00% Convertible Senior Notes due 2033 (the “</w:t>
      </w:r>
      <w:r>
        <w:rPr>
          <w:rFonts w:ascii="Times New Roman" w:hAnsi="Times New Roman"/>
          <w:b/>
          <w:color w:val="000000"/>
          <w:sz w:val="24"/>
        </w:rPr>
        <w:t>Notes</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1.  DEFINITIONS; RULES OF CONSTRUCTION</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1.01.  Definitions.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Additional Interest</w:t>
      </w:r>
      <w:r>
        <w:rPr>
          <w:rFonts w:ascii="Times New Roman" w:hAnsi="Times New Roman"/>
          <w:color w:val="000000"/>
          <w:sz w:val="24"/>
        </w:rPr>
        <w:t xml:space="preserve">” means any interest that accrues on any Note pursuant to </w:t>
      </w:r>
      <w:r>
        <w:rPr>
          <w:rFonts w:ascii="Times New Roman" w:hAnsi="Times New Roman"/>
          <w:b/>
          <w:color w:val="000000"/>
          <w:sz w:val="24"/>
        </w:rPr>
        <w:t>Section 3.04</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Affiliate</w:t>
      </w:r>
      <w:r>
        <w:rPr>
          <w:rFonts w:ascii="Times New Roman" w:hAnsi="Times New Roman"/>
          <w:color w:val="000000"/>
          <w:sz w:val="24"/>
        </w:rPr>
        <w:t>” has the meaning set forth in Rule 144 as in effect on the Issue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Authorized Denomination</w:t>
      </w:r>
      <w:r>
        <w:rPr>
          <w:rFonts w:ascii="Times New Roman" w:hAnsi="Times New Roman"/>
          <w:color w:val="000000"/>
          <w:sz w:val="24"/>
        </w:rPr>
        <w:t>” means, with respect to a Note, a principal amount thereof equal to $1,000 or any integral multiple of $1,000 in excess thereof.</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Bankruptcy Law</w:t>
      </w:r>
      <w:r>
        <w:rPr>
          <w:rFonts w:ascii="Times New Roman" w:hAnsi="Times New Roman"/>
          <w:color w:val="000000"/>
          <w:sz w:val="24"/>
        </w:rPr>
        <w:t>” means Title 11, United States Code, or any similar U.S. federal or state or non-U.S. law for the relief of debtors.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Bid Solicitation Agent</w:t>
      </w:r>
      <w:r>
        <w:rPr>
          <w:rFonts w:ascii="Times New Roman" w:hAnsi="Times New Roman"/>
          <w:color w:val="000000"/>
          <w:sz w:val="24"/>
        </w:rPr>
        <w:t xml:space="preserve">” means the Person who is required to obtain bids for the Trading Price in accordance with </w:t>
      </w:r>
      <w:r>
        <w:rPr>
          <w:rFonts w:ascii="Times New Roman" w:hAnsi="Times New Roman"/>
          <w:b/>
          <w:color w:val="000000"/>
          <w:sz w:val="24"/>
        </w:rPr>
        <w:t>Section 5.01(C)(i)(2)</w:t>
      </w:r>
      <w:r>
        <w:rPr>
          <w:rFonts w:ascii="Times New Roman" w:hAnsi="Times New Roman"/>
          <w:color w:val="000000"/>
          <w:sz w:val="24"/>
        </w:rPr>
        <w:t xml:space="preserve"> and the definition of “Trading Price.” The initial Bid Solicitation Agent on the Issue Date will be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Company may appoint any other Person (including any of the Company’s Subsidiaries) to be the Bid Solicitation Agent at any time after the Issue Date without prior notice.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Board of Directors</w:t>
      </w:r>
      <w:r>
        <w:rPr>
          <w:rFonts w:ascii="Times New Roman" w:hAnsi="Times New Roman"/>
          <w:color w:val="000000"/>
          <w:sz w:val="24"/>
        </w:rPr>
        <w:t>” means the board of directors of the Company or a committee of such board duly authorized to act on behalf of such board.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Business Day</w:t>
      </w:r>
      <w:r>
        <w:rPr>
          <w:rFonts w:ascii="Times New Roman" w:hAnsi="Times New Roman"/>
          <w:color w:val="000000"/>
          <w:sz w:val="24"/>
        </w:rPr>
        <w:t>” means any day other than a Saturday, a Sunday or any day on which the Federal Reserve Bank of New York is authorized or required by law or executive order to close or be closed.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Capital Stock</w:t>
      </w:r>
      <w:r>
        <w:rPr>
          <w:rFonts w:ascii="Times New Roman" w:hAnsi="Times New Roman"/>
          <w:color w:val="000000"/>
          <w:sz w:val="24"/>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Change in Tax Law</w:t>
      </w:r>
      <w:r>
        <w:rPr>
          <w:rFonts w:ascii="Times New Roman" w:hAnsi="Times New Roman"/>
          <w:color w:val="000000"/>
          <w:sz w:val="24"/>
        </w:rPr>
        <w:t>” means any change or amendment in the laws, rules or regulations of a Relevant Taxing Jurisdiction, or any change in an official written interpretation, administration or application of such laws, rules or regulations by any legislative body, court, governmental taxing authority or regulatory or administrative authority of such Relevant Taxing Jurisdiction (including the enactment of any legislation and the publication of any judicial decision or regulatory or administrative interpretation or determination) affecting taxation, which change or amendment (A) had not been theretofore publicly announced; and (B) becomes effective (including becoming effective retrospectively) on or after December 2, 2025 (or, if the Relevant Taxing Jurisdiction was not a Relevant Taxing Jurisdiction on such date, the date on which such Relevant Taxing Jurisdiction became a Relevant Taxing Jurisdiction).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Close of Business</w:t>
      </w:r>
      <w:r>
        <w:rPr>
          <w:rFonts w:ascii="Times New Roman" w:hAnsi="Times New Roman"/>
          <w:color w:val="000000"/>
          <w:sz w:val="24"/>
        </w:rPr>
        <w:t>” means 5:00 p.m., New York City time.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Common Equity</w:t>
      </w:r>
      <w:r>
        <w:rPr>
          <w:rFonts w:ascii="Times New Roman" w:hAnsi="Times New Roman"/>
          <w:color w:val="000000"/>
          <w:sz w:val="24"/>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Company</w:t>
      </w:r>
      <w:r>
        <w:rPr>
          <w:rFonts w:ascii="Times New Roman" w:hAnsi="Times New Roman"/>
          <w:color w:val="000000"/>
          <w:sz w:val="24"/>
        </w:rPr>
        <w:t xml:space="preserve">” means the Person named as such in the first paragraph of this Indenture and, subject to </w:t>
      </w:r>
      <w:r>
        <w:rPr>
          <w:rFonts w:ascii="Times New Roman" w:hAnsi="Times New Roman"/>
          <w:b/>
          <w:color w:val="000000"/>
          <w:sz w:val="24"/>
        </w:rPr>
        <w:t>Article 6</w:t>
      </w:r>
      <w:r>
        <w:rPr>
          <w:rFonts w:ascii="Times New Roman" w:hAnsi="Times New Roman"/>
          <w:color w:val="000000"/>
          <w:sz w:val="24"/>
        </w:rPr>
        <w:t>, its successors and assigns.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Company Order</w:t>
      </w:r>
      <w:r>
        <w:rPr>
          <w:rFonts w:ascii="Times New Roman" w:hAnsi="Times New Roman"/>
          <w:color w:val="000000"/>
          <w:sz w:val="24"/>
        </w:rPr>
        <w:t>” means a written request or order signed on behalf of the Company by one (1) of its Officers and delivered to the Trustee.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w:t>
      </w:r>
      <w:r>
        <w:rPr>
          <w:rFonts w:ascii="Times New Roman" w:hAnsi="Times New Roman"/>
          <w:color w:val="000000"/>
          <w:sz w:val="24"/>
        </w:rPr>
        <w:t xml:space="preserve">” means, with respect to any Note, the conversion of such note pursuant to </w:t>
      </w:r>
      <w:r>
        <w:rPr>
          <w:rFonts w:ascii="Times New Roman" w:hAnsi="Times New Roman"/>
          <w:b/>
          <w:color w:val="000000"/>
          <w:sz w:val="24"/>
        </w:rPr>
        <w:t>Article 5</w:t>
      </w:r>
      <w:r>
        <w:rPr>
          <w:rFonts w:ascii="Times New Roman" w:hAnsi="Times New Roman"/>
          <w:color w:val="000000"/>
          <w:sz w:val="24"/>
        </w:rPr>
        <w:t xml:space="preserve"> into Conversion Consideration. The terms “Convert,” “Converted,” “Convertible,” “Converting” and similar capitalized terms have meanings correlative to the foregoing.</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 Date</w:t>
      </w:r>
      <w:r>
        <w:rPr>
          <w:rFonts w:ascii="Times New Roman" w:hAnsi="Times New Roman"/>
          <w:color w:val="000000"/>
          <w:sz w:val="24"/>
        </w:rPr>
        <w:t xml:space="preserve">” means, with respect to a Note, the first Business Day on which the requirements set forth in </w:t>
      </w:r>
      <w:r>
        <w:rPr>
          <w:rFonts w:ascii="Times New Roman" w:hAnsi="Times New Roman"/>
          <w:b/>
          <w:color w:val="000000"/>
          <w:sz w:val="24"/>
        </w:rPr>
        <w:t>Section 5.02(A)</w:t>
      </w:r>
      <w:r>
        <w:rPr>
          <w:rFonts w:ascii="Times New Roman" w:hAnsi="Times New Roman"/>
          <w:color w:val="000000"/>
          <w:sz w:val="24"/>
        </w:rPr>
        <w:t xml:space="preserve"> to Convert such Note are satisfied, subject to </w:t>
      </w:r>
      <w:r>
        <w:rPr>
          <w:rFonts w:ascii="Times New Roman" w:hAnsi="Times New Roman"/>
          <w:b/>
          <w:color w:val="000000"/>
          <w:sz w:val="24"/>
        </w:rPr>
        <w:t>Section 5.03(C)</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 Price</w:t>
      </w:r>
      <w:r>
        <w:rPr>
          <w:rFonts w:ascii="Times New Roman" w:hAnsi="Times New Roman"/>
          <w:color w:val="000000"/>
          <w:sz w:val="24"/>
        </w:rPr>
        <w:t xml:space="preserve">” means, as of any time, an amount equal to (A) one thousand dollars ($1,000) </w:t>
      </w:r>
      <w:r>
        <w:rPr>
          <w:rFonts w:ascii="Times New Roman" w:hAnsi="Times New Roman"/>
          <w:i/>
          <w:color w:val="000000"/>
          <w:sz w:val="24"/>
        </w:rPr>
        <w:t>divided by</w:t>
      </w:r>
      <w:r>
        <w:rPr>
          <w:rFonts w:ascii="Times New Roman" w:hAnsi="Times New Roman"/>
          <w:color w:val="000000"/>
          <w:sz w:val="24"/>
        </w:rPr>
        <w:t xml:space="preserve"> (B) the Conversion Rate in effect at such time.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 Rate</w:t>
      </w:r>
      <w:r>
        <w:rPr>
          <w:rFonts w:ascii="Times New Roman" w:hAnsi="Times New Roman"/>
          <w:color w:val="000000"/>
          <w:sz w:val="24"/>
        </w:rPr>
        <w:t xml:space="preserve">” initially means 19.4553 Ordinary Shares per $1,000 principal amount of 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Conversion Rate is subject to adjustment pursuant to </w:t>
      </w:r>
      <w:r>
        <w:rPr>
          <w:rFonts w:ascii="Times New Roman" w:hAnsi="Times New Roman"/>
          <w:b/>
          <w:color w:val="000000"/>
          <w:sz w:val="24"/>
        </w:rPr>
        <w:t>Article 5</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whenever this Indenture refers to the Conversion Rate as of a particular date without setting forth a particular time on such date, such reference will be deemed to be to the Conversion Rate immediately after the Close of Business on such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Conversion Share</w:t>
      </w:r>
      <w:r>
        <w:rPr>
          <w:rFonts w:ascii="Times New Roman" w:hAnsi="Times New Roman"/>
          <w:color w:val="000000"/>
          <w:sz w:val="24"/>
        </w:rPr>
        <w:t>” means any Ordinary Share issued or issuable upon Conversion of any Note.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Cash Amount</w:t>
      </w:r>
      <w:r>
        <w:rPr>
          <w:rFonts w:ascii="Times New Roman" w:hAnsi="Times New Roman"/>
          <w:color w:val="000000"/>
          <w:sz w:val="24"/>
        </w:rPr>
        <w:t>” means, with respect to any VWAP Trading Day, the lesser of (A) the applicable Daily Maximum Cash Amount; and (B) the Daily Conversion Value for such VWAP Trading Day.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Conversion Value</w:t>
      </w:r>
      <w:r>
        <w:rPr>
          <w:rFonts w:ascii="Times New Roman" w:hAnsi="Times New Roman"/>
          <w:color w:val="000000"/>
          <w:sz w:val="24"/>
        </w:rPr>
        <w:t>” means, with respect to any VWAP Trading Day, one-thirtieth (1/30th) of the product of (A) the Conversion Rate on such VWAP Trading Day; and (B) the Daily VWAP per Ordinary Share on such VWAP Trading Day.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Maximum Cash Amount</w:t>
      </w:r>
      <w:r>
        <w:rPr>
          <w:rFonts w:ascii="Times New Roman" w:hAnsi="Times New Roman"/>
          <w:color w:val="000000"/>
          <w:sz w:val="24"/>
        </w:rPr>
        <w:t>” means, with respect to the Conversion of any Note, the quotient obtained by dividing (A) the Specified Dollar Amount applicable to such Conversion by (B) thirty (30).</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Share Amount</w:t>
      </w:r>
      <w:r>
        <w:rPr>
          <w:rFonts w:ascii="Times New Roman" w:hAnsi="Times New Roman"/>
          <w:color w:val="000000"/>
          <w:sz w:val="24"/>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Daily VWAP</w:t>
      </w:r>
      <w:r>
        <w:rPr>
          <w:rFonts w:ascii="Times New Roman" w:hAnsi="Times New Roman"/>
          <w:color w:val="000000"/>
          <w:sz w:val="24"/>
        </w:rPr>
        <w:t>” means, for any VWAP Trading Day, the per share volume-weighted average price of the Ordinary Shares as displayed under the heading “Bloomberg VWAP” on Bloomberg page “IREN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Ordinary Share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De-Legending Deadline Date</w:t>
      </w:r>
      <w:r>
        <w:rPr>
          <w:rFonts w:ascii="Times New Roman" w:hAnsi="Times New Roman"/>
          <w:color w:val="000000"/>
          <w:sz w:val="24"/>
        </w:rPr>
        <w:t xml:space="preserve">” means, with respect to any Note, the fifteenth (15th) day after the Free Trade Date of such Note;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De-Legending Deadline Date determined as aforesaid would be after a Regular Record Date and before the fifth (5th) Business Day immediately after the next Interest Payment Date, then the De-Legending Deadline Date for such Note will instead be the fifth (5th) Business Day immediately after such Interest Payment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Default</w:t>
      </w:r>
      <w:r>
        <w:rPr>
          <w:rFonts w:ascii="Times New Roman" w:hAnsi="Times New Roman"/>
          <w:color w:val="000000"/>
          <w:sz w:val="24"/>
        </w:rPr>
        <w:t>” means any event that is (or, after notice, passage of time or both, would be) an Event of Default.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Default Settlement Method</w:t>
      </w:r>
      <w:r>
        <w:rPr>
          <w:rFonts w:ascii="Times New Roman" w:hAnsi="Times New Roman"/>
          <w:color w:val="000000"/>
          <w:sz w:val="24"/>
        </w:rPr>
        <w:t xml:space="preserve">” means Combination Settlement with a Specified Dollar Amount of $1,000 per $1,000 principal amount of 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(x) subject to </w:t>
      </w:r>
      <w:r>
        <w:rPr>
          <w:rFonts w:ascii="Times New Roman" w:hAnsi="Times New Roman"/>
          <w:b/>
          <w:color w:val="000000"/>
          <w:sz w:val="24"/>
        </w:rPr>
        <w:t>Section 5.03(A)(iii)</w:t>
      </w:r>
      <w:r>
        <w:rPr>
          <w:rFonts w:ascii="Times New Roman" w:hAnsi="Times New Roman"/>
          <w:color w:val="000000"/>
          <w:sz w:val="24"/>
        </w:rPr>
        <w:t xml:space="preserve">, the Company may, from time to time, change the Default Settlement Method by sending notice of the new Default Settlement Method to the Holders, the Trustee and the Conversion Agent; and (y) the Default Settlement Method will be subject to </w:t>
      </w:r>
      <w:r>
        <w:rPr>
          <w:rFonts w:ascii="Times New Roman" w:hAnsi="Times New Roman"/>
          <w:b/>
          <w:color w:val="000000"/>
          <w:sz w:val="24"/>
        </w:rPr>
        <w:t>Section 5.03(A)(ii)</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Depositary</w:t>
      </w:r>
      <w:r>
        <w:rPr>
          <w:rFonts w:ascii="Times New Roman" w:hAnsi="Times New Roman"/>
          <w:color w:val="000000"/>
          <w:sz w:val="24"/>
        </w:rPr>
        <w:t>” means The Depository Trust Company or its successor.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Depositary Participant</w:t>
      </w:r>
      <w:r>
        <w:rPr>
          <w:rFonts w:ascii="Times New Roman" w:hAnsi="Times New Roman"/>
          <w:color w:val="000000"/>
          <w:sz w:val="24"/>
        </w:rPr>
        <w:t>” means any member of, or participant in, the Depositary.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Depositary Procedures</w:t>
      </w:r>
      <w:r>
        <w:rPr>
          <w:rFonts w:ascii="Times New Roman" w:hAnsi="Times New Roman"/>
          <w:color w:val="000000"/>
          <w:sz w:val="24"/>
        </w:rPr>
        <w:t>” means, with respect to any Conversion, transfer, exchange or other transaction involving a Global Note or any beneficial interest therein, the rules and procedures of the Depositary applicable to such Conversion, transfer, exchange or transaction.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Effective Date</w:t>
      </w:r>
      <w:r>
        <w:rPr>
          <w:rFonts w:ascii="Times New Roman" w:hAnsi="Times New Roman"/>
          <w:color w:val="000000"/>
          <w:sz w:val="24"/>
        </w:rPr>
        <w:t>,” in relation to a share split or share combination of Ordinary Shares, means the first date on which the Ordinary Shares trade on the relevant stock exchange, regular way, reflecting the relevant share split or share combination, as applicable.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Ex-Dividend Date</w:t>
      </w:r>
      <w:r>
        <w:rPr>
          <w:rFonts w:ascii="Times New Roman" w:hAnsi="Times New Roman"/>
          <w:color w:val="000000"/>
          <w:sz w:val="24"/>
        </w:rPr>
        <w:t>” means, with respect to an issuance, dividend or distribution on the Ordinary Shares, the first date on which Ordinary Shares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Ordinary Shares under a separate ticker symbol or CUSIP number will not be considered “regular way” for this purpose.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Exchange Act</w:t>
      </w:r>
      <w:r>
        <w:rPr>
          <w:rFonts w:ascii="Times New Roman" w:hAnsi="Times New Roman"/>
          <w:color w:val="000000"/>
          <w:sz w:val="24"/>
        </w:rPr>
        <w:t>” means the U.S. Securities Exchange Act of 1934, as amended.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Exempted Fundamental Change</w:t>
      </w:r>
      <w:r>
        <w:rPr>
          <w:rFonts w:ascii="Times New Roman" w:hAnsi="Times New Roman"/>
          <w:color w:val="000000"/>
          <w:sz w:val="24"/>
        </w:rPr>
        <w:t xml:space="preserve">” means any Fundamental Change with respect to which, in accordance with </w:t>
      </w:r>
      <w:r>
        <w:rPr>
          <w:rFonts w:ascii="Times New Roman" w:hAnsi="Times New Roman"/>
          <w:b/>
          <w:color w:val="000000"/>
          <w:sz w:val="24"/>
        </w:rPr>
        <w:t>Section 4.02(I)</w:t>
      </w:r>
      <w:r>
        <w:rPr>
          <w:rFonts w:ascii="Times New Roman" w:hAnsi="Times New Roman"/>
          <w:color w:val="000000"/>
          <w:sz w:val="24"/>
        </w:rPr>
        <w:t>, the Company does not offer to repurchase any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Free Trade Date</w:t>
      </w:r>
      <w:r>
        <w:rPr>
          <w:rFonts w:ascii="Times New Roman" w:hAnsi="Times New Roman"/>
          <w:color w:val="000000"/>
          <w:sz w:val="24"/>
        </w:rPr>
        <w:t>” means, with respect to any Note, the date that is one (1) year after the Last Original Issue Date of such Note.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Freely Tradable</w:t>
      </w:r>
      <w:r>
        <w:rPr>
          <w:rFonts w:ascii="Times New Roman" w:hAnsi="Times New Roman"/>
          <w:color w:val="000000"/>
          <w:sz w:val="24"/>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from and after the Free Trade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 w:hAnsi="Times New Roman"/>
          <w:b/>
          <w:color w:val="000000"/>
          <w:sz w:val="24"/>
        </w:rPr>
        <w:t>Section 2.12</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Fundamental Change</w:t>
      </w:r>
      <w:r>
        <w:rPr>
          <w:rFonts w:ascii="Times New Roman" w:hAnsi="Times New Roman"/>
          <w:color w:val="000000"/>
          <w:sz w:val="24"/>
        </w:rPr>
        <w:t>” means any of the following events: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more than fifty percent (50%) of all of the Ordinary Shares;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Ordinary Shares are exchanged for, converted into, acquired for, or constitute solely the right to receive, other securities, cash or other property;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hAnsi="Times New Roman"/>
          <w:b/>
          <w:color w:val="000000"/>
          <w:sz w:val="24"/>
        </w:rPr>
        <w:t>clause (B)</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Company’s shareholders approve any plan or proposal for the liquidation or dissolution of the Company; or</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Ordinary Shares cease to be listed on any of the New York Stock Exchange, the Nasdaq Global Market or the Nasdaq Global Select Market (or any of their respective successors);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 transaction or event described in </w:t>
      </w:r>
      <w:r>
        <w:rPr>
          <w:rFonts w:ascii="Times New Roman" w:hAnsi="Times New Roman"/>
          <w:b/>
          <w:color w:val="000000"/>
          <w:sz w:val="24"/>
        </w:rPr>
        <w:t>clause (A)</w:t>
      </w:r>
      <w:r>
        <w:rPr>
          <w:rFonts w:ascii="Times New Roman" w:hAnsi="Times New Roman"/>
          <w:color w:val="000000"/>
          <w:sz w:val="24"/>
        </w:rPr>
        <w:t xml:space="preserve"> or </w:t>
      </w:r>
      <w:r>
        <w:rPr>
          <w:rFonts w:ascii="Times New Roman" w:hAnsi="Times New Roman"/>
          <w:b/>
          <w:color w:val="000000"/>
          <w:sz w:val="24"/>
        </w:rPr>
        <w:t>(B)</w:t>
      </w:r>
      <w:r>
        <w:rPr>
          <w:rFonts w:ascii="Times New Roman" w:hAnsi="Times New Roman"/>
          <w:color w:val="000000"/>
          <w:sz w:val="24"/>
        </w:rPr>
        <w:t xml:space="preserve"> above will not constitute a Fundamental Change if at least ninety percent (90%) of the consideration received or to be received by the holders of Ordinary Shares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an Ordinary Share Change Event whose Reference Property consists of such consideration.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purposes of this definition, (x) any transaction or event described in both </w:t>
      </w:r>
      <w:r>
        <w:rPr>
          <w:rFonts w:ascii="Times New Roman" w:hAnsi="Times New Roman"/>
          <w:b/>
          <w:color w:val="000000"/>
          <w:sz w:val="24"/>
        </w:rPr>
        <w:t>clause (A)</w:t>
      </w:r>
      <w:r>
        <w:rPr>
          <w:rFonts w:ascii="Times New Roman" w:hAnsi="Times New Roman"/>
          <w:color w:val="000000"/>
          <w:sz w:val="24"/>
        </w:rPr>
        <w:t xml:space="preserve"> and in </w:t>
      </w:r>
      <w:r>
        <w:rPr>
          <w:rFonts w:ascii="Times New Roman" w:hAnsi="Times New Roman"/>
          <w:b/>
          <w:color w:val="000000"/>
          <w:sz w:val="24"/>
        </w:rPr>
        <w:t>clause (B)(i)</w:t>
      </w:r>
      <w:r>
        <w:rPr>
          <w:rFonts w:ascii="Times New Roman" w:hAnsi="Times New Roman"/>
          <w:color w:val="000000"/>
          <w:sz w:val="24"/>
        </w:rPr>
        <w:t xml:space="preserve"> or </w:t>
      </w:r>
      <w:r>
        <w:rPr>
          <w:rFonts w:ascii="Times New Roman" w:hAnsi="Times New Roman"/>
          <w:b/>
          <w:color w:val="000000"/>
          <w:sz w:val="24"/>
        </w:rPr>
        <w:t>(ii)</w:t>
      </w:r>
      <w:r>
        <w:rPr>
          <w:rFonts w:ascii="Times New Roman" w:hAnsi="Times New Roman"/>
          <w:color w:val="000000"/>
          <w:sz w:val="24"/>
        </w:rPr>
        <w:t xml:space="preserve"> above (without regard to the proviso in </w:t>
      </w:r>
      <w:r>
        <w:rPr>
          <w:rFonts w:ascii="Times New Roman" w:hAnsi="Times New Roman"/>
          <w:b/>
          <w:color w:val="000000"/>
          <w:sz w:val="24"/>
        </w:rPr>
        <w:t>clause (B)</w:t>
      </w:r>
      <w:r>
        <w:rPr>
          <w:rFonts w:ascii="Times New Roman" w:hAnsi="Times New Roman"/>
          <w:color w:val="000000"/>
          <w:sz w:val="24"/>
        </w:rPr>
        <w:t xml:space="preserve">) will be deemed to occur solely pursuant to </w:t>
      </w:r>
      <w:r>
        <w:rPr>
          <w:rFonts w:ascii="Times New Roman" w:hAnsi="Times New Roman"/>
          <w:b/>
          <w:color w:val="000000"/>
          <w:sz w:val="24"/>
        </w:rPr>
        <w:t>clause (B)</w:t>
      </w:r>
      <w:r>
        <w:rPr>
          <w:rFonts w:ascii="Times New Roman" w:hAnsi="Times New Roman"/>
          <w:color w:val="000000"/>
          <w:sz w:val="24"/>
        </w:rPr>
        <w:t xml:space="preserve"> above (subject to such proviso); and (y) whether a Person is a “</w:t>
      </w:r>
      <w:r>
        <w:rPr>
          <w:rFonts w:ascii="Times New Roman" w:hAnsi="Times New Roman"/>
          <w:b/>
          <w:color w:val="000000"/>
          <w:sz w:val="24"/>
        </w:rPr>
        <w:t>beneficial owner</w:t>
      </w:r>
      <w:r>
        <w:rPr>
          <w:rFonts w:ascii="Times New Roman" w:hAnsi="Times New Roman"/>
          <w:color w:val="000000"/>
          <w:sz w:val="24"/>
        </w:rPr>
        <w:t>,” whether shares are “</w:t>
      </w:r>
      <w:r>
        <w:rPr>
          <w:rFonts w:ascii="Times New Roman" w:hAnsi="Times New Roman"/>
          <w:b/>
          <w:color w:val="000000"/>
          <w:sz w:val="24"/>
        </w:rPr>
        <w:t>beneficially owned</w:t>
      </w:r>
      <w:r>
        <w:rPr>
          <w:rFonts w:ascii="Times New Roman" w:hAnsi="Times New Roman"/>
          <w:color w:val="000000"/>
          <w:sz w:val="24"/>
        </w:rPr>
        <w:t>,” and percentage beneficial ownership, will be determined in accordance with Rule 13d-3 under the Exchange Act.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Fundamental Change Repurchase Date</w:t>
      </w:r>
      <w:r>
        <w:rPr>
          <w:rFonts w:ascii="Times New Roman" w:hAnsi="Times New Roman"/>
          <w:color w:val="000000"/>
          <w:sz w:val="24"/>
        </w:rPr>
        <w:t>” means the date fixed for the repurchase of any Notes by the Company pursuant to a Repurchase Upon Fundamental Change.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Fundamental Change Repurchase Notice</w:t>
      </w:r>
      <w:r>
        <w:rPr>
          <w:rFonts w:ascii="Times New Roman" w:hAnsi="Times New Roman"/>
          <w:color w:val="000000"/>
          <w:sz w:val="24"/>
        </w:rPr>
        <w:t xml:space="preserve">” means a notice (including a notice substantially in the form of the “Fundamental Change Repurchase Notice” set forth in </w:t>
      </w:r>
      <w:r>
        <w:rPr>
          <w:rFonts w:ascii="Times New Roman" w:hAnsi="Times New Roman"/>
          <w:b/>
          <w:color w:val="000000"/>
          <w:sz w:val="24"/>
        </w:rPr>
        <w:t>Exhibit A</w:t>
      </w:r>
      <w:r>
        <w:rPr>
          <w:rFonts w:ascii="Times New Roman" w:hAnsi="Times New Roman"/>
          <w:color w:val="000000"/>
          <w:sz w:val="24"/>
        </w:rPr>
        <w:t xml:space="preserve">) containing the information, or otherwise complying with the requirements, set forth in </w:t>
      </w:r>
      <w:r>
        <w:rPr>
          <w:rFonts w:ascii="Times New Roman" w:hAnsi="Times New Roman"/>
          <w:b/>
          <w:color w:val="000000"/>
          <w:sz w:val="24"/>
        </w:rPr>
        <w:t>Section 4.02(F)(i)</w:t>
      </w:r>
      <w:r>
        <w:rPr>
          <w:rFonts w:ascii="Times New Roman" w:hAnsi="Times New Roman"/>
          <w:color w:val="000000"/>
          <w:sz w:val="24"/>
        </w:rPr>
        <w:t xml:space="preserve"> and </w:t>
      </w:r>
      <w:r>
        <w:rPr>
          <w:rFonts w:ascii="Times New Roman" w:hAnsi="Times New Roman"/>
          <w:b/>
          <w:color w:val="000000"/>
          <w:sz w:val="24"/>
        </w:rPr>
        <w:t>Section 4.02(F)(ii)</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Fundamental Change Repurchase Price</w:t>
      </w:r>
      <w:r>
        <w:rPr>
          <w:rFonts w:ascii="Times New Roman" w:hAnsi="Times New Roman"/>
          <w:color w:val="000000"/>
          <w:sz w:val="24"/>
        </w:rPr>
        <w:t xml:space="preserve">” means the cash price payable by the Company to repurchase any Note upon its Repurchase Upon Fundamental Change, calculated pursuant to </w:t>
      </w:r>
      <w:r>
        <w:rPr>
          <w:rFonts w:ascii="Times New Roman" w:hAnsi="Times New Roman"/>
          <w:b/>
          <w:color w:val="000000"/>
          <w:sz w:val="24"/>
        </w:rPr>
        <w:t>Section 4.02(D)</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Global Note</w:t>
      </w:r>
      <w:r>
        <w:rPr>
          <w:rFonts w:ascii="Times New Roman" w:hAnsi="Times New Roman"/>
          <w:color w:val="000000"/>
          <w:sz w:val="24"/>
        </w:rPr>
        <w:t xml:space="preserve">” means a Note that is represented by a certificate substantially in the form set forth in </w:t>
      </w:r>
      <w:r>
        <w:rPr>
          <w:rFonts w:ascii="Times New Roman" w:hAnsi="Times New Roman"/>
          <w:b/>
          <w:color w:val="000000"/>
          <w:sz w:val="24"/>
        </w:rPr>
        <w:t>Exhibit</w:t>
      </w:r>
      <w:r>
        <w:rPr>
          <w:rFonts w:ascii="Times New Roman" w:hAnsi="Times New Roman"/>
          <w:color w:val="000000"/>
          <w:sz w:val="24"/>
        </w:rPr>
        <w:t> </w:t>
      </w:r>
      <w:r>
        <w:rPr>
          <w:rFonts w:ascii="Times New Roman" w:hAnsi="Times New Roman"/>
          <w:b/>
          <w:color w:val="000000"/>
          <w:sz w:val="24"/>
        </w:rPr>
        <w:t>A</w:t>
      </w:r>
      <w:r>
        <w:rPr>
          <w:rFonts w:ascii="Times New Roman" w:hAnsi="Times New Roman"/>
          <w:color w:val="000000"/>
          <w:sz w:val="24"/>
        </w:rPr>
        <w:t>, registered in the name of the Depositary or its nominee, duly executed by the Company and authenticated by the Trustee, and deposited with the Trustee, as custodian for the Depositary.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Global Note Legend</w:t>
      </w:r>
      <w:r>
        <w:rPr>
          <w:rFonts w:ascii="Times New Roman" w:hAnsi="Times New Roman"/>
          <w:color w:val="000000"/>
          <w:sz w:val="24"/>
        </w:rPr>
        <w:t xml:space="preserve">” means a legend substantially in the form set forth in </w:t>
      </w:r>
      <w:r>
        <w:rPr>
          <w:rFonts w:ascii="Times New Roman" w:hAnsi="Times New Roman"/>
          <w:b/>
          <w:color w:val="000000"/>
          <w:sz w:val="24"/>
        </w:rPr>
        <w:t>Exhibit B-2</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Holder</w:t>
      </w:r>
      <w:r>
        <w:rPr>
          <w:rFonts w:ascii="Times New Roman" w:hAnsi="Times New Roman"/>
          <w:color w:val="000000"/>
          <w:sz w:val="24"/>
        </w:rPr>
        <w:t>” means a person in whose name a Note is registered on the Registrar’s books.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Indenture</w:t>
      </w:r>
      <w:r>
        <w:rPr>
          <w:rFonts w:ascii="Times New Roman" w:hAnsi="Times New Roman"/>
          <w:color w:val="000000"/>
          <w:sz w:val="24"/>
        </w:rPr>
        <w:t>” means this Indenture, as amended or supplemented from time to time.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Initial Purchasers</w:t>
      </w:r>
      <w:r>
        <w:rPr>
          <w:rFonts w:ascii="Times New Roman" w:hAnsi="Times New Roman"/>
          <w:color w:val="000000"/>
          <w:sz w:val="24"/>
        </w:rPr>
        <w:t>” means the several initial purchasers listed in Schedule 1 to the Purchase Agreement.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Interest Payment Date</w:t>
      </w:r>
      <w:r>
        <w:rPr>
          <w:rFonts w:ascii="Times New Roman" w:hAnsi="Times New Roman"/>
          <w:color w:val="000000"/>
          <w:sz w:val="24"/>
        </w:rPr>
        <w:t>” means, with respect to a Note, each June 1 and December 1 of each year, commencing on June 1, 2026 (or commencing on such other date specified in the certificate representing such Note). For the avoidance of doubt, the Maturity Date is an Interest Payment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Internal Revenue Code</w:t>
      </w:r>
      <w:r>
        <w:rPr>
          <w:rFonts w:ascii="Times New Roman" w:hAnsi="Times New Roman"/>
          <w:color w:val="000000"/>
          <w:sz w:val="24"/>
        </w:rPr>
        <w:t>” means the United States Internal Revenue Code of 1986, as amended.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Issue Date</w:t>
      </w:r>
      <w:r>
        <w:rPr>
          <w:rFonts w:ascii="Times New Roman" w:hAnsi="Times New Roman"/>
          <w:color w:val="000000"/>
          <w:sz w:val="24"/>
        </w:rPr>
        <w:t>” means December 8, 2025.</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Last Original Issue Date</w:t>
      </w:r>
      <w:r>
        <w:rPr>
          <w:rFonts w:ascii="Times New Roman" w:hAnsi="Times New Roman"/>
          <w:color w:val="000000"/>
          <w:sz w:val="24"/>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hAnsi="Times New Roman"/>
          <w:b/>
          <w:color w:val="000000"/>
          <w:sz w:val="24"/>
        </w:rPr>
        <w:t>Section 2.03(B)</w:t>
      </w:r>
      <w:r>
        <w:rPr>
          <w:rFonts w:ascii="Times New Roman" w:hAnsi="Times New Roman"/>
          <w:color w:val="000000"/>
          <w:sz w:val="24"/>
        </w:rPr>
        <w:t>,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Last Reported Sale Price</w:t>
      </w:r>
      <w:r>
        <w:rPr>
          <w:rFonts w:ascii="Times New Roman" w:hAnsi="Times New Roman"/>
          <w:color w:val="000000"/>
          <w:sz w:val="24"/>
        </w:rPr>
        <w:t>” of the Ordinary Shares for any Trading Day means the closing sale price per Ordinary Share (or, if no closing sale price is reported, the average of the last bid price and the last ask price per Ordinary Share or, if more than one in either case, the average of the average last bid prices and the average last ask prices per Ordinary Share) on such Trading Day as reported in composite transactions for the principal U.S. national or regional securities exchange on which the Ordinary Shares are then listed. If the Ordinary Shares are not listed on a U.S. national or regional securities exchange on such Trading Day, then the Last Reported Sale Price will be the last quoted bid price per Ordinary Share on such Trading Day in the over-the-counter market as reported by OTC Markets Group Inc. or a similar organization. If the Ordinary Shares are not so quoted on such Trading Day, then the Last Reported Sale Price will be the average of the mid-point of the last bid price and the last ask price per Ordinary Share on such Trading Day from a nationally recognized independent investment banking firm selected by the Company, which may be any of the Initial Purchasers. Neither the Trustee nor the Conversion Agent will have any duty to determine the Last Reported Sale Price.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Make-Whole Fundamental Change</w:t>
      </w:r>
      <w:r>
        <w:rPr>
          <w:rFonts w:ascii="Times New Roman" w:hAnsi="Times New Roman"/>
          <w:color w:val="000000"/>
          <w:sz w:val="24"/>
        </w:rPr>
        <w:t xml:space="preserve">” means (A) a Fundamental Change (determined after giving effect to the proviso immediately after </w:t>
      </w:r>
      <w:r>
        <w:rPr>
          <w:rFonts w:ascii="Times New Roman" w:hAnsi="Times New Roman"/>
          <w:b/>
          <w:color w:val="000000"/>
          <w:sz w:val="24"/>
        </w:rPr>
        <w:t>clause (D)</w:t>
      </w:r>
      <w:r>
        <w:rPr>
          <w:rFonts w:ascii="Times New Roman" w:hAnsi="Times New Roman"/>
          <w:color w:val="000000"/>
          <w:sz w:val="24"/>
        </w:rPr>
        <w:t xml:space="preserve"> of the definition thereof, but without regard to the proviso to </w:t>
      </w:r>
      <w:r>
        <w:rPr>
          <w:rFonts w:ascii="Times New Roman" w:hAnsi="Times New Roman"/>
          <w:b/>
          <w:color w:val="000000"/>
          <w:sz w:val="24"/>
        </w:rPr>
        <w:t>clause (B)(ii)</w:t>
      </w:r>
      <w:r>
        <w:rPr>
          <w:rFonts w:ascii="Times New Roman" w:hAnsi="Times New Roman"/>
          <w:color w:val="000000"/>
          <w:sz w:val="24"/>
        </w:rPr>
        <w:t xml:space="preserve"> of such definition); or (B) the sending of a Redemption Notice pursuant to </w:t>
      </w:r>
      <w:r>
        <w:rPr>
          <w:rFonts w:ascii="Times New Roman" w:hAnsi="Times New Roman"/>
          <w:b/>
          <w:color w:val="000000"/>
          <w:sz w:val="24"/>
        </w:rPr>
        <w:t>Section 4.03(G)</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subject to </w:t>
      </w:r>
      <w:r>
        <w:rPr>
          <w:rFonts w:ascii="Times New Roman" w:hAnsi="Times New Roman"/>
          <w:b/>
          <w:color w:val="000000"/>
          <w:sz w:val="24"/>
        </w:rPr>
        <w:t>Section 4.03(K)</w:t>
      </w:r>
      <w:r>
        <w:rPr>
          <w:rFonts w:ascii="Times New Roman" w:hAnsi="Times New Roman"/>
          <w:color w:val="000000"/>
          <w:sz w:val="24"/>
        </w:rPr>
        <w:t>, the sending of a Redemption Notice for a Provisional Redemption will constitute a Make-Whole Fundamental Change only with respect to the Notes called for a Provisional Redemption pursuant to such Redemption Notice and not with respect to any other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Make-Whole Fundamental Change Conversion Period</w:t>
      </w:r>
      <w:r>
        <w:rPr>
          <w:rFonts w:ascii="Times New Roman" w:hAnsi="Times New Roman"/>
          <w:color w:val="000000"/>
          <w:sz w:val="24"/>
        </w:rPr>
        <w:t>” has the following meaning:</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in the case of a Make-Whole Fundamental Change pursuant to </w:t>
      </w:r>
      <w:r>
        <w:rPr>
          <w:rFonts w:ascii="Times New Roman" w:hAnsi="Times New Roman"/>
          <w:b/>
          <w:color w:val="000000"/>
          <w:sz w:val="24"/>
        </w:rPr>
        <w:t>clause (A)</w:t>
      </w:r>
      <w:r>
        <w:rPr>
          <w:rFonts w:ascii="Times New Roman" w:hAnsi="Times New Roman"/>
          <w:color w:val="000000"/>
          <w:sz w:val="24"/>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in the case of a Make-Whole Fundamental Change pursuant to </w:t>
      </w:r>
      <w:r>
        <w:rPr>
          <w:rFonts w:ascii="Times New Roman" w:hAnsi="Times New Roman"/>
          <w:b/>
          <w:color w:val="000000"/>
          <w:sz w:val="24"/>
        </w:rPr>
        <w:t>clause (B)</w:t>
      </w:r>
      <w:r>
        <w:rPr>
          <w:rFonts w:ascii="Times New Roman" w:hAnsi="Times New Roman"/>
          <w:color w:val="000000"/>
          <w:sz w:val="24"/>
        </w:rPr>
        <w:t xml:space="preserve"> of the definition thereof, the period from, and including, the Redemption Notice Date for the related Redemption to, and including, the second (2nd) Business Day immediately before the related Redemption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the Conversion Date for the Conversion of a Note that has been called for Redemption occurs during the Make-Whole Fundamental Change Conversion Period for both a Make-Whole Fundamental Change occurring pursuant to </w:t>
      </w:r>
      <w:r>
        <w:rPr>
          <w:rFonts w:ascii="Times New Roman" w:hAnsi="Times New Roman"/>
          <w:b/>
          <w:color w:val="000000"/>
          <w:sz w:val="24"/>
        </w:rPr>
        <w:t>clause (A)</w:t>
      </w:r>
      <w:r>
        <w:rPr>
          <w:rFonts w:ascii="Times New Roman" w:hAnsi="Times New Roman"/>
          <w:color w:val="000000"/>
          <w:sz w:val="24"/>
        </w:rPr>
        <w:t xml:space="preserve"> of the definition of “Make-Whole Fundamental Change” and a Make-Whole Fundamental Change resulting from such Redemption pursuant to </w:t>
      </w:r>
      <w:r>
        <w:rPr>
          <w:rFonts w:ascii="Times New Roman" w:hAnsi="Times New Roman"/>
          <w:b/>
          <w:color w:val="000000"/>
          <w:sz w:val="24"/>
        </w:rPr>
        <w:t>clause (B)</w:t>
      </w:r>
      <w:r>
        <w:rPr>
          <w:rFonts w:ascii="Times New Roman" w:hAnsi="Times New Roman"/>
          <w:color w:val="000000"/>
          <w:sz w:val="24"/>
        </w:rPr>
        <w:t xml:space="preserve"> of such definition, then, notwithstanding anything to the contrary in </w:t>
      </w:r>
      <w:r>
        <w:rPr>
          <w:rFonts w:ascii="Times New Roman" w:hAnsi="Times New Roman"/>
          <w:b/>
          <w:color w:val="000000"/>
          <w:sz w:val="24"/>
        </w:rPr>
        <w:t>Section 5.07</w:t>
      </w:r>
      <w:r>
        <w:rPr>
          <w:rFonts w:ascii="Times New Roman" w:hAnsi="Times New Roman"/>
          <w:color w:val="000000"/>
          <w:sz w:val="24"/>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Make-Whole Fundamental Change Effective Date</w:t>
      </w:r>
      <w:r>
        <w:rPr>
          <w:rFonts w:ascii="Times New Roman" w:hAnsi="Times New Roman"/>
          <w:color w:val="000000"/>
          <w:sz w:val="24"/>
        </w:rPr>
        <w:t xml:space="preserve">” means (A) with respect to a Make-Whole Fundamental Change pursuant to </w:t>
      </w:r>
      <w:r>
        <w:rPr>
          <w:rFonts w:ascii="Times New Roman" w:hAnsi="Times New Roman"/>
          <w:b/>
          <w:color w:val="000000"/>
          <w:sz w:val="24"/>
        </w:rPr>
        <w:t>clause (A)</w:t>
      </w:r>
      <w:r>
        <w:rPr>
          <w:rFonts w:ascii="Times New Roman" w:hAnsi="Times New Roman"/>
          <w:color w:val="000000"/>
          <w:sz w:val="24"/>
        </w:rPr>
        <w:t xml:space="preserve"> of the definition thereof, the date on which such Make-Whole Fundamental Change occurs or becomes effective; and (B) with respect to a Make-Whole Fundamental Change pursuant to </w:t>
      </w:r>
      <w:r>
        <w:rPr>
          <w:rFonts w:ascii="Times New Roman" w:hAnsi="Times New Roman"/>
          <w:b/>
          <w:color w:val="000000"/>
          <w:sz w:val="24"/>
        </w:rPr>
        <w:t>clause (B)</w:t>
      </w:r>
      <w:r>
        <w:rPr>
          <w:rFonts w:ascii="Times New Roman" w:hAnsi="Times New Roman"/>
          <w:color w:val="000000"/>
          <w:sz w:val="24"/>
        </w:rPr>
        <w:t xml:space="preserve"> of the definition thereof, the applicable Redemption Notice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Market Disruption Event</w:t>
      </w:r>
      <w:r>
        <w:rPr>
          <w:rFonts w:ascii="Times New Roman" w:hAnsi="Times New Roman"/>
          <w:color w:val="000000"/>
          <w:sz w:val="24"/>
        </w:rPr>
        <w:t>” means, with respect to any date, the occurrence or existence, during the one-half hour period ending at the scheduled close of trading on such date on the principal U.S. national or regional securities exchange or other market on which the Ordinary Shares are listed for trading or trade, of any material suspension or limitation imposed on trading (by reason of movements in price exceeding limits permitted by the relevant exchange or otherwise) in the Ordinary Shares or in any options contracts or futures contracts relating to the Ordinary Shares.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Maturity Date</w:t>
      </w:r>
      <w:r>
        <w:rPr>
          <w:rFonts w:ascii="Times New Roman" w:hAnsi="Times New Roman"/>
          <w:color w:val="000000"/>
          <w:sz w:val="24"/>
        </w:rPr>
        <w:t>” means June 1, 2033.</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Non-Affiliate Legend</w:t>
      </w:r>
      <w:r>
        <w:rPr>
          <w:rFonts w:ascii="Times New Roman" w:hAnsi="Times New Roman"/>
          <w:color w:val="000000"/>
          <w:sz w:val="24"/>
        </w:rPr>
        <w:t xml:space="preserve">” means a legend substantially in the form set forth in </w:t>
      </w:r>
      <w:r>
        <w:rPr>
          <w:rFonts w:ascii="Times New Roman" w:hAnsi="Times New Roman"/>
          <w:b/>
          <w:color w:val="000000"/>
          <w:sz w:val="24"/>
        </w:rPr>
        <w:t>Exhibit B-3</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Note Agent</w:t>
      </w:r>
      <w:r>
        <w:rPr>
          <w:rFonts w:ascii="Times New Roman" w:hAnsi="Times New Roman"/>
          <w:color w:val="000000"/>
          <w:sz w:val="24"/>
        </w:rPr>
        <w:t>” means any Registrar, Paying Agent or Conversion Agent.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Notes</w:t>
      </w:r>
      <w:r>
        <w:rPr>
          <w:rFonts w:ascii="Times New Roman" w:hAnsi="Times New Roman"/>
          <w:color w:val="000000"/>
          <w:sz w:val="24"/>
        </w:rPr>
        <w:t>” means the 1.00% Convertible Senior Notes due 2033 issued by the Company pursuant to this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Observation Period</w:t>
      </w:r>
      <w:r>
        <w:rPr>
          <w:rFonts w:ascii="Times New Roman" w:hAnsi="Times New Roman"/>
          <w:color w:val="000000"/>
          <w:sz w:val="24"/>
        </w:rPr>
        <w:t xml:space="preserve">” means, with respect to any Note to be Converted, (A) subject to </w:t>
      </w:r>
      <w:r>
        <w:rPr>
          <w:rFonts w:ascii="Times New Roman" w:hAnsi="Times New Roman"/>
          <w:b/>
          <w:color w:val="000000"/>
          <w:sz w:val="24"/>
        </w:rPr>
        <w:t>clause (B)</w:t>
      </w:r>
      <w:r>
        <w:rPr>
          <w:rFonts w:ascii="Times New Roman" w:hAnsi="Times New Roman"/>
          <w:color w:val="000000"/>
          <w:sz w:val="24"/>
        </w:rPr>
        <w:t xml:space="preserve"> below, if the Conversion Date for such Note occurs before March 1, 2033, the thirty (30)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 w:hAnsi="Times New Roman"/>
          <w:b/>
          <w:color w:val="000000"/>
          <w:sz w:val="24"/>
        </w:rPr>
        <w:t>Section 4.03(G)</w:t>
      </w:r>
      <w:r>
        <w:rPr>
          <w:rFonts w:ascii="Times New Roman" w:hAnsi="Times New Roman"/>
          <w:color w:val="000000"/>
          <w:sz w:val="24"/>
        </w:rPr>
        <w:t xml:space="preserve"> and on or before the second (2nd) Business Day before the related Redemption Date, the thirty (30) consecutive VWAP Trading Days beginning on, and including, the thirty first (31st) Scheduled Trading Day immediately before such Redemption Date; and (C) subject to </w:t>
      </w:r>
      <w:r>
        <w:rPr>
          <w:rFonts w:ascii="Times New Roman" w:hAnsi="Times New Roman"/>
          <w:b/>
          <w:color w:val="000000"/>
          <w:sz w:val="24"/>
        </w:rPr>
        <w:t>clause (B)</w:t>
      </w:r>
      <w:r>
        <w:rPr>
          <w:rFonts w:ascii="Times New Roman" w:hAnsi="Times New Roman"/>
          <w:color w:val="000000"/>
          <w:sz w:val="24"/>
        </w:rPr>
        <w:t xml:space="preserve"> above, if such Conversion Date occurs on or after March 1, 2033, the thirty (30) consecutive VWAP Trading Days beginning on, and including, the thirty first (31st) Scheduled Trading Day immediately before the Maturity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Officer</w:t>
      </w:r>
      <w:r>
        <w:rPr>
          <w:rFonts w:ascii="Times New Roman" w:hAnsi="Times New Roman"/>
          <w:color w:val="000000"/>
          <w:sz w:val="24"/>
        </w:rPr>
        <w:t>” means the Chairman of the Board of Directors, the Chief Executive Officer, the President, the Chief Operating Officer, the Chief Financial Officer, the Treasurer, any Assistant Treasurer, the Controller, any Director, the Secretary or any Vice-President of the Company.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Officer’s Certificate</w:t>
      </w:r>
      <w:r>
        <w:rPr>
          <w:rFonts w:ascii="Times New Roman" w:hAnsi="Times New Roman"/>
          <w:color w:val="000000"/>
          <w:sz w:val="24"/>
        </w:rPr>
        <w:t xml:space="preserve">” means a certificate that is signed on behalf of the Company by one (1) of its Officers and that meets the requirements of </w:t>
      </w:r>
      <w:r>
        <w:rPr>
          <w:rFonts w:ascii="Times New Roman" w:hAnsi="Times New Roman"/>
          <w:b/>
          <w:color w:val="000000"/>
          <w:sz w:val="24"/>
        </w:rPr>
        <w:t>Section 11.03</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Open of Business</w:t>
      </w:r>
      <w:r>
        <w:rPr>
          <w:rFonts w:ascii="Times New Roman" w:hAnsi="Times New Roman"/>
          <w:color w:val="000000"/>
          <w:sz w:val="24"/>
        </w:rPr>
        <w:t>” means 9:00 a.m., New York City time.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Opinion of Counsel</w:t>
      </w:r>
      <w:r>
        <w:rPr>
          <w:rFonts w:ascii="Times New Roman" w:hAnsi="Times New Roman"/>
          <w:color w:val="000000"/>
          <w:sz w:val="24"/>
        </w:rPr>
        <w:t xml:space="preserve">” means an opinion, from legal counsel (including an employee of, or counsel to, the Company or any of its Subsidiaries) reasonably acceptable to the Trustee, that meets the requirements of </w:t>
      </w:r>
      <w:r>
        <w:rPr>
          <w:rFonts w:ascii="Times New Roman" w:hAnsi="Times New Roman"/>
          <w:b/>
          <w:color w:val="000000"/>
          <w:sz w:val="24"/>
        </w:rPr>
        <w:t>Section 11.03</w:t>
      </w:r>
      <w:r>
        <w:rPr>
          <w:rFonts w:ascii="Times New Roman" w:hAnsi="Times New Roman"/>
          <w:color w:val="000000"/>
          <w:sz w:val="24"/>
        </w:rPr>
        <w:t>, subject to customary qualifications and exclusions.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Ordinary Shares</w:t>
      </w:r>
      <w:r>
        <w:rPr>
          <w:rFonts w:ascii="Times New Roman" w:hAnsi="Times New Roman"/>
          <w:color w:val="000000"/>
          <w:sz w:val="24"/>
        </w:rPr>
        <w:t xml:space="preserve">” means the Ordinary shares, no par value per share, of the Company only and, for the avoidance of doubt, not the B Class shares of the Company, subject to </w:t>
      </w:r>
      <w:r>
        <w:rPr>
          <w:rFonts w:ascii="Times New Roman" w:hAnsi="Times New Roman"/>
          <w:b/>
          <w:color w:val="000000"/>
          <w:sz w:val="24"/>
        </w:rPr>
        <w:t>Section 5.09</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Person</w:t>
      </w:r>
      <w:r>
        <w:rPr>
          <w:rFonts w:ascii="Times New Roman" w:hAnsi="Times New Roman"/>
          <w:color w:val="000000"/>
          <w:sz w:val="24"/>
        </w:rPr>
        <w:t>” or “</w:t>
      </w:r>
      <w:r>
        <w:rPr>
          <w:rFonts w:ascii="Times New Roman" w:hAnsi="Times New Roman"/>
          <w:b/>
          <w:color w:val="000000"/>
          <w:sz w:val="24"/>
        </w:rPr>
        <w:t>person</w:t>
      </w:r>
      <w:r>
        <w:rPr>
          <w:rFonts w:ascii="Times New Roman" w:hAnsi="Times New Roman"/>
          <w:color w:val="000000"/>
          <w:sz w:val="24"/>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Physical Note</w:t>
      </w:r>
      <w:r>
        <w:rPr>
          <w:rFonts w:ascii="Times New Roman" w:hAnsi="Times New Roman"/>
          <w:color w:val="000000"/>
          <w:sz w:val="24"/>
        </w:rPr>
        <w:t xml:space="preserve">” means a Note (other than a Global Note) that is represented by a certificate substantially in the form set forth in </w:t>
      </w:r>
      <w:r>
        <w:rPr>
          <w:rFonts w:ascii="Times New Roman" w:hAnsi="Times New Roman"/>
          <w:b/>
          <w:color w:val="000000"/>
          <w:sz w:val="24"/>
        </w:rPr>
        <w:t>Exhibit</w:t>
      </w:r>
      <w:r>
        <w:rPr>
          <w:rFonts w:ascii="Times New Roman" w:hAnsi="Times New Roman"/>
          <w:color w:val="000000"/>
          <w:sz w:val="24"/>
        </w:rPr>
        <w:t> </w:t>
      </w:r>
      <w:r>
        <w:rPr>
          <w:rFonts w:ascii="Times New Roman" w:hAnsi="Times New Roman"/>
          <w:b/>
          <w:color w:val="000000"/>
          <w:sz w:val="24"/>
        </w:rPr>
        <w:t>A</w:t>
      </w:r>
      <w:r>
        <w:rPr>
          <w:rFonts w:ascii="Times New Roman" w:hAnsi="Times New Roman"/>
          <w:color w:val="000000"/>
          <w:sz w:val="24"/>
        </w:rPr>
        <w:t>, registered in the name of the Holder of such Note and duly executed by the Company and authenticated by the Trustee.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Provisional Redemption</w:t>
      </w:r>
      <w:r>
        <w:rPr>
          <w:rFonts w:ascii="Times New Roman" w:hAnsi="Times New Roman"/>
          <w:color w:val="000000"/>
          <w:sz w:val="24"/>
        </w:rPr>
        <w:t xml:space="preserve">” means the repurchase of any Note by the Company pursuant to </w:t>
      </w:r>
      <w:r>
        <w:rPr>
          <w:rFonts w:ascii="Times New Roman" w:hAnsi="Times New Roman"/>
          <w:b/>
          <w:color w:val="000000"/>
          <w:sz w:val="24"/>
        </w:rPr>
        <w:t>Section 4.03(B)</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Purchase Agreement</w:t>
      </w:r>
      <w:r>
        <w:rPr>
          <w:rFonts w:ascii="Times New Roman" w:hAnsi="Times New Roman"/>
          <w:color w:val="000000"/>
          <w:sz w:val="24"/>
        </w:rPr>
        <w:t>” means that certain Purchase Agreement, dated December 2, 2025, between the Company and the representatives of the Initial Purchasers.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Qualified Successor Entity</w:t>
      </w:r>
      <w:r>
        <w:rPr>
          <w:rFonts w:ascii="Times New Roman" w:hAnsi="Times New Roman"/>
          <w:color w:val="000000"/>
          <w:sz w:val="24"/>
        </w:rPr>
        <w:t xml:space="preserve">” means, with respect to a Business Combination Event, a public company limited by shares or a corporation;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limited liability company, limited partnership or other similar entity will also constitute a Qualified Successor Entity with respect to such Business Combination Event if either (A) such Business Combination Event is an Exempted Fundamental Change;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of 1986, as amended, for Holders or beneficial owners of the Notes; and (ii) such Business Combination Event constitutes an Ordinary Share Change Event whose Reference Property consists solely of any combination of cash in U.S. dollars and shares of common stock or other corporate Common Equity interests of an entity that is (x) treated as a corporation for U.S. federal income tax purposes; (y) duly organized or incorporated and existing under the laws of Australia, the United States of America, any State thereof or the District of Columbia; and (z) the direct or indirect parent of such limited liability company, limited partnership or other similar entity.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Redemption</w:t>
      </w:r>
      <w:r>
        <w:rPr>
          <w:rFonts w:ascii="Times New Roman" w:hAnsi="Times New Roman"/>
          <w:color w:val="000000"/>
          <w:sz w:val="24"/>
        </w:rPr>
        <w:t>” means a Provisional Redemption or a Tax Redemption.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Redemption Date</w:t>
      </w:r>
      <w:r>
        <w:rPr>
          <w:rFonts w:ascii="Times New Roman" w:hAnsi="Times New Roman"/>
          <w:color w:val="000000"/>
          <w:sz w:val="24"/>
        </w:rPr>
        <w:t xml:space="preserve">” means the date fixed, pursuant to </w:t>
      </w:r>
      <w:r>
        <w:rPr>
          <w:rFonts w:ascii="Times New Roman" w:hAnsi="Times New Roman"/>
          <w:b/>
          <w:color w:val="000000"/>
          <w:sz w:val="24"/>
        </w:rPr>
        <w:t>Section 4.03(E)</w:t>
      </w:r>
      <w:r>
        <w:rPr>
          <w:rFonts w:ascii="Times New Roman" w:hAnsi="Times New Roman"/>
          <w:color w:val="000000"/>
          <w:sz w:val="24"/>
        </w:rPr>
        <w:t>, for the settlement of the repurchase of any Notes by the Company pursuant to a Redemption.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Redemption Notice Date</w:t>
      </w:r>
      <w:r>
        <w:rPr>
          <w:rFonts w:ascii="Times New Roman" w:hAnsi="Times New Roman"/>
          <w:color w:val="000000"/>
          <w:sz w:val="24"/>
        </w:rPr>
        <w:t xml:space="preserve">” means, with respect to a Redemption, the date on which the Company sends the Redemption Notice for such Redemption pursuant to </w:t>
      </w:r>
      <w:r>
        <w:rPr>
          <w:rFonts w:ascii="Times New Roman" w:hAnsi="Times New Roman"/>
          <w:b/>
          <w:color w:val="000000"/>
          <w:sz w:val="24"/>
        </w:rPr>
        <w:t>Section 4.03(G)</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Redemption Price</w:t>
      </w:r>
      <w:r>
        <w:rPr>
          <w:rFonts w:ascii="Times New Roman" w:hAnsi="Times New Roman"/>
          <w:color w:val="000000"/>
          <w:sz w:val="24"/>
        </w:rPr>
        <w:t xml:space="preserve">” means the cash price payable by the Company to redeem any Note upon its Redemption, calculated pursuant to </w:t>
      </w:r>
      <w:r>
        <w:rPr>
          <w:rFonts w:ascii="Times New Roman" w:hAnsi="Times New Roman"/>
          <w:b/>
          <w:color w:val="000000"/>
          <w:sz w:val="24"/>
        </w:rPr>
        <w:t>Section 4.03(F)</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Regular Record Date</w:t>
      </w:r>
      <w:r>
        <w:rPr>
          <w:rFonts w:ascii="Times New Roman" w:hAnsi="Times New Roman"/>
          <w:color w:val="000000"/>
          <w:sz w:val="24"/>
        </w:rPr>
        <w:t>” has the following meaning with respect to an Interest Payment Date: (A) if such Interest Payment Date occurs on June 1, the immediately preceding May 15 (whether or not a Business Day); and (B) if such Interest Payment Date occurs on December 1, the immediately preceding November 15 (whether or not a Business Day).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Repurchase Upon Fundamental Change</w:t>
      </w:r>
      <w:r>
        <w:rPr>
          <w:rFonts w:ascii="Times New Roman" w:hAnsi="Times New Roman"/>
          <w:color w:val="000000"/>
          <w:sz w:val="24"/>
        </w:rPr>
        <w:t xml:space="preserve">” means the repurchase of any Note by the Company pursuant to </w:t>
      </w:r>
      <w:r>
        <w:rPr>
          <w:rFonts w:ascii="Times New Roman" w:hAnsi="Times New Roman"/>
          <w:b/>
          <w:color w:val="000000"/>
          <w:sz w:val="24"/>
        </w:rPr>
        <w:t>Section 4.02</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Responsible Officer</w:t>
      </w:r>
      <w:r>
        <w:rPr>
          <w:rFonts w:ascii="Times New Roman" w:hAnsi="Times New Roman"/>
          <w:color w:val="000000"/>
          <w:sz w:val="24"/>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Restricted Note Legend</w:t>
      </w:r>
      <w:r>
        <w:rPr>
          <w:rFonts w:ascii="Times New Roman" w:hAnsi="Times New Roman"/>
          <w:color w:val="000000"/>
          <w:sz w:val="24"/>
        </w:rPr>
        <w:t xml:space="preserve">” means a legend substantially in the form set forth in </w:t>
      </w:r>
      <w:r>
        <w:rPr>
          <w:rFonts w:ascii="Times New Roman" w:hAnsi="Times New Roman"/>
          <w:b/>
          <w:color w:val="000000"/>
          <w:sz w:val="24"/>
        </w:rPr>
        <w:t>Exhibit B-1</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Restricted Share Legend</w:t>
      </w:r>
      <w:r>
        <w:rPr>
          <w:rFonts w:ascii="Times New Roman" w:hAnsi="Times New Roman"/>
          <w:color w:val="000000"/>
          <w:sz w:val="24"/>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Rule 12b-25</w:t>
      </w:r>
      <w:r>
        <w:rPr>
          <w:rFonts w:ascii="Times New Roman" w:hAnsi="Times New Roman"/>
          <w:color w:val="000000"/>
          <w:sz w:val="24"/>
        </w:rPr>
        <w:t>” means Rule 12b-25 under the Exchange Act (or any successor rule thereto), as the same may be amended from time to time.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Rule 144</w:t>
      </w:r>
      <w:r>
        <w:rPr>
          <w:rFonts w:ascii="Times New Roman" w:hAnsi="Times New Roman"/>
          <w:color w:val="000000"/>
          <w:sz w:val="24"/>
        </w:rPr>
        <w:t>” means Rule 144 under the Securities Act (or any successor rule thereto), as the same may be amended from time to time.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Rule 144A</w:t>
      </w:r>
      <w:r>
        <w:rPr>
          <w:rFonts w:ascii="Times New Roman" w:hAnsi="Times New Roman"/>
          <w:color w:val="000000"/>
          <w:sz w:val="24"/>
        </w:rPr>
        <w:t>” means Rule 144A under the Securities Act (or any successor rule thereto), as the same may be amended from time to time.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Scheduled Trading Day</w:t>
      </w:r>
      <w:r>
        <w:rPr>
          <w:rFonts w:ascii="Times New Roman" w:hAnsi="Times New Roman"/>
          <w:color w:val="000000"/>
          <w:sz w:val="24"/>
        </w:rPr>
        <w:t>” means any day that is scheduled to be a Trading Day on the principal U.S. national or regional securities exchange on which the Ordinary Shares are then listed or, if the Ordinary Shares are not then listed on a U.S. national or regional securities exchange, on the principal other market on which the Ordinary Shares are then traded. If the Ordinary Shares are not so listed or traded, then “Scheduled Trading Day” means a Business Day.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SEC</w:t>
      </w:r>
      <w:r>
        <w:rPr>
          <w:rFonts w:ascii="Times New Roman" w:hAnsi="Times New Roman"/>
          <w:color w:val="000000"/>
          <w:sz w:val="24"/>
        </w:rPr>
        <w:t>” means the U.S. Securities and Exchange Commission.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Securities Act</w:t>
      </w:r>
      <w:r>
        <w:rPr>
          <w:rFonts w:ascii="Times New Roman" w:hAnsi="Times New Roman"/>
          <w:color w:val="000000"/>
          <w:sz w:val="24"/>
        </w:rPr>
        <w:t>” means the U.S. Securities Act of 1933, as amended.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Security</w:t>
      </w:r>
      <w:r>
        <w:rPr>
          <w:rFonts w:ascii="Times New Roman" w:hAnsi="Times New Roman"/>
          <w:color w:val="000000"/>
          <w:sz w:val="24"/>
        </w:rPr>
        <w:t>” means any Note or Conversion Share.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Settlement Method</w:t>
      </w:r>
      <w:r>
        <w:rPr>
          <w:rFonts w:ascii="Times New Roman" w:hAnsi="Times New Roman"/>
          <w:color w:val="000000"/>
          <w:sz w:val="24"/>
        </w:rPr>
        <w:t>” means Cash Settlement, Physical Settlement or Combination Settlement.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- 10 -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Share Price</w:t>
      </w:r>
      <w:r>
        <w:rPr>
          <w:rFonts w:ascii="Times New Roman" w:hAnsi="Times New Roman"/>
          <w:color w:val="000000"/>
          <w:sz w:val="24"/>
        </w:rPr>
        <w:t xml:space="preserve">” has the following meaning for any Make-Whole Fundamental Change: (A) if the holders of Ordinary Shares receive only cash in consideration for their Ordinary Shares in such Make-Whole Fundamental Change and such Make-Whole Fundamental Change is pursuant to </w:t>
      </w:r>
      <w:r>
        <w:rPr>
          <w:rFonts w:ascii="Times New Roman" w:hAnsi="Times New Roman"/>
          <w:b/>
          <w:color w:val="000000"/>
          <w:sz w:val="24"/>
        </w:rPr>
        <w:t>clause (B)</w:t>
      </w:r>
      <w:r>
        <w:rPr>
          <w:rFonts w:ascii="Times New Roman" w:hAnsi="Times New Roman"/>
          <w:color w:val="000000"/>
          <w:sz w:val="24"/>
        </w:rPr>
        <w:t xml:space="preserve"> of the definition of “Fundamental Change,” then the Share Price is the amount of cash paid per Ordinary Share in such Make-Whole Fundamental Change; and (B) in all other cases, the Share Price is the average of the Last Reported Sale Prices per Ordinary Share for the five (5) consecutive Trading Days ending on, and including, the Trading Day immediately before the Make-Whole Fundamental Change Effective Date of such Make-Whole Fundamental Change.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Shoe Option</w:t>
      </w:r>
      <w:r>
        <w:rPr>
          <w:rFonts w:ascii="Times New Roman" w:hAnsi="Times New Roman"/>
          <w:color w:val="000000"/>
          <w:sz w:val="24"/>
        </w:rPr>
        <w:t>” means the Initial Purchasers’ option to purchase up to one hundred fifty million dollars ($150,000,000) aggregate principal amount of additional Notes as provided for in the Purchase Agreement.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Significant Subsidiary</w:t>
      </w:r>
      <w:r>
        <w:rPr>
          <w:rFonts w:ascii="Times New Roman" w:hAnsi="Times New Roman"/>
          <w:color w:val="000000"/>
          <w:sz w:val="24"/>
        </w:rPr>
        <w:t xml:space="preserve">” means, with respect to any Person, any Subsidiary of such Person that constitutes a “significant subsidiary” (as defined in Rule 1-02(w) of Regulation S-X under the Exchange Act) of such Person;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fifty million dollars ($50,000,000).</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Special Interest</w:t>
      </w:r>
      <w:r>
        <w:rPr>
          <w:rFonts w:ascii="Times New Roman" w:hAnsi="Times New Roman"/>
          <w:color w:val="000000"/>
          <w:sz w:val="24"/>
        </w:rPr>
        <w:t xml:space="preserve">” means any interest that accrues on any Note pursuant to </w:t>
      </w:r>
      <w:r>
        <w:rPr>
          <w:rFonts w:ascii="Times New Roman" w:hAnsi="Times New Roman"/>
          <w:b/>
          <w:color w:val="000000"/>
          <w:sz w:val="24"/>
        </w:rPr>
        <w:t>Section 7.03</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Specified Dollar Amount</w:t>
      </w:r>
      <w:r>
        <w:rPr>
          <w:rFonts w:ascii="Times New Roman" w:hAnsi="Times New Roman"/>
          <w:color w:val="000000"/>
          <w:sz w:val="24"/>
        </w:rPr>
        <w:t>” means, with respect to the Conversion of a Note to which Combination Settlement applies, the maximum cash amount per $1,000 principal amount of such Note deliverable upon such Conversion (excluding cash in lieu of any fractional Ordinary Share).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Subsidiary</w:t>
      </w:r>
      <w:r>
        <w:rPr>
          <w:rFonts w:ascii="Times New Roman" w:hAnsi="Times New Roman"/>
          <w:color w:val="000000"/>
          <w:sz w:val="24"/>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shareholders’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Tax</w:t>
      </w:r>
      <w:r>
        <w:rPr>
          <w:rFonts w:ascii="Times New Roman" w:hAnsi="Times New Roman"/>
          <w:color w:val="000000"/>
          <w:sz w:val="24"/>
        </w:rPr>
        <w:t>” means any tax, duty, levy, impost, assessment or other governmental charge (including penalties and interest and other similar liabilities related thereto). For the avoidance of doubt, any withholding or deduction made for or on account of FATCA shall be deemed to be a “Tax.”</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- 11 -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Tax Redemption</w:t>
      </w:r>
      <w:r>
        <w:rPr>
          <w:rFonts w:ascii="Times New Roman" w:hAnsi="Times New Roman"/>
          <w:color w:val="000000"/>
          <w:sz w:val="24"/>
        </w:rPr>
        <w:t xml:space="preserve">” means the repurchase of any Note pursuant to </w:t>
      </w:r>
      <w:r>
        <w:rPr>
          <w:rFonts w:ascii="Times New Roman" w:hAnsi="Times New Roman"/>
          <w:b/>
          <w:color w:val="000000"/>
          <w:sz w:val="24"/>
        </w:rPr>
        <w:t>Section 4.03(C)</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Trading Day</w:t>
      </w:r>
      <w:r>
        <w:rPr>
          <w:rFonts w:ascii="Times New Roman" w:hAnsi="Times New Roman"/>
          <w:color w:val="000000"/>
          <w:sz w:val="24"/>
        </w:rPr>
        <w:t>” means any day on which (A) trading in the Ordinary Shares generally occurs on the principal U.S. national or regional securities exchange on which the Ordinary Shares are then listed or, if the Ordinary Shares are not then listed on a U.S. national or regional securities exchange, on the principal other market on which the Ordinary Shares are then traded; and (B) there is no Market Disruption Event. If the Ordinary Shares are not so listed or traded, then “Trading Day” means a Business Day.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Trading Price</w:t>
      </w:r>
      <w:r>
        <w:rPr>
          <w:rFonts w:ascii="Times New Roman" w:hAnsi="Times New Roman"/>
          <w:color w:val="000000"/>
          <w:sz w:val="24"/>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Ordinary Share on such Trading Day and the Conversion Rate on such Trading Day.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Transfer-Restricted Security</w:t>
      </w:r>
      <w:r>
        <w:rPr>
          <w:rFonts w:ascii="Times New Roman" w:hAnsi="Times New Roman"/>
          <w:color w:val="000000"/>
          <w:sz w:val="24"/>
        </w:rPr>
        <w:t xml:space="preserve">” means any Security that constitutes a “restricted security” (as defined in Rule 144);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Security will cease to be a Transfer-Restricted Security upon the earliest to occur of the following events: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such Security is sold or otherwise transferred to a Person (other than the Company or an Affiliate of the Company) pursuant to a registration statement that was effective under the Securities Act at the time of such sale or transfer;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- 12 -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is under no obligation to determine whether any Security is a Transfer-Restricted Security and may conclusively rely on an Officer’s Certificate with respect thereto.</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Trust Indenture Act</w:t>
      </w:r>
      <w:r>
        <w:rPr>
          <w:rFonts w:ascii="Times New Roman" w:hAnsi="Times New Roman"/>
          <w:color w:val="000000"/>
          <w:sz w:val="24"/>
        </w:rPr>
        <w:t>” means the U.S. Trust Indenture Act of 1939, as amended.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Trustee</w:t>
      </w:r>
      <w:r>
        <w:rPr>
          <w:rFonts w:ascii="Times New Roman" w:hAnsi="Times New Roman"/>
          <w:color w:val="000000"/>
          <w:sz w:val="24"/>
        </w:rPr>
        <w:t>” means the Person named as such in the first paragraph of this Indenture until a successor replaces it in accordance with the provisions of this Indenture and, thereafter, means such successor.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VWAP Market Disruption Event</w:t>
      </w:r>
      <w:r>
        <w:rPr>
          <w:rFonts w:ascii="Times New Roman" w:hAnsi="Times New Roman"/>
          <w:color w:val="000000"/>
          <w:sz w:val="24"/>
        </w:rPr>
        <w:t>” means, with respect to any date, (A) the failure by the principal U.S. national or regional securities exchange on which the Ordinary Shares are then listed, or, if the Ordinary Shares are not then listed on a U.S. national or regional securities exchange, the principal other market on which the Ordinary Shares are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Ordinary Shares or in any options contracts or futures contracts relating to the Ordinary Shares, and such suspension or limitation occurs or exists at any time before 1:00 p.m., New York City time, on such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VWAP Trading Day</w:t>
      </w:r>
      <w:r>
        <w:rPr>
          <w:rFonts w:ascii="Times New Roman" w:hAnsi="Times New Roman"/>
          <w:color w:val="000000"/>
          <w:sz w:val="24"/>
        </w:rPr>
        <w:t>” means a day on which (A) there is no VWAP Market Disruption Event; and (B) trading in the Ordinary Shares generally occurs on the principal U.S. national or regional securities exchange on which the Ordinary Shares are then listed or, if the Ordinary Shares are not then listed on a U.S. national or regional securities exchange, on the principal other market on which the Ordinary Shares are then traded. If the Ordinary Shares are not so listed or traded, then “VWAP Trading Day” means a Business Day.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4"/>
        </w:rPr>
        <w:t>Wholly Owned Subsidiary</w:t>
      </w:r>
      <w:r>
        <w:rPr>
          <w:rFonts w:ascii="Times New Roman" w:hAnsi="Times New Roman"/>
          <w:color w:val="000000"/>
          <w:sz w:val="24"/>
        </w:rPr>
        <w:t>” of a Person means any Subsidiary of such Person all of the outstanding Capital Stock or other ownership interests of which (other than directors’ qualifying shares) are owned by such Person or one or more Wholly Owned Subsidiaries of such Person.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- 13 -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1.02.  Other Definitions.</w:t>
      </w:r>
    </w:p>
    <w:p>
      <w:pPr>
        <w:pStyle w:val="TextBody"/>
        <w:bidi w:val="0"/>
        <w:spacing w:before="0" w:after="0"/>
        <w:jc w:val="both"/>
        <w:rPr>
          <w:rFonts w:ascii="Times New Roman" w:hAnsi="Times New Roman"/>
          <w:b/>
          <w:smallCaps/>
          <w:sz w:val="20"/>
        </w:rPr>
      </w:pPr>
      <w:r>
        <w:rPr>
          <w:rFonts w:ascii="Times New Roman" w:hAnsi="Times New Roman"/>
          <w:b/>
          <w:smallCaps/>
          <w:sz w:val="20"/>
        </w:rPr>
      </w:r>
    </w:p>
    <w:p>
      <w:pPr>
        <w:pStyle w:val="Normal"/>
        <w:bidi w:val="0"/>
        <w:spacing w:before="0" w:after="0"/>
        <w:jc w:val="left"/>
        <w:rPr>
          <w:sz w:val="4"/>
          <w:szCs w:val="4"/>
        </w:rPr>
      </w:pPr>
      <w:r>
        <w:rPr>
          <w:sz w:val="4"/>
          <w:szCs w:val="4"/>
        </w:rPr>
      </w:r>
      <w:bookmarkStart w:id="209" w:name="z07bd8f73a8ef4f4ea48e5371bcf26439"/>
      <w:bookmarkStart w:id="210" w:name="z07bd8f73a8ef4f4ea48e5371bcf26439"/>
      <w:bookmarkEnd w:id="210"/>
    </w:p>
    <w:tbl>
      <w:tblPr>
        <w:tblW w:w="7045" w:type="dxa"/>
        <w:jc w:val="left"/>
        <w:tblInd w:w="0" w:type="dxa"/>
        <w:tblLayout w:type="fixed"/>
        <w:tblCellMar>
          <w:top w:w="0" w:type="dxa"/>
          <w:left w:w="0" w:type="dxa"/>
          <w:bottom w:w="0" w:type="dxa"/>
          <w:right w:w="0" w:type="dxa"/>
        </w:tblCellMar>
      </w:tblPr>
      <w:tblGrid>
        <w:gridCol w:w="5675"/>
        <w:gridCol w:w="1370"/>
      </w:tblGrid>
      <w:tr>
        <w:trPr/>
        <w:tc>
          <w:tcPr>
            <w:tcW w:w="56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Term</w:t>
            </w:r>
          </w:p>
        </w:tc>
        <w:tc>
          <w:tcPr>
            <w:tcW w:w="1370" w:type="dxa"/>
            <w:tcBorders/>
            <w:vAlign w:val="center"/>
          </w:tcPr>
          <w:p>
            <w:pPr>
              <w:pStyle w:val="TableContents"/>
              <w:bidi w:val="0"/>
              <w:spacing w:before="0" w:after="0"/>
              <w:jc w:val="center"/>
              <w:rPr>
                <w:rFonts w:ascii="Times New Roman" w:hAnsi="Times New Roman"/>
                <w:sz w:val="24"/>
              </w:rPr>
            </w:pPr>
            <w:r>
              <w:rPr>
                <w:rFonts w:ascii="Times New Roman" w:hAnsi="Times New Roman"/>
                <w:sz w:val="24"/>
              </w:rPr>
              <w:t>Defined in</w:t>
            </w:r>
          </w:p>
          <w:p>
            <w:pPr>
              <w:pStyle w:val="TableContents"/>
              <w:bidi w:val="0"/>
              <w:spacing w:before="0" w:after="0"/>
              <w:jc w:val="center"/>
              <w:rPr>
                <w:rFonts w:ascii="Times New Roman" w:hAnsi="Times New Roman"/>
                <w:sz w:val="24"/>
              </w:rPr>
            </w:pPr>
            <w:r>
              <w:rPr>
                <w:rFonts w:ascii="Times New Roman" w:hAnsi="Times New Roman"/>
                <w:sz w:val="24"/>
              </w:rPr>
              <w:t>Section</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Additional Amounts</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3.05(A)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Additional Shares</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5.07(A)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Business Combination Event</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6.01(A)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Cash Settlement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5.03(A)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Combination Settlement</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5.03(A)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Conversion Agent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2.06(A)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Conversion Consideration</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5.03(B)</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Default Interest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2.05(B)</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Defaulted Amount</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2.05(B)</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Deferred Additional Interest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3.04(C)(i)</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Deferred Additional Interest Demand Request</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3.04(C)(i)</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Event of Default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7.01(A)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Expiration Date</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5.05(A)(v)</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Expiration Time</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5.05(A)(v)</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FATCA</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3.05(A)(iv)</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Fundamental Change Notice</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4.02(E)</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Fundamental Change Repurchase Right</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4.02(A)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Initial Notes</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2.03(A)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Measurement Period</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5.01(C)(i)(2)</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Notice of Election to Pay Deferred Additional Interest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3.04(C)(i)</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Ordinary Share Change Event</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5.09(A)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Paying Agent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2.06(A)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Physical Settlement</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5.03(A)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Redemption Notice</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4.03(G)</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Reference Property</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5.09(A)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Reference Property Unit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5.09(A)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Register</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2.06(B)</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Registrar</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2.06(A)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Relevant Taxing Jurisdiction</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3.05(A)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Reporting Event of Default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7.03(A)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Specified Courts</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11.07</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Spin-Off</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5.05(A)(iii)(2)</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Spin-Off Valuation Period</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5.05(A)(iii)(2)</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Stated Interest</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2.05(A)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Successor Entity</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6.01(A)</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Successor Person</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5.09(A)</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Tax Redemption Opt-Out Election</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4.03(C)(ii)</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Tax Redemption Opt-Out Election Notice</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4.03(C)(ii)(1)</w:t>
            </w:r>
          </w:p>
        </w:tc>
      </w:tr>
      <w:tr>
        <w:trPr/>
        <w:tc>
          <w:tcPr>
            <w:tcW w:w="5675" w:type="dxa"/>
            <w:tcBorders/>
            <w:shd w:fill="CCEEFF" w:val="clear"/>
            <w:vAlign w:val="center"/>
          </w:tcPr>
          <w:p>
            <w:pPr>
              <w:pStyle w:val="TableContents"/>
              <w:bidi w:val="0"/>
              <w:spacing w:before="0" w:after="0"/>
              <w:jc w:val="both"/>
              <w:rPr/>
            </w:pPr>
            <w:r>
              <w:rPr/>
              <w:t>“</w:t>
            </w:r>
            <w:r>
              <w:rPr>
                <w:rFonts w:ascii="Times New Roman" w:hAnsi="Times New Roman"/>
                <w:b/>
                <w:sz w:val="24"/>
              </w:rPr>
              <w:t>Tender/Exchange Offer Valuation Period</w:t>
            </w:r>
            <w:r>
              <w:rPr>
                <w:rFonts w:ascii="Times New Roman" w:hAnsi="Times New Roman"/>
                <w:sz w:val="24"/>
              </w:rPr>
              <w:t>”</w:t>
            </w:r>
          </w:p>
        </w:tc>
        <w:tc>
          <w:tcPr>
            <w:tcW w:w="1370" w:type="dxa"/>
            <w:tcBorders/>
            <w:shd w:fill="CCEEFF" w:val="clear"/>
            <w:vAlign w:val="center"/>
          </w:tcPr>
          <w:p>
            <w:pPr>
              <w:pStyle w:val="TableContents"/>
              <w:bidi w:val="0"/>
              <w:spacing w:before="0" w:after="0"/>
              <w:jc w:val="right"/>
              <w:rPr>
                <w:rFonts w:ascii="Times New Roman" w:hAnsi="Times New Roman"/>
                <w:b/>
                <w:sz w:val="24"/>
              </w:rPr>
            </w:pPr>
            <w:r>
              <w:rPr>
                <w:rFonts w:ascii="Times New Roman" w:hAnsi="Times New Roman"/>
                <w:b/>
                <w:sz w:val="24"/>
              </w:rPr>
              <w:t>5.05(A)(v)</w:t>
            </w:r>
          </w:p>
        </w:tc>
      </w:tr>
      <w:tr>
        <w:trPr/>
        <w:tc>
          <w:tcPr>
            <w:tcW w:w="5675" w:type="dxa"/>
            <w:tcBorders/>
            <w:vAlign w:val="center"/>
          </w:tcPr>
          <w:p>
            <w:pPr>
              <w:pStyle w:val="TableContents"/>
              <w:bidi w:val="0"/>
              <w:spacing w:before="0" w:after="0"/>
              <w:jc w:val="both"/>
              <w:rPr/>
            </w:pPr>
            <w:r>
              <w:rPr/>
              <w:t>“</w:t>
            </w:r>
            <w:r>
              <w:rPr>
                <w:rFonts w:ascii="Times New Roman" w:hAnsi="Times New Roman"/>
                <w:b/>
                <w:sz w:val="24"/>
              </w:rPr>
              <w:t>Trading Price Condition</w:t>
            </w:r>
            <w:r>
              <w:rPr>
                <w:rFonts w:ascii="Times New Roman" w:hAnsi="Times New Roman"/>
                <w:sz w:val="24"/>
              </w:rPr>
              <w:t>”</w:t>
            </w:r>
          </w:p>
        </w:tc>
        <w:tc>
          <w:tcPr>
            <w:tcW w:w="1370" w:type="dxa"/>
            <w:tcBorders/>
            <w:vAlign w:val="center"/>
          </w:tcPr>
          <w:p>
            <w:pPr>
              <w:pStyle w:val="TableContents"/>
              <w:bidi w:val="0"/>
              <w:spacing w:before="0" w:after="0"/>
              <w:jc w:val="right"/>
              <w:rPr>
                <w:rFonts w:ascii="Times New Roman" w:hAnsi="Times New Roman"/>
                <w:b/>
                <w:sz w:val="24"/>
              </w:rPr>
            </w:pPr>
            <w:r>
              <w:rPr>
                <w:rFonts w:ascii="Times New Roman" w:hAnsi="Times New Roman"/>
                <w:b/>
                <w:sz w:val="24"/>
              </w:rPr>
              <w:t>5.01(C)(i)(2)</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1.03.  Rules of Construction.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For purposes of this Indenture: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w:t>
      </w:r>
      <w:r>
        <w:rPr>
          <w:rFonts w:ascii="Times New Roman" w:hAnsi="Times New Roman"/>
          <w:color w:val="000000"/>
          <w:sz w:val="24"/>
        </w:rPr>
        <w:t>or” is not exclusive;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w:t>
      </w:r>
      <w:r>
        <w:rPr>
          <w:rFonts w:ascii="Times New Roman" w:hAnsi="Times New Roman"/>
          <w:color w:val="000000"/>
          <w:sz w:val="24"/>
        </w:rPr>
        <w:t>including” means “including without limitation”;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w:t>
      </w:r>
      <w:r>
        <w:rPr>
          <w:rFonts w:ascii="Times New Roman" w:hAnsi="Times New Roman"/>
          <w:color w:val="000000"/>
          <w:sz w:val="24"/>
        </w:rPr>
        <w:t>will” expresses a command;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“average” of a set of numerical values refers to the arithmetic average of such numerical values;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- 14 -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words in the singular include the plural and in the plural include the singular, unless the context requires otherwise;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w:t>
      </w:r>
      <w:r>
        <w:rPr>
          <w:rFonts w:ascii="Times New Roman" w:hAnsi="Times New Roman"/>
          <w:color w:val="000000"/>
          <w:sz w:val="24"/>
        </w:rPr>
        <w:t>herein,” “hereof” and other words of similar import refer to this Indenture as a whole and not to any particular Article, Section or other subdivision of this Indenture, unless the context requires otherwise;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references to currency mean the lawful currency of the United States of America, unless the context requires otherwise;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exhibits, schedules and other attachments to this Indenture are deemed to form part of this Indenture; and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the term “</w:t>
      </w:r>
      <w:r>
        <w:rPr>
          <w:rFonts w:ascii="Times New Roman" w:hAnsi="Times New Roman"/>
          <w:b/>
          <w:color w:val="000000"/>
          <w:sz w:val="24"/>
        </w:rPr>
        <w:t>interest</w:t>
      </w:r>
      <w:r>
        <w:rPr>
          <w:rFonts w:ascii="Times New Roman" w:hAnsi="Times New Roman"/>
          <w:color w:val="000000"/>
          <w:sz w:val="24"/>
        </w:rPr>
        <w:t>,” when used with respect to a Note, includes any Default Interest, Additional Interest (including, if applicable, Deferred Additional Interest and interest on such Deferred Additional Interest) and Special Interest, unless the context requires otherwise.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2.  THE NOTES</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2.01.  Form, Dating and Denominations.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Notes and the Trustee’s certificate of authentication will be substantially in the form set forth in </w:t>
      </w:r>
      <w:r>
        <w:rPr>
          <w:rFonts w:ascii="Times New Roman" w:hAnsi="Times New Roman"/>
          <w:b/>
          <w:color w:val="000000"/>
          <w:sz w:val="24"/>
        </w:rPr>
        <w:t>Exhibit A</w:t>
      </w:r>
      <w:r>
        <w:rPr>
          <w:rFonts w:ascii="Times New Roman" w:hAnsi="Times New Roman"/>
          <w:color w:val="000000"/>
          <w:sz w:val="24"/>
        </w:rPr>
        <w:t xml:space="preserve">. The Notes will bear the legends required by </w:t>
      </w:r>
      <w:r>
        <w:rPr>
          <w:rFonts w:ascii="Times New Roman" w:hAnsi="Times New Roman"/>
          <w:b/>
          <w:color w:val="000000"/>
          <w:sz w:val="24"/>
        </w:rPr>
        <w:t>Section 2.09</w:t>
      </w:r>
      <w:r>
        <w:rPr>
          <w:rFonts w:ascii="Times New Roman" w:hAnsi="Times New Roman"/>
          <w:color w:val="000000"/>
          <w:sz w:val="24"/>
        </w:rPr>
        <w:t xml:space="preserve"> and may bear notations, legends or endorsements required by law, stock exchange rule or usage or the Depositary. Each Note will be dated as of the date of its authentication.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hAnsi="Times New Roman"/>
          <w:b/>
          <w:color w:val="000000"/>
          <w:sz w:val="24"/>
        </w:rPr>
        <w:t>Section 2.10</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Notes will be issuable only in registered form without interest coupons and only in Authorized Denominations.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certificate representing a Note will bear a unique registration number that is not affixed to any other certificate representing another outstanding Note.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to the extent that any provision of any Note conflicts with the provisions of this Indenture, the provisions of this Indenture will control for purposes of this Indenture and such Note.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- 15 -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2.02.  Execution, Authentication and Delivery.</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Due Execution by the Company</w:t>
      </w:r>
      <w:r>
        <w:rPr>
          <w:rFonts w:ascii="Times New Roman" w:hAnsi="Times New Roman"/>
          <w:color w:val="000000"/>
          <w:sz w:val="24"/>
        </w:rPr>
        <w:t>. At least one (1) duly authorized Officer will sign the Notes on behalf of the Company by manual, electronic or facsimile signature. A Note’s validity will not be affected by the failure of any Officer whose signature is on any Note to hold, at the time such Note is authenticated, the same or any other office at the Company.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Authentication by the Trustee and Delivery</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hAnsi="Times New Roman"/>
          <w:b/>
          <w:color w:val="000000"/>
          <w:sz w:val="24"/>
        </w:rPr>
        <w:t>Section 2.02(A)</w:t>
      </w:r>
      <w:r>
        <w:rPr>
          <w:rFonts w:ascii="Times New Roman" w:hAnsi="Times New Roman"/>
          <w:color w:val="000000"/>
          <w:sz w:val="24"/>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2.03.  Initial Notes and Additional Notes.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Initial Notes</w:t>
      </w:r>
      <w:r>
        <w:rPr>
          <w:rFonts w:ascii="Times New Roman" w:hAnsi="Times New Roman"/>
          <w:color w:val="000000"/>
          <w:sz w:val="24"/>
        </w:rPr>
        <w:t xml:space="preserve">. On the Issue Date, there will be originally issued one billion one  hundred fifty million dollars ($1,150,000,000) aggregate principal amount of Notes, subject to the provisions of this Indenture (including </w:t>
      </w:r>
      <w:r>
        <w:rPr>
          <w:rFonts w:ascii="Times New Roman" w:hAnsi="Times New Roman"/>
          <w:b/>
          <w:color w:val="000000"/>
          <w:sz w:val="24"/>
        </w:rPr>
        <w:t>Section 2.02</w:t>
      </w:r>
      <w:r>
        <w:rPr>
          <w:rFonts w:ascii="Times New Roman" w:hAnsi="Times New Roman"/>
          <w:color w:val="000000"/>
          <w:sz w:val="24"/>
        </w:rPr>
        <w:t xml:space="preserve">). Notes issued pursuant to this </w:t>
      </w:r>
      <w:r>
        <w:rPr>
          <w:rFonts w:ascii="Times New Roman" w:hAnsi="Times New Roman"/>
          <w:b/>
          <w:color w:val="000000"/>
          <w:sz w:val="24"/>
        </w:rPr>
        <w:t>Section 2.03(A)</w:t>
      </w:r>
      <w:r>
        <w:rPr>
          <w:rFonts w:ascii="Times New Roman" w:hAnsi="Times New Roman"/>
          <w:color w:val="000000"/>
          <w:sz w:val="24"/>
        </w:rPr>
        <w:t>, and any Notes issued in exchange therefor or in substitution thereof, are referred to in this Indenture as the “</w:t>
      </w:r>
      <w:r>
        <w:rPr>
          <w:rFonts w:ascii="Times New Roman" w:hAnsi="Times New Roman"/>
          <w:b/>
          <w:color w:val="000000"/>
          <w:sz w:val="24"/>
        </w:rPr>
        <w:t>Initial Notes</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Additional Notes</w:t>
      </w:r>
      <w:r>
        <w:rPr>
          <w:rFonts w:ascii="Times New Roman" w:hAnsi="Times New Roman"/>
          <w:color w:val="000000"/>
          <w:sz w:val="24"/>
        </w:rPr>
        <w:t xml:space="preserve">. Without the consent of any Holder, the Company may, subject to the provisions of this Indenture (including </w:t>
      </w:r>
      <w:r>
        <w:rPr>
          <w:rFonts w:ascii="Times New Roman" w:hAnsi="Times New Roman"/>
          <w:b/>
          <w:color w:val="000000"/>
          <w:sz w:val="24"/>
        </w:rPr>
        <w:t>Section 2.02</w:t>
      </w:r>
      <w:r>
        <w:rPr>
          <w:rFonts w:ascii="Times New Roman" w:hAnsi="Times New Roman"/>
          <w:color w:val="000000"/>
          <w:sz w:val="24"/>
        </w:rPr>
        <w:t xml:space="preserve">), originally issue additional Notes with the same terms as the Initial Notes (except, to the extent applicable, with respect to the date as of which interest begins to accrue on such additional Notes and the first Interest Payment Date for,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any such additional Notes (and any Notes that are resold after such Notes have been purchased or otherwise acquired by the Company or its Subsidiaries) are not fungible with other Notes issued under this Indenture for purposes of federal income tax or federal securities laws or, if applicable, the Depositary Procedures, then such additional or resold Notes will be identified by a separate CUSIP number or by no CUSIP number.</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- 16 -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2.04.  Method of Payment.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Global Notes</w:t>
      </w:r>
      <w:r>
        <w:rPr>
          <w:rFonts w:ascii="Times New Roman" w:hAnsi="Times New Roman"/>
          <w:color w:val="000000"/>
          <w:sz w:val="24"/>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Physical Notes</w:t>
      </w:r>
      <w:r>
        <w:rPr>
          <w:rFonts w:ascii="Times New Roman" w:hAnsi="Times New Roman"/>
          <w:color w:val="000000"/>
          <w:sz w:val="24"/>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2.05.  Accrual of Interest; Defaulted Amounts; When Payment Date is Not a Business Day.</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Accrual of Interest</w:t>
      </w:r>
      <w:r>
        <w:rPr>
          <w:rFonts w:ascii="Times New Roman" w:hAnsi="Times New Roman"/>
          <w:color w:val="000000"/>
          <w:sz w:val="24"/>
        </w:rPr>
        <w:t>. Each Note will accrue interest at a rate per annum equal to 1.00% (the “</w:t>
      </w:r>
      <w:r>
        <w:rPr>
          <w:rFonts w:ascii="Times New Roman" w:hAnsi="Times New Roman"/>
          <w:b/>
          <w:color w:val="000000"/>
          <w:sz w:val="24"/>
        </w:rPr>
        <w:t>Stated Interest</w:t>
      </w:r>
      <w:r>
        <w:rPr>
          <w:rFonts w:ascii="Times New Roman" w:hAnsi="Times New Roman"/>
          <w:color w:val="000000"/>
          <w:sz w:val="24"/>
        </w:rPr>
        <w:t xml:space="preserve">”), plus any Default Interest, Additional Interest and Special Interest that may accrue pursuant to </w:t>
      </w:r>
      <w:r>
        <w:rPr>
          <w:rFonts w:ascii="Times New Roman" w:hAnsi="Times New Roman"/>
          <w:b/>
          <w:color w:val="000000"/>
          <w:sz w:val="24"/>
        </w:rPr>
        <w:t>Sections 2.05(B)</w:t>
      </w:r>
      <w:r>
        <w:rPr>
          <w:rFonts w:ascii="Times New Roman" w:hAnsi="Times New Roman"/>
          <w:color w:val="000000"/>
          <w:sz w:val="24"/>
        </w:rPr>
        <w:t xml:space="preserve">, </w:t>
      </w:r>
      <w:r>
        <w:rPr>
          <w:rFonts w:ascii="Times New Roman" w:hAnsi="Times New Roman"/>
          <w:b/>
          <w:color w:val="000000"/>
          <w:sz w:val="24"/>
        </w:rPr>
        <w:t>3.04</w:t>
      </w:r>
      <w:r>
        <w:rPr>
          <w:rFonts w:ascii="Times New Roman" w:hAnsi="Times New Roman"/>
          <w:color w:val="000000"/>
          <w:sz w:val="24"/>
        </w:rPr>
        <w:t xml:space="preserve"> and </w:t>
      </w:r>
      <w:r>
        <w:rPr>
          <w:rFonts w:ascii="Times New Roman" w:hAnsi="Times New Roman"/>
          <w:b/>
          <w:color w:val="000000"/>
          <w:sz w:val="24"/>
        </w:rPr>
        <w:t>7.03</w:t>
      </w:r>
      <w:r>
        <w:rPr>
          <w:rFonts w:ascii="Times New Roman" w:hAnsi="Times New Roman"/>
          <w:color w:val="000000"/>
          <w:sz w:val="24"/>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4.02(D)</w:t>
      </w:r>
      <w:r>
        <w:rPr>
          <w:rFonts w:ascii="Times New Roman" w:hAnsi="Times New Roman"/>
          <w:color w:val="000000"/>
          <w:sz w:val="24"/>
        </w:rPr>
        <w:t xml:space="preserve">, </w:t>
      </w:r>
      <w:r>
        <w:rPr>
          <w:rFonts w:ascii="Times New Roman" w:hAnsi="Times New Roman"/>
          <w:b/>
          <w:color w:val="000000"/>
          <w:sz w:val="24"/>
        </w:rPr>
        <w:t>4.03(F)</w:t>
      </w:r>
      <w:r>
        <w:rPr>
          <w:rFonts w:ascii="Times New Roman" w:hAnsi="Times New Roman"/>
          <w:color w:val="000000"/>
          <w:sz w:val="24"/>
        </w:rPr>
        <w:t xml:space="preserve"> and </w:t>
      </w:r>
      <w:r>
        <w:rPr>
          <w:rFonts w:ascii="Times New Roman" w:hAnsi="Times New Roman"/>
          <w:b/>
          <w:color w:val="000000"/>
          <w:sz w:val="24"/>
        </w:rPr>
        <w:t>5.02(D)</w:t>
      </w:r>
      <w:r>
        <w:rPr>
          <w:rFonts w:ascii="Times New Roman" w:hAnsi="Times New Roman"/>
          <w:color w:val="000000"/>
          <w:sz w:val="24"/>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- 17 -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Defaulted Amounts</w:t>
      </w:r>
      <w:r>
        <w:rPr>
          <w:rFonts w:ascii="Times New Roman" w:hAnsi="Times New Roman"/>
          <w:color w:val="000000"/>
          <w:sz w:val="24"/>
        </w:rPr>
        <w:t>. If the Company fails to pay any amount (a “</w:t>
      </w:r>
      <w:r>
        <w:rPr>
          <w:rFonts w:ascii="Times New Roman" w:hAnsi="Times New Roman"/>
          <w:b/>
          <w:color w:val="000000"/>
          <w:sz w:val="24"/>
        </w:rPr>
        <w:t>Defaulted Amount</w:t>
      </w:r>
      <w:r>
        <w:rPr>
          <w:rFonts w:ascii="Times New Roman" w:hAnsi="Times New Roman"/>
          <w:color w:val="000000"/>
          <w:sz w:val="24"/>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hAnsi="Times New Roman"/>
          <w:b/>
          <w:color w:val="000000"/>
          <w:sz w:val="24"/>
        </w:rPr>
        <w:t>Default Interest</w:t>
      </w:r>
      <w:r>
        <w:rPr>
          <w:rFonts w:ascii="Times New Roman" w:hAnsi="Times New Roman"/>
          <w:color w:val="000000"/>
          <w:sz w:val="24"/>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hAnsi="Times New Roman"/>
          <w:i/>
          <w:color w:val="000000"/>
          <w:sz w:val="24"/>
        </w:rPr>
        <w:t>provided</w:t>
      </w:r>
      <w:r>
        <w:rPr>
          <w:rFonts w:ascii="Times New Roman" w:hAnsi="Times New Roman"/>
          <w:color w:val="000000"/>
          <w:sz w:val="24"/>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 For the avoidance of doubt, if any Defaulted Amounts, together with any required Default Interest, are paid to Holders in accordance with the terms of this Indenture prior to (x) the expiration of any applicable grace period with respect to the Default in the relevant payment set forth in </w:t>
      </w:r>
      <w:r>
        <w:rPr>
          <w:rFonts w:ascii="Times New Roman" w:hAnsi="Times New Roman"/>
          <w:b/>
          <w:color w:val="000000"/>
          <w:sz w:val="24"/>
        </w:rPr>
        <w:t>Section 7.01(A)</w:t>
      </w:r>
      <w:r>
        <w:rPr>
          <w:rFonts w:ascii="Times New Roman" w:hAnsi="Times New Roman"/>
          <w:color w:val="000000"/>
          <w:sz w:val="24"/>
        </w:rPr>
        <w:t xml:space="preserve">; or (y) if later, the delivery of any notice of acceleration pursuant to Section </w:t>
      </w:r>
      <w:r>
        <w:rPr>
          <w:rFonts w:ascii="Times New Roman" w:hAnsi="Times New Roman"/>
          <w:b/>
          <w:color w:val="000000"/>
          <w:sz w:val="24"/>
        </w:rPr>
        <w:t>7.02(B)</w:t>
      </w:r>
      <w:r>
        <w:rPr>
          <w:rFonts w:ascii="Times New Roman" w:hAnsi="Times New Roman"/>
          <w:color w:val="000000"/>
          <w:sz w:val="24"/>
        </w:rPr>
        <w:t xml:space="preserve"> with respect to the Event of Default relating to such Default in the relevant payment, such payment Default or Event of Default shall be deemed cured and the Notes shall not be subject to acceleration on account of such payment Default or Event of Default.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Delay of Payment When Payment Date is Not a Business Day</w:t>
      </w:r>
      <w:r>
        <w:rPr>
          <w:rFonts w:ascii="Times New Roman" w:hAnsi="Times New Roman"/>
          <w:color w:val="000000"/>
          <w:sz w:val="24"/>
        </w:rPr>
        <w:t>. If the due date for a payment on a Note as provided in this Indenture is not 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2.06.  Registrar, Paying Agent and Conversion Agent.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The Company will maintain (i) an office or agency in the continental United States where Notes may be presented for registration of transfer or for exchange (the “</w:t>
      </w:r>
      <w:r>
        <w:rPr>
          <w:rFonts w:ascii="Times New Roman" w:hAnsi="Times New Roman"/>
          <w:b/>
          <w:color w:val="000000"/>
          <w:sz w:val="24"/>
        </w:rPr>
        <w:t>Registrar</w:t>
      </w:r>
      <w:r>
        <w:rPr>
          <w:rFonts w:ascii="Times New Roman" w:hAnsi="Times New Roman"/>
          <w:color w:val="000000"/>
          <w:sz w:val="24"/>
        </w:rPr>
        <w:t>”); (ii) an office or agency in the continental United States where Notes may be presented for payment (the “</w:t>
      </w:r>
      <w:r>
        <w:rPr>
          <w:rFonts w:ascii="Times New Roman" w:hAnsi="Times New Roman"/>
          <w:b/>
          <w:color w:val="000000"/>
          <w:sz w:val="24"/>
        </w:rPr>
        <w:t>Paying Agent</w:t>
      </w:r>
      <w:r>
        <w:rPr>
          <w:rFonts w:ascii="Times New Roman" w:hAnsi="Times New Roman"/>
          <w:color w:val="000000"/>
          <w:sz w:val="24"/>
        </w:rPr>
        <w:t>”); and (iii) an office or agency in the continental United States where Notes may be presented for Conversion (the “</w:t>
      </w:r>
      <w:r>
        <w:rPr>
          <w:rFonts w:ascii="Times New Roman" w:hAnsi="Times New Roman"/>
          <w:b/>
          <w:color w:val="000000"/>
          <w:sz w:val="24"/>
        </w:rPr>
        <w:t>Conversion Agent</w:t>
      </w:r>
      <w:r>
        <w:rPr>
          <w:rFonts w:ascii="Times New Roman" w:hAnsi="Times New Roman"/>
          <w:color w:val="000000"/>
          <w:sz w:val="24"/>
        </w:rPr>
        <w:t xml:space="preserve">”). If the Company 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hAnsi="Times New Roman"/>
          <w:b/>
          <w:color w:val="000000"/>
          <w:sz w:val="24"/>
        </w:rPr>
        <w:t>Section 2.06(A)</w:t>
      </w:r>
      <w:r>
        <w:rPr>
          <w:rFonts w:ascii="Times New Roman" w:hAnsi="Times New Roman"/>
          <w:color w:val="000000"/>
          <w:sz w:val="24"/>
        </w:rPr>
        <w:t>, each of the Registrar, Paying Agent and Conversion Agent with respect to any Global Note must at all times be a Person that is eligible to act in that capacity under the Depositary Procedures.</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- 18 -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Duties of the Registrar</w:t>
      </w:r>
      <w:r>
        <w:rPr>
          <w:rFonts w:ascii="Times New Roman" w:hAnsi="Times New Roman"/>
          <w:color w:val="000000"/>
          <w:sz w:val="24"/>
        </w:rPr>
        <w:t>. The Registrar will keep a record (the “</w:t>
      </w:r>
      <w:r>
        <w:rPr>
          <w:rFonts w:ascii="Times New Roman" w:hAnsi="Times New Roman"/>
          <w:b/>
          <w:color w:val="000000"/>
          <w:sz w:val="24"/>
        </w:rPr>
        <w:t>Register</w:t>
      </w:r>
      <w:r>
        <w:rPr>
          <w:rFonts w:ascii="Times New Roman" w:hAnsi="Times New Roman"/>
          <w:color w:val="000000"/>
          <w:sz w:val="24"/>
        </w:rPr>
        <w:t>”)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Co-Agents; Company’s Right to Appoint Successor Registrars, Paying Agents and Conversion Agents</w:t>
      </w:r>
      <w:r>
        <w:rPr>
          <w:rFonts w:ascii="Times New Roman" w:hAnsi="Times New Roman"/>
          <w:color w:val="000000"/>
          <w:sz w:val="24"/>
        </w:rPr>
        <w:t xml:space="preserve">. The Company may appoint one or more co-Registrars, co-Paying Agents and co-Conversion Agents, each of whom will be deemed to be a Registrar, Paying Agent or Conversion Agent, as applicable, under this Indenture. Subject to </w:t>
      </w:r>
      <w:r>
        <w:rPr>
          <w:rFonts w:ascii="Times New Roman" w:hAnsi="Times New Roman"/>
          <w:b/>
          <w:color w:val="000000"/>
          <w:sz w:val="24"/>
        </w:rPr>
        <w:t>Section 2.06(A)</w:t>
      </w:r>
      <w:r>
        <w:rPr>
          <w:rFonts w:ascii="Times New Roman" w:hAnsi="Times New Roman"/>
          <w:color w:val="000000"/>
          <w:sz w:val="24"/>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Initial Appointments</w:t>
      </w:r>
      <w:r>
        <w:rPr>
          <w:rFonts w:ascii="Times New Roman" w:hAnsi="Times New Roman"/>
          <w:color w:val="000000"/>
          <w:sz w:val="24"/>
        </w:rPr>
        <w:t xml:space="preserve">. The Company appoints the Trustee as, and designates its corporate trust office identified in </w:t>
      </w:r>
      <w:r>
        <w:rPr>
          <w:rFonts w:ascii="Times New Roman" w:hAnsi="Times New Roman"/>
          <w:b/>
          <w:color w:val="000000"/>
          <w:sz w:val="24"/>
        </w:rPr>
        <w:t>Section 11.01</w:t>
      </w:r>
      <w:r>
        <w:rPr>
          <w:rFonts w:ascii="Times New Roman" w:hAnsi="Times New Roman"/>
          <w:color w:val="000000"/>
          <w:sz w:val="24"/>
        </w:rPr>
        <w:t xml:space="preserve"> in the continental United States as the office for, the initial Paying Agent, the initial Registrar and the initial Conversion Agent.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2.07.  Paying Agent and Conversion Agent to Hold Property in Trust.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(viii)</w:t>
      </w:r>
      <w:r>
        <w:rPr>
          <w:rFonts w:ascii="Times New Roman" w:hAnsi="Times New Roman"/>
          <w:color w:val="000000"/>
          <w:sz w:val="24"/>
        </w:rPr>
        <w:t xml:space="preserve"> or </w:t>
      </w:r>
      <w:r>
        <w:rPr>
          <w:rFonts w:ascii="Times New Roman" w:hAnsi="Times New Roman"/>
          <w:b/>
          <w:color w:val="000000"/>
          <w:sz w:val="24"/>
        </w:rPr>
        <w:t>(ix)</w:t>
      </w:r>
      <w:r>
        <w:rPr>
          <w:rFonts w:ascii="Times New Roman" w:hAnsi="Times New Roman"/>
          <w:color w:val="000000"/>
          <w:sz w:val="24"/>
        </w:rPr>
        <w:t xml:space="preserve"> of </w:t>
      </w:r>
      <w:r>
        <w:rPr>
          <w:rFonts w:ascii="Times New Roman" w:hAnsi="Times New Roman"/>
          <w:b/>
          <w:color w:val="000000"/>
          <w:sz w:val="24"/>
        </w:rPr>
        <w:t>Section 7.01(A)</w:t>
      </w:r>
      <w:r>
        <w:rPr>
          <w:rFonts w:ascii="Times New Roman" w:hAnsi="Times New Roman"/>
          <w:color w:val="000000"/>
          <w:sz w:val="24"/>
        </w:rPr>
        <w:t xml:space="preserve"> with respect to the Company (or with respect to any Subsidiary of the Company acting as Paying Agent or Conversion Agent), the Trustee will serve as the Paying Agent or Conversion Agent, as applicable, for the Notes.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- 19 -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2.08.  Holder Lists.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2.09.  Legends.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Global Note Legend</w:t>
      </w:r>
      <w:r>
        <w:rPr>
          <w:rFonts w:ascii="Times New Roman" w:hAnsi="Times New Roman"/>
          <w:color w:val="000000"/>
          <w:sz w:val="24"/>
        </w:rPr>
        <w:t>. Each Global Note will bear the Global Note Legend (or any similar legend, not inconsistent with this Indenture, required by the Depositary for such Global Note).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Non-Affiliate Legend</w:t>
      </w:r>
      <w:r>
        <w:rPr>
          <w:rFonts w:ascii="Times New Roman" w:hAnsi="Times New Roman"/>
          <w:color w:val="000000"/>
          <w:sz w:val="24"/>
        </w:rPr>
        <w:t>. Each Note will bear the Non-Affiliate Legend.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Restricted Note Legend</w:t>
      </w:r>
      <w:r>
        <w:rPr>
          <w:rFonts w:ascii="Times New Roman" w:hAnsi="Times New Roman"/>
          <w:color w:val="000000"/>
          <w:sz w:val="24"/>
        </w:rPr>
        <w:t xml:space="preserve">. Subject to </w:t>
      </w:r>
      <w:r>
        <w:rPr>
          <w:rFonts w:ascii="Times New Roman" w:hAnsi="Times New Roman"/>
          <w:b/>
          <w:color w:val="000000"/>
          <w:sz w:val="24"/>
        </w:rPr>
        <w:t>Section 2.12</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each Note that is a Transfer-Restricted Security will bear the Restricted Note Legend;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if a Note is issued in exchange for, in substitution of, or to effect a partial Conversion of, another Note (such other Note being referred to as the “old Note” for purposes of this </w:t>
      </w:r>
      <w:r>
        <w:rPr>
          <w:rFonts w:ascii="Times New Roman" w:hAnsi="Times New Roman"/>
          <w:b/>
          <w:color w:val="000000"/>
          <w:sz w:val="24"/>
        </w:rPr>
        <w:t>Section 2.09(C)(ii)</w:t>
      </w:r>
      <w:r>
        <w:rPr>
          <w:rFonts w:ascii="Times New Roman" w:hAnsi="Times New Roman"/>
          <w:color w:val="000000"/>
          <w:sz w:val="24"/>
        </w:rPr>
        <w:t xml:space="preserve">), including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2.10(B)</w:t>
      </w:r>
      <w:r>
        <w:rPr>
          <w:rFonts w:ascii="Times New Roman" w:hAnsi="Times New Roman"/>
          <w:color w:val="000000"/>
          <w:sz w:val="24"/>
        </w:rPr>
        <w:t xml:space="preserve">, </w:t>
      </w:r>
      <w:r>
        <w:rPr>
          <w:rFonts w:ascii="Times New Roman" w:hAnsi="Times New Roman"/>
          <w:b/>
          <w:color w:val="000000"/>
          <w:sz w:val="24"/>
        </w:rPr>
        <w:t>2.10(C)</w:t>
      </w:r>
      <w:r>
        <w:rPr>
          <w:rFonts w:ascii="Times New Roman" w:hAnsi="Times New Roman"/>
          <w:color w:val="000000"/>
          <w:sz w:val="24"/>
        </w:rPr>
        <w:t xml:space="preserve">, </w:t>
      </w:r>
      <w:r>
        <w:rPr>
          <w:rFonts w:ascii="Times New Roman" w:hAnsi="Times New Roman"/>
          <w:b/>
          <w:color w:val="000000"/>
          <w:sz w:val="24"/>
        </w:rPr>
        <w:t>2.11</w:t>
      </w:r>
      <w:r>
        <w:rPr>
          <w:rFonts w:ascii="Times New Roman" w:hAnsi="Times New Roman"/>
          <w:color w:val="000000"/>
          <w:sz w:val="24"/>
        </w:rPr>
        <w:t xml:space="preserve"> or </w:t>
      </w:r>
      <w:r>
        <w:rPr>
          <w:rFonts w:ascii="Times New Roman" w:hAnsi="Times New Roman"/>
          <w:b/>
          <w:color w:val="000000"/>
          <w:sz w:val="24"/>
        </w:rPr>
        <w:t>2.13</w:t>
      </w:r>
      <w:r>
        <w:rPr>
          <w:rFonts w:ascii="Times New Roman" w:hAnsi="Times New Roman"/>
          <w:color w:val="000000"/>
          <w:sz w:val="24"/>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Note need not bear the Restricted Note Legend if such Note does not constitute a Transfer-Restricted Security immediately after such exchange or substitution, or as of such Conversion Date, as applicable.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Other Legends</w:t>
      </w:r>
      <w:r>
        <w:rPr>
          <w:rFonts w:ascii="Times New Roman" w:hAnsi="Times New Roman"/>
          <w:color w:val="000000"/>
          <w:sz w:val="24"/>
        </w:rPr>
        <w:t>. A Note may bear any other legend or text, not inconsistent with this Indenture, as may be required by applicable law or by any securities exchange or automated quotation system on which such Note is traded or quoted.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Acknowledgment and Agreement by the Holders</w:t>
      </w:r>
      <w:r>
        <w:rPr>
          <w:rFonts w:ascii="Times New Roman" w:hAnsi="Times New Roman"/>
          <w:color w:val="000000"/>
          <w:sz w:val="24"/>
        </w:rPr>
        <w:t xml:space="preserve">. A Holder’s acceptance of any Note bearing any legend required by this </w:t>
      </w:r>
      <w:r>
        <w:rPr>
          <w:rFonts w:ascii="Times New Roman" w:hAnsi="Times New Roman"/>
          <w:b/>
          <w:color w:val="000000"/>
          <w:sz w:val="24"/>
        </w:rPr>
        <w:t>Section 2.09</w:t>
      </w:r>
      <w:r>
        <w:rPr>
          <w:rFonts w:ascii="Times New Roman" w:hAnsi="Times New Roman"/>
          <w:color w:val="000000"/>
          <w:sz w:val="24"/>
        </w:rPr>
        <w:t xml:space="preserve"> will constitute such Holder’s acknowledgment of, and agreement to comply with, the restrictions set forth in such legend.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Restricted Share Legend</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Each Conversion Share will bear the Restricted Share Legend if the Note upon the Conversion of which such Conversion Share was issued was (or would have been had it not been Converted) a Transfer-Restricted Security at the time such Conversion Share was issued;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Conversion Share need not bear the Restricted Share Legend if the Company determines, in its reasonable discretion, that such Conversion Share need not bear the Restricted Share Legend.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Notwithstanding anything to the contrary in this </w:t>
      </w:r>
      <w:r>
        <w:rPr>
          <w:rFonts w:ascii="Times New Roman" w:hAnsi="Times New Roman"/>
          <w:b/>
          <w:color w:val="000000"/>
          <w:sz w:val="24"/>
        </w:rPr>
        <w:t>Section 2.09(F)</w:t>
      </w:r>
      <w:r>
        <w:rPr>
          <w:rFonts w:ascii="Times New Roman" w:hAnsi="Times New Roman"/>
          <w:color w:val="000000"/>
          <w:sz w:val="24"/>
        </w:rPr>
        <w:t xml:space="preserve">, a Conversion Share need not bear a Restricted Share Legend if such Conversion Share is issued in an uncertificated form that does not permit affixing legends thereto, </w:t>
      </w:r>
      <w:r>
        <w:rPr>
          <w:rFonts w:ascii="Times New Roman" w:hAnsi="Times New Roman"/>
          <w:i/>
          <w:color w:val="000000"/>
          <w:sz w:val="24"/>
        </w:rPr>
        <w:t>provided</w:t>
      </w:r>
      <w:r>
        <w:rPr>
          <w:rFonts w:ascii="Times New Roman" w:hAnsi="Times New Roman"/>
          <w:color w:val="000000"/>
          <w:sz w:val="24"/>
        </w:rPr>
        <w:t xml:space="preserve"> the Company takes measures (including the assignment thereto of a “restricted” CUSIP number) that it reasonably deems appropriate to enforce the transfer restrictions referred to in the Restricted Share Legend.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- 20 -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2.10.  Transfers and Exchanges; Certain Transfer Restrictions.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Provisions Applicable to All Transfers and Exchanges</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this </w:t>
      </w:r>
      <w:r>
        <w:rPr>
          <w:rFonts w:ascii="Times New Roman" w:hAnsi="Times New Roman"/>
          <w:b/>
          <w:color w:val="000000"/>
          <w:sz w:val="24"/>
        </w:rPr>
        <w:t>Section 2.10</w:t>
      </w:r>
      <w:r>
        <w:rPr>
          <w:rFonts w:ascii="Times New Roman" w:hAnsi="Times New Roman"/>
          <w:color w:val="000000"/>
          <w:sz w:val="24"/>
        </w:rPr>
        <w:t>, Physical Notes and beneficial interests in Global Notes may be transferred or exchanged from time to time and the Registrar will record each such transfer or exchange in the Register.</w:t>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Transferred and Exchanged Notes Remain Valid Obligations of the Company</w:t>
      </w:r>
      <w:r>
        <w:rPr>
          <w:rFonts w:ascii="Times New Roman" w:hAnsi="Times New Roman"/>
          <w:color w:val="000000"/>
          <w:sz w:val="24"/>
        </w:rPr>
        <w:t xml:space="preserve">. Each Note issued upon transfer or exchange of any other Note (such other Note being referred to as the “old Note” for purposes of this </w:t>
      </w:r>
      <w:r>
        <w:rPr>
          <w:rFonts w:ascii="Times New Roman" w:hAnsi="Times New Roman"/>
          <w:b/>
          <w:color w:val="000000"/>
          <w:sz w:val="24"/>
        </w:rPr>
        <w:t>Section 2.10(A)(ii)</w:t>
      </w:r>
      <w:r>
        <w:rPr>
          <w:rFonts w:ascii="Times New Roman" w:hAnsi="Times New Roman"/>
          <w:color w:val="000000"/>
          <w:sz w:val="24"/>
        </w:rPr>
        <w:t>) or portion thereof in accordance with this Indenture will be the valid obligation of the Company, evidencing the same indebtedness, and entitled to the same benefits under this Indenture, as such old Note or portion thereof, as applicable.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No Services Charge; Transfer Taxes</w:t>
      </w:r>
      <w:r>
        <w:rPr>
          <w:rFonts w:ascii="Times New Roman" w:hAnsi="Times New Roman"/>
          <w:color w:val="000000"/>
          <w:sz w:val="24"/>
        </w:rPr>
        <w:t xml:space="preserve">. 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2.11</w:t>
      </w:r>
      <w:r>
        <w:rPr>
          <w:rFonts w:ascii="Times New Roman" w:hAnsi="Times New Roman"/>
          <w:color w:val="000000"/>
          <w:sz w:val="24"/>
        </w:rPr>
        <w:t xml:space="preserve">, </w:t>
      </w:r>
      <w:r>
        <w:rPr>
          <w:rFonts w:ascii="Times New Roman" w:hAnsi="Times New Roman"/>
          <w:b/>
          <w:color w:val="000000"/>
          <w:sz w:val="24"/>
        </w:rPr>
        <w:t>2.17</w:t>
      </w:r>
      <w:r>
        <w:rPr>
          <w:rFonts w:ascii="Times New Roman" w:hAnsi="Times New Roman"/>
          <w:color w:val="000000"/>
          <w:sz w:val="24"/>
        </w:rPr>
        <w:t xml:space="preserve"> or </w:t>
      </w:r>
      <w:r>
        <w:rPr>
          <w:rFonts w:ascii="Times New Roman" w:hAnsi="Times New Roman"/>
          <w:b/>
          <w:color w:val="000000"/>
          <w:sz w:val="24"/>
        </w:rPr>
        <w:t>8.05</w:t>
      </w:r>
      <w:r>
        <w:rPr>
          <w:rFonts w:ascii="Times New Roman" w:hAnsi="Times New Roman"/>
          <w:color w:val="000000"/>
          <w:sz w:val="24"/>
        </w:rPr>
        <w:t xml:space="preserve"> not involving any transfer.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Transfers and Exchanges Must Be in Authorized Denominations</w:t>
      </w:r>
      <w:r>
        <w:rPr>
          <w:rFonts w:ascii="Times New Roman" w:hAnsi="Times New Roman"/>
          <w:color w:val="000000"/>
          <w:sz w:val="24"/>
        </w:rPr>
        <w:t>. Notwithstanding anything to the contrary in this Indenture or the Notes, a Note may not be transferred or exchanged in part unless the portion to be so transferred or exchanged is in an Authorized Denomination.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i/>
          <w:color w:val="000000"/>
          <w:sz w:val="24"/>
        </w:rPr>
        <w:t>Trustee’s Disclaimer</w:t>
      </w:r>
      <w:r>
        <w:rPr>
          <w:rFonts w:ascii="Times New Roman" w:hAnsi="Times New Roman"/>
          <w:color w:val="000000"/>
          <w:sz w:val="24"/>
        </w:rPr>
        <w:t>. 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i/>
          <w:color w:val="000000"/>
          <w:sz w:val="24"/>
        </w:rPr>
        <w:t>Legends</w:t>
      </w:r>
      <w:r>
        <w:rPr>
          <w:rFonts w:ascii="Times New Roman" w:hAnsi="Times New Roman"/>
          <w:color w:val="000000"/>
          <w:sz w:val="24"/>
        </w:rPr>
        <w:t xml:space="preserve">. Each Note issued upon transfer of, or in exchange for, another Note will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i/>
          <w:color w:val="000000"/>
          <w:sz w:val="24"/>
        </w:rPr>
        <w:t>Settlement of Transfers and Exchanges</w:t>
      </w:r>
      <w:r>
        <w:rPr>
          <w:rFonts w:ascii="Times New Roman" w:hAnsi="Times New Roman"/>
          <w:color w:val="000000"/>
          <w:sz w:val="24"/>
        </w:rPr>
        <w:t>.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- 21 -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i/>
          <w:color w:val="000000"/>
          <w:sz w:val="24"/>
        </w:rPr>
        <w:t>Interpretation</w:t>
      </w:r>
      <w:r>
        <w:rPr>
          <w:rFonts w:ascii="Times New Roman" w:hAnsi="Times New Roman"/>
          <w:color w:val="000000"/>
          <w:sz w:val="24"/>
        </w:rPr>
        <w:t xml:space="preserve">. For the avoidance of doubt, and subject to the terms of this Indenture, as used in this </w:t>
      </w:r>
      <w:r>
        <w:rPr>
          <w:rFonts w:ascii="Times New Roman" w:hAnsi="Times New Roman"/>
          <w:b/>
          <w:color w:val="000000"/>
          <w:sz w:val="24"/>
        </w:rPr>
        <w:t>Section 2.10</w:t>
      </w:r>
      <w:r>
        <w:rPr>
          <w:rFonts w:ascii="Times New Roman" w:hAnsi="Times New Roman"/>
          <w:color w:val="000000"/>
          <w:sz w:val="24"/>
        </w:rPr>
        <w:t>,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Transfers and Exchanges of Global Notes.</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Certain Restrictions</w:t>
      </w:r>
      <w:r>
        <w:rPr>
          <w:rFonts w:ascii="Times New Roman" w:hAnsi="Times New Roman"/>
          <w:color w:val="000000"/>
          <w:sz w:val="24"/>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Global Note will be exchanged, pursuant to customary procedures, for one or more Physical Notes if:</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the Company, in its sole discretion, permits the exchange of any beneficial interest in such Global Note for one or more Physical Notes at the request of the owner of such beneficial interest.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Effecting Transfers and Exchanges</w:t>
      </w:r>
      <w:r>
        <w:rPr>
          <w:rFonts w:ascii="Times New Roman" w:hAnsi="Times New Roman"/>
          <w:color w:val="000000"/>
          <w:sz w:val="24"/>
        </w:rPr>
        <w:t>. Upon satisfaction of the requirements of this Indenture to effect a transfer or exchange of any Global Note (or any portion thereof):</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hAnsi="Times New Roman"/>
          <w:b/>
          <w:color w:val="000000"/>
          <w:sz w:val="24"/>
        </w:rPr>
        <w:t>Section 2.15</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- 22 -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 xml:space="preserve">if required to effect such transfer or exchange,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a new Global Note bearing each legend, if any, required by </w:t>
      </w:r>
      <w:r>
        <w:rPr>
          <w:rFonts w:ascii="Times New Roman" w:hAnsi="Times New Roman"/>
          <w:b/>
          <w:color w:val="000000"/>
          <w:sz w:val="24"/>
        </w:rPr>
        <w:t>Section 2.09</w:t>
      </w:r>
      <w:r>
        <w:rPr>
          <w:rFonts w:ascii="Times New Roman" w:hAnsi="Times New Roman"/>
          <w:color w:val="000000"/>
          <w:sz w:val="24"/>
        </w:rPr>
        <w:t>; and</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Compliance with Depositary Procedures</w:t>
      </w:r>
      <w:r>
        <w:rPr>
          <w:rFonts w:ascii="Times New Roman" w:hAnsi="Times New Roman"/>
          <w:color w:val="000000"/>
          <w:sz w:val="24"/>
        </w:rPr>
        <w:t>. Each transfer or exchange of a beneficial interest in any Global Note will be made in accordance with the Depositary Procedures.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Transfers and Exchanges of Physical Notes.</w:t>
      </w:r>
    </w:p>
    <w:p>
      <w:pPr>
        <w:pStyle w:val="TextBody"/>
        <w:bidi w:val="0"/>
        <w:spacing w:before="0" w:after="0"/>
        <w:ind w:left="0" w:right="0" w:firstLine="720"/>
        <w:jc w:val="both"/>
        <w:rPr>
          <w:rFonts w:ascii="Times New Roman" w:hAnsi="Times New Roman"/>
          <w:i/>
          <w:sz w:val="24"/>
        </w:rPr>
      </w:pPr>
      <w:r>
        <w:rPr>
          <w:rFonts w:ascii="Times New Roman" w:hAnsi="Times New Roman"/>
          <w:i/>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Requirements for Transfers and Exchanges</w:t>
      </w:r>
      <w:r>
        <w:rPr>
          <w:rFonts w:ascii="Times New Roman" w:hAnsi="Times New Roman"/>
          <w:color w:val="000000"/>
          <w:sz w:val="24"/>
        </w:rPr>
        <w:t xml:space="preserve">. Subject to this </w:t>
      </w:r>
      <w:r>
        <w:rPr>
          <w:rFonts w:ascii="Times New Roman" w:hAnsi="Times New Roman"/>
          <w:b/>
          <w:color w:val="000000"/>
          <w:sz w:val="24"/>
        </w:rPr>
        <w:t>Section 2.10</w:t>
      </w:r>
      <w:r>
        <w:rPr>
          <w:rFonts w:ascii="Times New Roman" w:hAnsi="Times New Roman"/>
          <w:color w:val="000000"/>
          <w:sz w:val="24"/>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to effect any such transfer or exchange, such Holder must: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surrender such Physical Note to be transferred or exchanged to the office of the Registrar, together with any endorsements or transfer instruments reasonably required by the Company, the Trustee or the Registrar; and</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 xml:space="preserve">deliver such certificates, documentation or evidence as may be required pursuant to </w:t>
      </w:r>
      <w:r>
        <w:rPr>
          <w:rFonts w:ascii="Times New Roman" w:hAnsi="Times New Roman"/>
          <w:b/>
          <w:color w:val="000000"/>
          <w:sz w:val="24"/>
        </w:rPr>
        <w:t>Section 2.10(D)</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Effecting Transfers and Exchanges</w:t>
      </w:r>
      <w:r>
        <w:rPr>
          <w:rFonts w:ascii="Times New Roman" w:hAnsi="Times New Roman"/>
          <w:color w:val="000000"/>
          <w:sz w:val="24"/>
        </w:rPr>
        <w:t xml:space="preserve">. Upon the satisfaction of the requirements of this Indenture to effect a transfer or exchange of any Physical Note (such Physical Note being referred to as the “old Physical Note” for purposes of this </w:t>
      </w:r>
      <w:r>
        <w:rPr>
          <w:rFonts w:ascii="Times New Roman" w:hAnsi="Times New Roman"/>
          <w:b/>
          <w:color w:val="000000"/>
          <w:sz w:val="24"/>
        </w:rPr>
        <w:t>Section 2.10(C)(ii)</w:t>
      </w:r>
      <w:r>
        <w:rPr>
          <w:rFonts w:ascii="Times New Roman" w:hAnsi="Times New Roman"/>
          <w:color w:val="000000"/>
          <w:sz w:val="24"/>
        </w:rPr>
        <w:t>) of a Holder (or any portion of such old Physical Note in an Authorized Denomination):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such old Physical Note will be promptly cancelled pursuant to </w:t>
      </w:r>
      <w:r>
        <w:rPr>
          <w:rFonts w:ascii="Times New Roman" w:hAnsi="Times New Roman"/>
          <w:b/>
          <w:color w:val="000000"/>
          <w:sz w:val="24"/>
        </w:rPr>
        <w:t>Section 2.15</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- 23 -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 xml:space="preserve">if such old Physical Note is to be so transferred or exchanged only in part,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in the case of a transfer: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hAnsi="Times New Roman"/>
          <w:b/>
          <w:color w:val="000000"/>
          <w:sz w:val="24"/>
        </w:rPr>
        <w:t>Section 2.09</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transfer cannot be so effected by notation on one or more existing Global Notes (whether because no Global Notes bearing each legend, if any, required by </w:t>
      </w:r>
      <w:r>
        <w:rPr>
          <w:rFonts w:ascii="Times New Roman" w:hAnsi="Times New Roman"/>
          <w:b/>
          <w:color w:val="000000"/>
          <w:sz w:val="24"/>
        </w:rPr>
        <w:t>Section 2.09</w:t>
      </w:r>
      <w:r>
        <w:rPr>
          <w:rFonts w:ascii="Times New Roman" w:hAnsi="Times New Roman"/>
          <w:color w:val="000000"/>
          <w:sz w:val="24"/>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hAnsi="Times New Roman"/>
          <w:b/>
          <w:color w:val="000000"/>
          <w:sz w:val="24"/>
        </w:rPr>
        <w:t>Section 2.09</w:t>
      </w:r>
      <w:r>
        <w:rPr>
          <w:rFonts w:ascii="Times New Roman" w:hAnsi="Times New Roman"/>
          <w:color w:val="000000"/>
          <w:sz w:val="24"/>
        </w:rPr>
        <w:t>; and</w:t>
      </w:r>
    </w:p>
    <w:p>
      <w:pPr>
        <w:pStyle w:val="TextBody"/>
        <w:bidi w:val="0"/>
        <w:spacing w:before="0" w:after="0"/>
        <w:ind w:left="2160" w:right="0" w:firstLine="720"/>
        <w:jc w:val="both"/>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hAnsi="Times New Roman"/>
          <w:b/>
          <w:color w:val="000000"/>
          <w:sz w:val="24"/>
        </w:rPr>
        <w:t>Section 2.09</w:t>
      </w:r>
      <w:r>
        <w:rPr>
          <w:rFonts w:ascii="Times New Roman" w:hAnsi="Times New Roman"/>
          <w:color w:val="000000"/>
          <w:sz w:val="24"/>
        </w:rPr>
        <w:t>; and</w:t>
      </w:r>
    </w:p>
    <w:p>
      <w:pPr>
        <w:pStyle w:val="TextBody"/>
        <w:bidi w:val="0"/>
        <w:spacing w:before="0" w:after="0"/>
        <w:ind w:left="216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 xml:space="preserve">in the case of an exchange,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- 24 -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Requirement to Deliver Documentation and Other Evidence</w:t>
      </w:r>
      <w:r>
        <w:rPr>
          <w:rFonts w:ascii="Times New Roman" w:hAnsi="Times New Roman"/>
          <w:color w:val="000000"/>
          <w:sz w:val="24"/>
        </w:rPr>
        <w:t>. If a Holder of any Note that is identified by a “restricted” CUSIP number or that bears a Restricted Note Legend or is a Transfer-Restricted Security requests to:</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cause such Note to be identified by an “unrestricted” CUSIP number;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remove such Restricted Note Legend; or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register the transfer of such Note to the name of another Person,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for the Company to determine that such identification, removal or transfer, as applicable, complies with the Securities Act and other applicable securities laws;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certificates, documentation or evidence need be so delivered on or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Transfers of Notes Subject to Redemption, Repurchase or Conversion</w:t>
      </w:r>
      <w:r>
        <w:rPr>
          <w:rFonts w:ascii="Times New Roman" w:hAnsi="Times New Roman"/>
          <w:color w:val="000000"/>
          <w:sz w:val="24"/>
        </w:rPr>
        <w:t xml:space="preserve">. Notwithstanding anything to the contrary in 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hAnsi="Times New Roman"/>
          <w:b/>
          <w:color w:val="000000"/>
          <w:sz w:val="24"/>
        </w:rPr>
        <w:t>Section 4.02(F)</w:t>
      </w:r>
      <w:r>
        <w:rPr>
          <w:rFonts w:ascii="Times New Roman" w:hAnsi="Times New Roman"/>
          <w:color w:val="000000"/>
          <w:sz w:val="24"/>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2.11.  Exchange and Cancellation of Notes to Be Converted or to Be Repurchased Pursuant to a Repurchase Upon Fundamental Change or Redemption.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Partial Conversions of Physical Notes and Partial Repurchases of Physical Notes Pursuant to a Repurchase Upon Fundamental Change</w:t>
      </w:r>
      <w:r>
        <w:rPr>
          <w:rFonts w:ascii="Times New Roman" w:hAnsi="Times New Roman"/>
          <w:color w:val="000000"/>
          <w:sz w:val="24"/>
        </w:rPr>
        <w:t> </w:t>
      </w:r>
      <w:r>
        <w:rPr>
          <w:rFonts w:ascii="Times New Roman" w:hAnsi="Times New Roman"/>
          <w:i/>
          <w:color w:val="000000"/>
          <w:sz w:val="24"/>
        </w:rPr>
        <w:t>or Redemption</w:t>
      </w:r>
      <w:r>
        <w:rPr>
          <w:rFonts w:ascii="Times New Roman" w:hAnsi="Times New Roman"/>
          <w:color w:val="000000"/>
          <w:sz w:val="24"/>
        </w:rPr>
        <w:t xml:space="preserve">. If only a portion of a Physical Note of a Holder is to be Converted pursuant to </w:t>
      </w:r>
      <w:r>
        <w:rPr>
          <w:rFonts w:ascii="Times New Roman" w:hAnsi="Times New Roman"/>
          <w:b/>
          <w:color w:val="000000"/>
          <w:sz w:val="24"/>
        </w:rPr>
        <w:t>Article 5</w:t>
      </w:r>
      <w:r>
        <w:rPr>
          <w:rFonts w:ascii="Times New Roman" w:hAnsi="Times New Roman"/>
          <w:color w:val="000000"/>
          <w:sz w:val="24"/>
        </w:rPr>
        <w:t xml:space="preserve"> or repurchased pursuant to a Repurchase Upon 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hAnsi="Times New Roman"/>
          <w:b/>
          <w:color w:val="000000"/>
          <w:sz w:val="24"/>
        </w:rPr>
        <w:t>Section 2.10(C)</w:t>
      </w:r>
      <w:r>
        <w:rPr>
          <w:rFonts w:ascii="Times New Roman" w:hAnsi="Times New Roman"/>
          <w:color w:val="000000"/>
          <w:sz w:val="24"/>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Physical Note referred to in this </w:t>
      </w:r>
      <w:r>
        <w:rPr>
          <w:rFonts w:ascii="Times New Roman" w:hAnsi="Times New Roman"/>
          <w:b/>
          <w:color w:val="000000"/>
          <w:sz w:val="24"/>
        </w:rPr>
        <w:t>clause (ii)</w:t>
      </w:r>
      <w:r>
        <w:rPr>
          <w:rFonts w:ascii="Times New Roman" w:hAnsi="Times New Roman"/>
          <w:color w:val="000000"/>
          <w:sz w:val="24"/>
        </w:rPr>
        <w:t xml:space="preserve"> need not be issued at any time after which such principal amount subject to such Conversion or repurchase, as applicable, is deemed to cease to be outstanding pursuant to </w:t>
      </w:r>
      <w:r>
        <w:rPr>
          <w:rFonts w:ascii="Times New Roman" w:hAnsi="Times New Roman"/>
          <w:b/>
          <w:color w:val="000000"/>
          <w:sz w:val="24"/>
        </w:rPr>
        <w:t>Section 2.18</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- 25 -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Cancellation of Notes that Are Converted and Notes that Are Repurchased Pursuant to a Repurchase Upon Fundamental Change</w:t>
      </w:r>
      <w:r>
        <w:rPr>
          <w:rFonts w:ascii="Times New Roman" w:hAnsi="Times New Roman"/>
          <w:color w:val="000000"/>
          <w:sz w:val="24"/>
        </w:rPr>
        <w:t> </w:t>
      </w:r>
      <w:r>
        <w:rPr>
          <w:rFonts w:ascii="Times New Roman" w:hAnsi="Times New Roman"/>
          <w:i/>
          <w:color w:val="000000"/>
          <w:sz w:val="24"/>
        </w:rPr>
        <w:t>or Redemption</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Physical Notes</w:t>
      </w:r>
      <w:r>
        <w:rPr>
          <w:rFonts w:ascii="Times New Roman" w:hAnsi="Times New Roman"/>
          <w:color w:val="000000"/>
          <w:sz w:val="24"/>
        </w:rPr>
        <w:t xml:space="preserve">. If a Physical Note (or any portion thereof that has not theretofore been exchanged pursuant to </w:t>
      </w:r>
      <w:r>
        <w:rPr>
          <w:rFonts w:ascii="Times New Roman" w:hAnsi="Times New Roman"/>
          <w:b/>
          <w:color w:val="000000"/>
          <w:sz w:val="24"/>
        </w:rPr>
        <w:t>Section 2.11(A)</w:t>
      </w:r>
      <w:r>
        <w:rPr>
          <w:rFonts w:ascii="Times New Roman" w:hAnsi="Times New Roman"/>
          <w:color w:val="000000"/>
          <w:sz w:val="24"/>
        </w:rPr>
        <w:t xml:space="preserve">) of a Holder is to be Converted pursuant to </w:t>
      </w:r>
      <w:r>
        <w:rPr>
          <w:rFonts w:ascii="Times New Roman" w:hAnsi="Times New Roman"/>
          <w:b/>
          <w:color w:val="000000"/>
          <w:sz w:val="24"/>
        </w:rPr>
        <w:t>Article 5</w:t>
      </w:r>
      <w:r>
        <w:rPr>
          <w:rFonts w:ascii="Times New Roman" w:hAnsi="Times New Roman"/>
          <w:color w:val="000000"/>
          <w:sz w:val="24"/>
        </w:rPr>
        <w:t xml:space="preserve"> or repurchased pursuant to a Repurchase Upon Fundamental Change or Redemption, then, promptly after the later of the time such Physical Note (or such portion) is deemed to cease to be outstanding pursuant to </w:t>
      </w:r>
      <w:r>
        <w:rPr>
          <w:rFonts w:ascii="Times New Roman" w:hAnsi="Times New Roman"/>
          <w:b/>
          <w:color w:val="000000"/>
          <w:sz w:val="24"/>
        </w:rPr>
        <w:t>Section 2.18</w:t>
      </w:r>
      <w:r>
        <w:rPr>
          <w:rFonts w:ascii="Times New Roman" w:hAnsi="Times New Roman"/>
          <w:color w:val="000000"/>
          <w:sz w:val="24"/>
        </w:rPr>
        <w:t xml:space="preserve"> and the time such Physical Note is surrendered for such Conversion or repurchase, as applicable, (1) such Physical Note will be cancelled pursuant to </w:t>
      </w:r>
      <w:r>
        <w:rPr>
          <w:rFonts w:ascii="Times New Roman" w:hAnsi="Times New Roman"/>
          <w:b/>
          <w:color w:val="000000"/>
          <w:sz w:val="24"/>
        </w:rPr>
        <w:t>Section 2.15</w:t>
      </w:r>
      <w:r>
        <w:rPr>
          <w:rFonts w:ascii="Times New Roman" w:hAnsi="Times New Roman"/>
          <w:color w:val="000000"/>
          <w:sz w:val="24"/>
        </w:rPr>
        <w:t xml:space="preserve">; and (2) in the case of a partial Conversion or repurchase, as applicable, the Company will issue, execute and deliver to such Holder,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hAnsi="Times New Roman"/>
          <w:b/>
          <w:color w:val="000000"/>
          <w:sz w:val="24"/>
        </w:rPr>
        <w:t>Section 2.09</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Global Notes</w:t>
      </w:r>
      <w:r>
        <w:rPr>
          <w:rFonts w:ascii="Times New Roman" w:hAnsi="Times New Roman"/>
          <w:color w:val="000000"/>
          <w:sz w:val="24"/>
        </w:rPr>
        <w:t xml:space="preserve">. If a Global Note (or any portion thereof) is to be Converted pursuant to </w:t>
      </w:r>
      <w:r>
        <w:rPr>
          <w:rFonts w:ascii="Times New Roman" w:hAnsi="Times New Roman"/>
          <w:b/>
          <w:color w:val="000000"/>
          <w:sz w:val="24"/>
        </w:rPr>
        <w:t>Article 5</w:t>
      </w:r>
      <w:r>
        <w:rPr>
          <w:rFonts w:ascii="Times New Roman" w:hAnsi="Times New Roman"/>
          <w:color w:val="000000"/>
          <w:sz w:val="24"/>
        </w:rPr>
        <w:t xml:space="preserve"> or repurchased pursuant to a Repurchase Upon Fundamental Change or Redemption, then, promptly after the time such Note (or such portion) is deemed to cease to be outstanding pursuant to </w:t>
      </w:r>
      <w:r>
        <w:rPr>
          <w:rFonts w:ascii="Times New Roman" w:hAnsi="Times New Roman"/>
          <w:b/>
          <w:color w:val="000000"/>
          <w:sz w:val="24"/>
        </w:rPr>
        <w:t>Section 2.18</w:t>
      </w:r>
      <w:r>
        <w:rPr>
          <w:rFonts w:ascii="Times New Roman" w:hAnsi="Times New Roman"/>
          <w:color w:val="000000"/>
          <w:sz w:val="24"/>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hAnsi="Times New Roman"/>
          <w:b/>
          <w:color w:val="000000"/>
          <w:sz w:val="24"/>
        </w:rPr>
        <w:t>Section 2.15</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2.12.  Removal of Transfer Restrictions.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Without limiting the generality of any other provision of this Indenture (including </w:t>
      </w:r>
      <w:r>
        <w:rPr>
          <w:rFonts w:ascii="Times New Roman" w:hAnsi="Times New Roman"/>
          <w:b/>
          <w:color w:val="000000"/>
          <w:sz w:val="24"/>
        </w:rPr>
        <w:t>Section 3.04</w:t>
      </w:r>
      <w:r>
        <w:rPr>
          <w:rFonts w:ascii="Times New Roman" w:hAnsi="Times New Roman"/>
          <w:color w:val="000000"/>
          <w:sz w:val="24"/>
        </w:rPr>
        <w:t xml:space="preserve">), the Restricted Note Legend affixed to any Note will be deemed, pursuant to this </w:t>
      </w:r>
      <w:r>
        <w:rPr>
          <w:rFonts w:ascii="Times New Roman" w:hAnsi="Times New Roman"/>
          <w:b/>
          <w:color w:val="000000"/>
          <w:sz w:val="24"/>
        </w:rPr>
        <w:t>Section 2.12</w:t>
      </w:r>
      <w:r>
        <w:rPr>
          <w:rFonts w:ascii="Times New Roman" w:hAnsi="Times New Roman"/>
          <w:color w:val="000000"/>
          <w:sz w:val="24"/>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 w:hAnsi="Times New Roman"/>
          <w:b/>
          <w:color w:val="000000"/>
          <w:sz w:val="24"/>
        </w:rPr>
        <w:t>Section 2.12</w:t>
      </w:r>
      <w:r>
        <w:rPr>
          <w:rFonts w:ascii="Times New Roman" w:hAnsi="Times New Roman"/>
          <w:color w:val="000000"/>
          <w:sz w:val="24"/>
        </w:rPr>
        <w:t xml:space="preserve"> and the footnotes to the CUSIP and ISIN numbers set forth on the face of the certificate representing such Note, to thereafter bear the “unrestricted” CUSIP and ISIN numbers identified in such footnotes;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Times New Roman" w:hAnsi="Times New Roman"/>
          <w:b/>
          <w:color w:val="000000"/>
          <w:sz w:val="24"/>
        </w:rPr>
        <w:t>Section 3.04</w:t>
      </w:r>
      <w:r>
        <w:rPr>
          <w:rFonts w:ascii="Times New Roman" w:hAnsi="Times New Roman"/>
          <w:color w:val="000000"/>
          <w:sz w:val="24"/>
        </w:rPr>
        <w:t xml:space="preserve"> and the definition of Freely Tradable, such Global Note will not be deemed to be identified by “unrestricted” CUSIP and ISIN numbers until such time as such exchange or procedure is effected.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- 26 -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2.13.  Replacement Notes.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w:t>
      </w:r>
      <w:r>
        <w:rPr>
          <w:rFonts w:ascii="Times New Roman" w:hAnsi="Times New Roman"/>
          <w:b/>
          <w:color w:val="000000"/>
          <w:sz w:val="24"/>
        </w:rPr>
        <w:t>Section 2.13</w:t>
      </w:r>
      <w:r>
        <w:rPr>
          <w:rFonts w:ascii="Times New Roman" w:hAnsi="Times New Roman"/>
          <w:color w:val="000000"/>
          <w:sz w:val="24"/>
        </w:rPr>
        <w:t>. In addition,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Every replacement Note issued pursuant to this </w:t>
      </w:r>
      <w:r>
        <w:rPr>
          <w:rFonts w:ascii="Times New Roman" w:hAnsi="Times New Roman"/>
          <w:b/>
          <w:color w:val="000000"/>
          <w:sz w:val="24"/>
        </w:rPr>
        <w:t>Section 2.13</w:t>
      </w:r>
      <w:r>
        <w:rPr>
          <w:rFonts w:ascii="Times New Roman" w:hAnsi="Times New Roman"/>
          <w:color w:val="000000"/>
          <w:sz w:val="24"/>
        </w:rPr>
        <w:t xml:space="preserve"> will be an additional obligation of the Company and will be entitled to all of the benefits of this Indenture equally and ratably with all other Notes issued under this Indenture, regardless of whether the related lost, destroyed or wrongfully taken Note is at any time enforceable by any Person.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2.14.  Registered Holders; Certain Rights with Respect to Global Notes.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Except to the extent rights hereunder are expressly granted to owners of beneficial interests of Notes,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2.15.  Cancellation.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hAnsi="Times New Roman"/>
          <w:b/>
          <w:color w:val="000000"/>
          <w:sz w:val="24"/>
        </w:rPr>
        <w:t>Section 2.03(B)</w:t>
      </w:r>
      <w:r>
        <w:rPr>
          <w:rFonts w:ascii="Times New Roman" w:hAnsi="Times New Roman"/>
          <w:color w:val="000000"/>
          <w:sz w:val="24"/>
        </w:rPr>
        <w:t>, the Company may not originally issue new Notes to replace Notes that it has paid or that have been cancelled upon transfer, exchange, payment or Conversion.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- 27 -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2.16.  Notes Held by the Company or its Affiliates.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Without limiting the generality of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2.18</w:t>
      </w:r>
      <w:r>
        <w:rPr>
          <w:rFonts w:ascii="Times New Roman" w:hAnsi="Times New Roman"/>
          <w:color w:val="000000"/>
          <w:sz w:val="24"/>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for purposes of determining whether the Trustee is protected in relying on any such direction, waiver or consent, only Notes that a Responsible Officer of the Trustee knows are so owned will be so disregarded.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2.17.  Temporary Notes.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Until definitive Notes are ready for delivery, the Company may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definitive Notes in exchange for temporary Notes. Until so exchanged, each temporary Note will in all respects be entitled to the same benefits under this Indenture as definitive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2.18.  Outstanding Notes.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 w:hAnsi="Times New Roman"/>
          <w:b/>
          <w:color w:val="000000"/>
          <w:sz w:val="24"/>
        </w:rPr>
        <w:t>Section 2.15</w:t>
      </w:r>
      <w:r>
        <w:rPr>
          <w:rFonts w:ascii="Times New Roman" w:hAnsi="Times New Roman"/>
          <w:color w:val="000000"/>
          <w:sz w:val="24"/>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 w:hAnsi="Times New Roman"/>
          <w:b/>
          <w:color w:val="000000"/>
          <w:sz w:val="24"/>
        </w:rPr>
        <w:t>clause (B)</w:t>
      </w:r>
      <w:r>
        <w:rPr>
          <w:rFonts w:ascii="Times New Roman" w:hAnsi="Times New Roman"/>
          <w:color w:val="000000"/>
          <w:sz w:val="24"/>
        </w:rPr>
        <w:t xml:space="preserve">, </w:t>
      </w:r>
      <w:r>
        <w:rPr>
          <w:rFonts w:ascii="Times New Roman" w:hAnsi="Times New Roman"/>
          <w:b/>
          <w:color w:val="000000"/>
          <w:sz w:val="24"/>
        </w:rPr>
        <w:t>(C)</w:t>
      </w:r>
      <w:r>
        <w:rPr>
          <w:rFonts w:ascii="Times New Roman" w:hAnsi="Times New Roman"/>
          <w:color w:val="000000"/>
          <w:sz w:val="24"/>
        </w:rPr>
        <w:t xml:space="preserve"> or </w:t>
      </w:r>
      <w:r>
        <w:rPr>
          <w:rFonts w:ascii="Times New Roman" w:hAnsi="Times New Roman"/>
          <w:b/>
          <w:color w:val="000000"/>
          <w:sz w:val="24"/>
        </w:rPr>
        <w:t>(D)</w:t>
      </w:r>
      <w:r>
        <w:rPr>
          <w:rFonts w:ascii="Times New Roman" w:hAnsi="Times New Roman"/>
          <w:color w:val="000000"/>
          <w:sz w:val="24"/>
        </w:rPr>
        <w:t xml:space="preserve"> of this </w:t>
      </w:r>
      <w:r>
        <w:rPr>
          <w:rFonts w:ascii="Times New Roman" w:hAnsi="Times New Roman"/>
          <w:b/>
          <w:color w:val="000000"/>
          <w:sz w:val="24"/>
        </w:rPr>
        <w:t>Section 2.18</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Replaced Notes</w:t>
      </w:r>
      <w:r>
        <w:rPr>
          <w:rFonts w:ascii="Times New Roman" w:hAnsi="Times New Roman"/>
          <w:color w:val="000000"/>
          <w:sz w:val="24"/>
        </w:rPr>
        <w:t xml:space="preserve">. If a Note is replaced pursuant to </w:t>
      </w:r>
      <w:r>
        <w:rPr>
          <w:rFonts w:ascii="Times New Roman" w:hAnsi="Times New Roman"/>
          <w:b/>
          <w:color w:val="000000"/>
          <w:sz w:val="24"/>
        </w:rPr>
        <w:t>Section 2.13</w:t>
      </w:r>
      <w:r>
        <w:rPr>
          <w:rFonts w:ascii="Times New Roman" w:hAnsi="Times New Roman"/>
          <w:color w:val="000000"/>
          <w:sz w:val="24"/>
        </w:rPr>
        <w:t>, then such Note will cease to be outstanding at the time of its replacement, unless the Trustee and the Company receive proof reasonably satisfactory to them that such Note is held by a “</w:t>
      </w:r>
      <w:r>
        <w:rPr>
          <w:rFonts w:ascii="Times New Roman" w:hAnsi="Times New Roman"/>
          <w:i/>
          <w:color w:val="000000"/>
          <w:sz w:val="24"/>
        </w:rPr>
        <w:t>bona fide</w:t>
      </w:r>
      <w:r>
        <w:rPr>
          <w:rFonts w:ascii="Times New Roman" w:hAnsi="Times New Roman"/>
          <w:color w:val="000000"/>
          <w:sz w:val="24"/>
        </w:rPr>
        <w:t xml:space="preserve"> purchaser” under applicable law.</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Maturing Notes and Notes Called for Redemption or Subject to Repurchase</w:t>
      </w:r>
      <w:r>
        <w:rPr>
          <w:rFonts w:ascii="Times New Roman" w:hAnsi="Times New Roman"/>
          <w:color w:val="000000"/>
          <w:sz w:val="24"/>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hAnsi="Times New Roman"/>
          <w:b/>
          <w:color w:val="000000"/>
          <w:sz w:val="24"/>
        </w:rPr>
        <w:t>Section 4.02(D)</w:t>
      </w:r>
      <w:r>
        <w:rPr>
          <w:rFonts w:ascii="Times New Roman" w:hAnsi="Times New Roman"/>
          <w:color w:val="000000"/>
          <w:sz w:val="24"/>
        </w:rPr>
        <w:t xml:space="preserve">, </w:t>
      </w:r>
      <w:r>
        <w:rPr>
          <w:rFonts w:ascii="Times New Roman" w:hAnsi="Times New Roman"/>
          <w:b/>
          <w:color w:val="000000"/>
          <w:sz w:val="24"/>
        </w:rPr>
        <w:t>4.03(F)</w:t>
      </w:r>
      <w:r>
        <w:rPr>
          <w:rFonts w:ascii="Times New Roman" w:hAnsi="Times New Roman"/>
          <w:color w:val="000000"/>
          <w:sz w:val="24"/>
        </w:rPr>
        <w:t xml:space="preserve"> or </w:t>
      </w:r>
      <w:r>
        <w:rPr>
          <w:rFonts w:ascii="Times New Roman" w:hAnsi="Times New Roman"/>
          <w:b/>
          <w:color w:val="000000"/>
          <w:sz w:val="24"/>
        </w:rPr>
        <w:t>5.02(D)</w:t>
      </w:r>
      <w:r>
        <w:rPr>
          <w:rFonts w:ascii="Times New Roman" w:hAnsi="Times New Roman"/>
          <w:color w:val="000000"/>
          <w:sz w:val="24"/>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- 28 -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Notes to Be Converted</w:t>
      </w:r>
      <w:r>
        <w:rPr>
          <w:rFonts w:ascii="Times New Roman" w:hAnsi="Times New Roman"/>
          <w:color w:val="000000"/>
          <w:sz w:val="24"/>
        </w:rPr>
        <w:t xml:space="preserve">.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 w:hAnsi="Times New Roman"/>
          <w:b/>
          <w:color w:val="000000"/>
          <w:sz w:val="24"/>
        </w:rPr>
        <w:t>Section 5.03(B)</w:t>
      </w:r>
      <w:r>
        <w:rPr>
          <w:rFonts w:ascii="Times New Roman" w:hAnsi="Times New Roman"/>
          <w:color w:val="000000"/>
          <w:sz w:val="24"/>
        </w:rPr>
        <w:t xml:space="preserve"> or </w:t>
      </w:r>
      <w:r>
        <w:rPr>
          <w:rFonts w:ascii="Times New Roman" w:hAnsi="Times New Roman"/>
          <w:b/>
          <w:color w:val="000000"/>
          <w:sz w:val="24"/>
        </w:rPr>
        <w:t>Section 5.02(D)</w:t>
      </w:r>
      <w:r>
        <w:rPr>
          <w:rFonts w:ascii="Times New Roman" w:hAnsi="Times New Roman"/>
          <w:color w:val="000000"/>
          <w:sz w:val="24"/>
        </w:rPr>
        <w:t xml:space="preserve">, upon such Conversion) be redeemed for an amount equal to the principal amount of such Note and the Holder irrevocably directs the Company to apply the principal amount payable to it in acquiring the Conversion Consideration, with the result that such Note will cease to be outstanding, except to the extent provided in </w:t>
      </w:r>
      <w:r>
        <w:rPr>
          <w:rFonts w:ascii="Times New Roman" w:hAnsi="Times New Roman"/>
          <w:b/>
          <w:color w:val="000000"/>
          <w:sz w:val="24"/>
        </w:rPr>
        <w:t>Section 5.02(D)</w:t>
      </w:r>
      <w:r>
        <w:rPr>
          <w:rFonts w:ascii="Times New Roman" w:hAnsi="Times New Roman"/>
          <w:color w:val="000000"/>
          <w:sz w:val="24"/>
        </w:rPr>
        <w:t xml:space="preserve"> or </w:t>
      </w:r>
      <w:r>
        <w:rPr>
          <w:rFonts w:ascii="Times New Roman" w:hAnsi="Times New Roman"/>
          <w:b/>
          <w:color w:val="000000"/>
          <w:sz w:val="24"/>
        </w:rPr>
        <w:t>Section 5.08</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Cessation of Accrual of Interest</w:t>
      </w:r>
      <w:r>
        <w:rPr>
          <w:rFonts w:ascii="Times New Roman" w:hAnsi="Times New Roman"/>
          <w:color w:val="000000"/>
          <w:sz w:val="24"/>
        </w:rPr>
        <w:t xml:space="preserve">. Except as provided in </w:t>
      </w:r>
      <w:r>
        <w:rPr>
          <w:rFonts w:ascii="Times New Roman" w:hAnsi="Times New Roman"/>
          <w:b/>
          <w:color w:val="000000"/>
          <w:sz w:val="24"/>
        </w:rPr>
        <w:t>Section 4.02(D)</w:t>
      </w:r>
      <w:r>
        <w:rPr>
          <w:rFonts w:ascii="Times New Roman" w:hAnsi="Times New Roman"/>
          <w:color w:val="000000"/>
          <w:sz w:val="24"/>
        </w:rPr>
        <w:t xml:space="preserve">, </w:t>
      </w:r>
      <w:r>
        <w:rPr>
          <w:rFonts w:ascii="Times New Roman" w:hAnsi="Times New Roman"/>
          <w:b/>
          <w:color w:val="000000"/>
          <w:sz w:val="24"/>
        </w:rPr>
        <w:t>4.03(F)</w:t>
      </w:r>
      <w:r>
        <w:rPr>
          <w:rFonts w:ascii="Times New Roman" w:hAnsi="Times New Roman"/>
          <w:color w:val="000000"/>
          <w:sz w:val="24"/>
        </w:rPr>
        <w:t xml:space="preserve"> or </w:t>
      </w:r>
      <w:r>
        <w:rPr>
          <w:rFonts w:ascii="Times New Roman" w:hAnsi="Times New Roman"/>
          <w:b/>
          <w:color w:val="000000"/>
          <w:sz w:val="24"/>
        </w:rPr>
        <w:t>5.02(D)</w:t>
      </w:r>
      <w:r>
        <w:rPr>
          <w:rFonts w:ascii="Times New Roman" w:hAnsi="Times New Roman"/>
          <w:color w:val="000000"/>
          <w:sz w:val="24"/>
        </w:rPr>
        <w:t xml:space="preserve">, interest will cease to accrue on each Note from, and including, the date that such Note is deemed, pursuant to this </w:t>
      </w:r>
      <w:r>
        <w:rPr>
          <w:rFonts w:ascii="Times New Roman" w:hAnsi="Times New Roman"/>
          <w:b/>
          <w:color w:val="000000"/>
          <w:sz w:val="24"/>
        </w:rPr>
        <w:t>Section 2.18</w:t>
      </w:r>
      <w:r>
        <w:rPr>
          <w:rFonts w:ascii="Times New Roman" w:hAnsi="Times New Roman"/>
          <w:color w:val="000000"/>
          <w:sz w:val="24"/>
        </w:rPr>
        <w:t>, to cease to be outstanding, unless there occurs a default in the payment or delivery of any cash or other property due on such Note.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2.19.  Repurchases by the Company.</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Without limiting the generality of </w:t>
      </w:r>
      <w:r>
        <w:rPr>
          <w:rFonts w:ascii="Times New Roman" w:hAnsi="Times New Roman"/>
          <w:b/>
          <w:color w:val="000000"/>
          <w:sz w:val="24"/>
        </w:rPr>
        <w:t>Section 2.15</w:t>
      </w:r>
      <w:r>
        <w:rPr>
          <w:rFonts w:ascii="Times New Roman" w:hAnsi="Times New Roman"/>
          <w:color w:val="000000"/>
          <w:sz w:val="24"/>
        </w:rPr>
        <w:t>, the Company may, from time to time, repurchase Notes in open market purchases or in negotiated transactions without delivering prior notice to Holders.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2.20.  CUSIP and ISIN Numbers.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Subject to </w:t>
      </w:r>
      <w:r>
        <w:rPr>
          <w:rFonts w:ascii="Times New Roman" w:hAnsi="Times New Roman"/>
          <w:b/>
          <w:color w:val="000000"/>
          <w:sz w:val="24"/>
        </w:rPr>
        <w:t>Section 2.12</w:t>
      </w:r>
      <w:r>
        <w:rPr>
          <w:rFonts w:ascii="Times New Roman" w:hAnsi="Times New Roman"/>
          <w:color w:val="000000"/>
          <w:sz w:val="24"/>
        </w:rPr>
        <w:t xml:space="preserve">, the Company may use one or more CUSIP or ISIN numbers to identify any of the Notes, and, if so, the Company and the Trustee will use such CUSIP or ISIN number(s) in notices to Holders;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3.  COVENANTS</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3.01.  Payment on Notes.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The Company will pay or cause to be paid all the principal of, the Fundamental Change Repurchase Price and Redemption Price for, interest on, and other amounts due with respect to, the Notes on the dates and in the manner set forth in this Indenture.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Deposit of Funds</w:t>
      </w:r>
      <w:r>
        <w:rPr>
          <w:rFonts w:ascii="Times New Roman" w:hAnsi="Times New Roman"/>
          <w:color w:val="000000"/>
          <w:sz w:val="24"/>
        </w:rPr>
        <w:t>. Before 11:00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- 29 -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Bold;serif" w:hAnsi="Times New Roman Bold;serif"/>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3.02.</w:t>
      </w:r>
      <w:r>
        <w:rPr>
          <w:rFonts w:ascii="Times New Roman Bold;serif" w:hAnsi="Times New Roman Bold;serif"/>
          <w:smallCaps/>
          <w:color w:val="000000"/>
          <w:sz w:val="24"/>
        </w:rPr>
        <w:t>  </w:t>
      </w:r>
      <w:r>
        <w:rPr>
          <w:rFonts w:ascii="Times New Roman" w:hAnsi="Times New Roman"/>
          <w:b/>
          <w:smallCaps/>
          <w:color w:val="000000"/>
          <w:sz w:val="24"/>
        </w:rPr>
        <w:t>Exchange Act Reports.</w:t>
      </w:r>
    </w:p>
    <w:p>
      <w:pPr>
        <w:pStyle w:val="TextBody"/>
        <w:bidi w:val="0"/>
        <w:spacing w:before="0" w:after="0"/>
        <w:jc w:val="both"/>
        <w:rPr>
          <w:rFonts w:ascii="Times New Roman" w:hAnsi="Times New Roman"/>
          <w:smallCaps/>
          <w:sz w:val="24"/>
        </w:rPr>
      </w:pPr>
      <w:r>
        <w:rPr>
          <w:rFonts w:ascii="Times New Roman" w:hAnsi="Times New Roman"/>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The Company will send to the Trustee copies of all reports that the Company is required to file with the SEC pursuant to Section 13(a) or 15(d) of the Exchange Act (other than Form 8-K reports) within fifteen (15) calendar days after the date that the Company is required to file the same (after giving effect to all applicable grace periods under the Exchange Act);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Company need not send to the Trustee any material for which the Company has received, or is 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hAnsi="Times New Roman"/>
          <w:b/>
          <w:color w:val="000000"/>
          <w:sz w:val="24"/>
        </w:rPr>
        <w:t>Section 3.02(A)</w:t>
      </w:r>
      <w:r>
        <w:rPr>
          <w:rFonts w:ascii="Times New Roman" w:hAnsi="Times New Roman"/>
          <w:color w:val="000000"/>
          <w:sz w:val="24"/>
        </w:rPr>
        <w:t>, other than a report that is deemed to be sent to the Trustee pursuant to the preceding sentence.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“grace periods” referred to in the preceding paragraph with respect to any report will include the maximum period afforded by Rule 12b-25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Trustee’s Disclaimer</w:t>
      </w:r>
      <w:r>
        <w:rPr>
          <w:rFonts w:ascii="Times New Roman" w:hAnsi="Times New Roman"/>
          <w:color w:val="000000"/>
          <w:sz w:val="24"/>
        </w:rPr>
        <w:t xml:space="preserve">. The Trustee need not determine whether the Company has filed any material via the EDGAR system (or such successor). The sending or filing of reports pursuant to </w:t>
      </w:r>
      <w:r>
        <w:rPr>
          <w:rFonts w:ascii="Times New Roman" w:hAnsi="Times New Roman"/>
          <w:b/>
          <w:color w:val="000000"/>
          <w:sz w:val="24"/>
        </w:rPr>
        <w:t>Section 3.02(A)</w:t>
      </w:r>
      <w:r>
        <w:rPr>
          <w:rFonts w:ascii="Times New Roman" w:hAnsi="Times New Roman"/>
          <w:color w:val="000000"/>
          <w:sz w:val="24"/>
        </w:rPr>
        <w:t xml:space="preserve"> will not be deemed to constitute actual or constructive notice to the Trustee of any information contained, or determinable from information contained, therein, including the Company’s compliance with any of its covenants under this Indenture.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3.03.  Rule 144A Information.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the Company is not subject to Section 13 or 15(d) of the Exchange Act at any time when any Notes or Ordinary Shares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3.04.  Additional Interest.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Accrual of Additional Interest</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If, at any time during the six (6) month period beginning on, and including, the date that is six (6) months after the Last Original Issue Date of any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the Company fails to timely file any report that is required for the Company to satisfy the requirements set forth in Rule 144(c)(1) under the Securities Act (after giving effect to all grace periods permitted thereunder);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such Note is not otherwise Freely Tradable,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then Additional Interest will accrue on such Note for each day during such period on which such failure is continuing or such Note is not Freely Tradable. The “grace periods” referred to in the preceding sentence with respect to any report will include the maximum period afforded by Rule 12b-25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- 30 -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 addition, Additional Interest will accrue on a Note on each day on which such Note is not Freely Tradable on or after the De-Legending Deadline Date for such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Amount and Payment of Additional Interest</w:t>
      </w:r>
      <w:r>
        <w:rPr>
          <w:rFonts w:ascii="Times New Roman" w:hAnsi="Times New Roman"/>
          <w:color w:val="000000"/>
          <w:sz w:val="24"/>
        </w:rPr>
        <w:t xml:space="preserve">. Subject to </w:t>
      </w:r>
      <w:r>
        <w:rPr>
          <w:rFonts w:ascii="Times New Roman" w:hAnsi="Times New Roman"/>
          <w:b/>
          <w:color w:val="000000"/>
          <w:sz w:val="24"/>
        </w:rPr>
        <w:t>Section 3.04(C)</w:t>
      </w:r>
      <w:r>
        <w:rPr>
          <w:rFonts w:ascii="Times New Roman" w:hAnsi="Times New Roman"/>
          <w:color w:val="000000"/>
          <w:sz w:val="24"/>
        </w:rPr>
        <w:t xml:space="preserve">, any Additional Interest that accrues on a Note pursuant to </w:t>
      </w:r>
      <w:r>
        <w:rPr>
          <w:rFonts w:ascii="Times New Roman" w:hAnsi="Times New Roman"/>
          <w:b/>
          <w:color w:val="000000"/>
          <w:sz w:val="24"/>
        </w:rPr>
        <w:t>Section 3.04(A)</w:t>
      </w:r>
      <w:r>
        <w:rPr>
          <w:rFonts w:ascii="Times New Roman" w:hAnsi="Times New Roman"/>
          <w:color w:val="000000"/>
          <w:sz w:val="24"/>
        </w:rPr>
        <w:t xml:space="preserve"> will be payable on the same dates and in the same manner as the Stated Interest on such Note and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in no event will Additional Interest (excluding any interest that accrues on any Deferred Additional Interest pursuant to </w:t>
      </w:r>
      <w:r>
        <w:rPr>
          <w:rFonts w:ascii="Times New Roman" w:hAnsi="Times New Roman"/>
          <w:b/>
          <w:color w:val="000000"/>
          <w:sz w:val="24"/>
        </w:rPr>
        <w:t>Section 3.04(C)</w:t>
      </w:r>
      <w:r>
        <w:rPr>
          <w:rFonts w:ascii="Times New Roman" w:hAnsi="Times New Roman"/>
          <w:color w:val="000000"/>
          <w:sz w:val="24"/>
        </w:rPr>
        <w:t>), together with any Special Interest,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Deferral of Additional Interest</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Notwithstanding anything to the contrary in this </w:t>
      </w:r>
      <w:r>
        <w:rPr>
          <w:rFonts w:ascii="Times New Roman" w:hAnsi="Times New Roman"/>
          <w:b/>
          <w:color w:val="000000"/>
          <w:sz w:val="24"/>
        </w:rPr>
        <w:t>Section 3.04</w:t>
      </w:r>
      <w:r>
        <w:rPr>
          <w:rFonts w:ascii="Times New Roman" w:hAnsi="Times New Roman"/>
          <w:color w:val="000000"/>
          <w:sz w:val="24"/>
        </w:rPr>
        <w:t xml:space="preserve">, but subject to </w:t>
      </w:r>
      <w:r>
        <w:rPr>
          <w:rFonts w:ascii="Times New Roman" w:hAnsi="Times New Roman"/>
          <w:b/>
          <w:color w:val="000000"/>
          <w:sz w:val="24"/>
        </w:rPr>
        <w:t>Section 3.04(C)(iii)</w:t>
      </w:r>
      <w:r>
        <w:rPr>
          <w:rFonts w:ascii="Times New Roman" w:hAnsi="Times New Roman"/>
          <w:color w:val="000000"/>
          <w:sz w:val="24"/>
        </w:rPr>
        <w:t>, Additional Interest that accrues on any Note for any period on or after the De-Legending Deadline Date of such Note will not be payable on any Interest Payment Date occurring on or after such De-Legending Deadline Date unless (1) a Holder (or an owner of a beneficial interest in a Global Note) has delivered to the Company and the Trustee, before the Regular Record Date immediately before such Interest Payment Date, a written notice (a “</w:t>
      </w:r>
      <w:r>
        <w:rPr>
          <w:rFonts w:ascii="Times New Roman" w:hAnsi="Times New Roman"/>
          <w:b/>
          <w:color w:val="000000"/>
          <w:sz w:val="24"/>
        </w:rPr>
        <w:t>Deferred Additional Interest Demand Request</w:t>
      </w:r>
      <w:r>
        <w:rPr>
          <w:rFonts w:ascii="Times New Roman" w:hAnsi="Times New Roman"/>
          <w:color w:val="000000"/>
          <w:sz w:val="24"/>
        </w:rPr>
        <w:t>”) demanding payment of Additional Interest; or (2) the Company, in its sole and absolute discretion, elects, by sending notice of such election (a “</w:t>
      </w:r>
      <w:r>
        <w:rPr>
          <w:rFonts w:ascii="Times New Roman" w:hAnsi="Times New Roman"/>
          <w:b/>
          <w:color w:val="000000"/>
          <w:sz w:val="24"/>
        </w:rPr>
        <w:t>Notice of Election to Pay Deferred Additional Interest</w:t>
      </w:r>
      <w:r>
        <w:rPr>
          <w:rFonts w:ascii="Times New Roman" w:hAnsi="Times New Roman"/>
          <w:color w:val="000000"/>
          <w:sz w:val="24"/>
        </w:rPr>
        <w:t>”) to Holders before such Regular Record Date, to pay such Additional Interest on such Interest Payment Date (any accrued and unpaid Additional Interest that, in accordance with this sentence, is not paid on such Interest Payment Date, “</w:t>
      </w:r>
      <w:r>
        <w:rPr>
          <w:rFonts w:ascii="Times New Roman" w:hAnsi="Times New Roman"/>
          <w:b/>
          <w:color w:val="000000"/>
          <w:sz w:val="24"/>
        </w:rPr>
        <w:t>Deferred Additional Interest</w:t>
      </w:r>
      <w:r>
        <w:rPr>
          <w:rFonts w:ascii="Times New Roman" w:hAnsi="Times New Roman"/>
          <w:color w:val="000000"/>
          <w:sz w:val="24"/>
        </w:rPr>
        <w:t xml:space="preserve">”). Without further action by the Company or any other Person, interest will automatically accrue on such Deferred Additional Interest from, and including, such Interest Payment Date at a rate per annum equal to the rate per annum at which Stated Interest accrues on the Notes to, but excluding, the date on which such Deferred Additional Interest, together with accrued interest thereon, is paid. Once any accrued and unpaid Additional Interest becomes payable on an Interest Payment Date (whether as a result of the delivery of a written notice pursuant to </w:t>
      </w:r>
      <w:r>
        <w:rPr>
          <w:rFonts w:ascii="Times New Roman" w:hAnsi="Times New Roman"/>
          <w:b/>
          <w:color w:val="000000"/>
          <w:sz w:val="24"/>
        </w:rPr>
        <w:t>clause (1)</w:t>
      </w:r>
      <w:r>
        <w:rPr>
          <w:rFonts w:ascii="Times New Roman" w:hAnsi="Times New Roman"/>
          <w:color w:val="000000"/>
          <w:sz w:val="24"/>
        </w:rPr>
        <w:t xml:space="preserve"> above or, if earlier, the Company’s election to pay the same pursuant to </w:t>
      </w:r>
      <w:r>
        <w:rPr>
          <w:rFonts w:ascii="Times New Roman" w:hAnsi="Times New Roman"/>
          <w:b/>
          <w:color w:val="000000"/>
          <w:sz w:val="24"/>
        </w:rPr>
        <w:t>clause (2)</w:t>
      </w:r>
      <w:r>
        <w:rPr>
          <w:rFonts w:ascii="Times New Roman" w:hAnsi="Times New Roman"/>
          <w:color w:val="000000"/>
          <w:sz w:val="24"/>
        </w:rPr>
        <w:t xml:space="preserve"> above), Additional Interest will thereafter not be subject to deferral pursuant to this </w:t>
      </w:r>
      <w:r>
        <w:rPr>
          <w:rFonts w:ascii="Times New Roman" w:hAnsi="Times New Roman"/>
          <w:b/>
          <w:color w:val="000000"/>
          <w:sz w:val="24"/>
        </w:rPr>
        <w:t>Section 3.04(C)</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- 31 -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Interpretive Provisions</w:t>
      </w:r>
      <w:r>
        <w:rPr>
          <w:rFonts w:ascii="Times New Roman" w:hAnsi="Times New Roman"/>
          <w:color w:val="000000"/>
          <w:sz w:val="24"/>
        </w:rPr>
        <w:t xml:space="preserve">. Each reference in this Indenture or the Notes to any accrued interest (including in the definitions of the Redemption Price and the Fundamental Change Repurchase Price for any Note) or to any accrued Additional Interest includes, to the extent applicable, and without duplication, any Deferred Additional Interest, together with accrued and unpaid interest thereon.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 w:hAnsi="Times New Roman"/>
          <w:b/>
          <w:color w:val="000000"/>
          <w:sz w:val="24"/>
        </w:rPr>
        <w:t>Section 3.04(C)(i)</w:t>
      </w:r>
      <w:r>
        <w:rPr>
          <w:rFonts w:ascii="Times New Roman" w:hAnsi="Times New Roman"/>
          <w:color w:val="000000"/>
          <w:sz w:val="24"/>
        </w:rPr>
        <w:t xml:space="preserve">. Otherwise, such a failure to pay will be subject to </w:t>
      </w:r>
      <w:r>
        <w:rPr>
          <w:rFonts w:ascii="Times New Roman" w:hAnsi="Times New Roman"/>
          <w:b/>
          <w:color w:val="000000"/>
          <w:sz w:val="24"/>
        </w:rPr>
        <w:t>Section 7.01(A)(ii)</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Payment or Extinguishment Upon Maturity</w:t>
      </w:r>
      <w:r>
        <w:rPr>
          <w:rFonts w:ascii="Times New Roman" w:hAnsi="Times New Roman"/>
          <w:color w:val="000000"/>
          <w:sz w:val="24"/>
        </w:rPr>
        <w:t xml:space="preserve">. Notwithstanding anything to the contrary in this Indenture or the Notes, if (1) any unpaid Deferred Additional Interest exists on any Notes as of the Close of Business on the Regular Record Date immediately preceding the Maturity Date; (2) no Holder (or owner of a beneficial interest in a Global Note) has delivered a Deferred Additional Interest Demand Request in the manner set forth in </w:t>
      </w:r>
      <w:r>
        <w:rPr>
          <w:rFonts w:ascii="Times New Roman" w:hAnsi="Times New Roman"/>
          <w:b/>
          <w:color w:val="000000"/>
          <w:sz w:val="24"/>
        </w:rPr>
        <w:t>Section 3.04(C)(i)</w:t>
      </w:r>
      <w:r>
        <w:rPr>
          <w:rFonts w:ascii="Times New Roman" w:hAnsi="Times New Roman"/>
          <w:color w:val="000000"/>
          <w:sz w:val="24"/>
        </w:rPr>
        <w:t xml:space="preserve"> before such Regular Record Date; and (3) the Company has not sent a Notice of Election to Pay Deferred Additional Interest in the manner set forth in </w:t>
      </w:r>
      <w:r>
        <w:rPr>
          <w:rFonts w:ascii="Times New Roman" w:hAnsi="Times New Roman"/>
          <w:b/>
          <w:color w:val="000000"/>
          <w:sz w:val="24"/>
        </w:rPr>
        <w:t>Section 3.04(C)(i)</w:t>
      </w:r>
      <w:r>
        <w:rPr>
          <w:rFonts w:ascii="Times New Roman" w:hAnsi="Times New Roman"/>
          <w:color w:val="000000"/>
          <w:sz w:val="24"/>
        </w:rPr>
        <w:t xml:space="preserve"> before such Regular Record Date, then Deferred Additional Interest on each Note then outstanding will cease to accrue, and all Deferred Additional Interest, together with interest thereon, on such Note will be deemed to be extinguished on the following date: (a) if such Note is to be Converted, the Conversion Date for such Conversion (it being understood, for the avoidance of doubt, that the Conversion Consideration therefor need not include, and the amount referred to in </w:t>
      </w:r>
      <w:r>
        <w:rPr>
          <w:rFonts w:ascii="Times New Roman" w:hAnsi="Times New Roman"/>
          <w:b/>
          <w:color w:val="000000"/>
          <w:sz w:val="24"/>
        </w:rPr>
        <w:t>clause (i)</w:t>
      </w:r>
      <w:r>
        <w:rPr>
          <w:rFonts w:ascii="Times New Roman" w:hAnsi="Times New Roman"/>
          <w:color w:val="000000"/>
          <w:sz w:val="24"/>
        </w:rPr>
        <w:t xml:space="preserve"> of </w:t>
      </w:r>
      <w:r>
        <w:rPr>
          <w:rFonts w:ascii="Times New Roman" w:hAnsi="Times New Roman"/>
          <w:b/>
          <w:color w:val="000000"/>
          <w:sz w:val="24"/>
        </w:rPr>
        <w:t>Section 5.02(D)</w:t>
      </w:r>
      <w:r>
        <w:rPr>
          <w:rFonts w:ascii="Times New Roman" w:hAnsi="Times New Roman"/>
          <w:color w:val="000000"/>
          <w:sz w:val="24"/>
        </w:rPr>
        <w:t xml:space="preserve"> need not include, the payment of any such Deferred Additional Interest or any interest thereon); and (b) in all other cases, the later of (x) the Maturity Date; and (y) the first date on which the Company has repaid the principal of, and accrued and unpaid interest (other than such Deferred Additional Interest and any interest thereon) on, such Note in full.</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Notice of Accrual of Additional Interest; Trustee’s Disclaimer</w:t>
      </w:r>
      <w:r>
        <w:rPr>
          <w:rFonts w:ascii="Times New Roman" w:hAnsi="Times New Roman"/>
          <w:color w:val="000000"/>
          <w:sz w:val="24"/>
        </w:rPr>
        <w:t xml:space="preserve">. The Company will send notice to the Holder of each Note, and to the Trustee, of the commencement and termination of any period in which Additional Interest accrues on such Note, except that no such notice is required in respect of any Additional Interest that is deferred in accordance with </w:t>
      </w:r>
      <w:r>
        <w:rPr>
          <w:rFonts w:ascii="Times New Roman" w:hAnsi="Times New Roman"/>
          <w:b/>
          <w:color w:val="000000"/>
          <w:sz w:val="24"/>
        </w:rPr>
        <w:t>Section 3.04(C)</w:t>
      </w:r>
      <w:r>
        <w:rPr>
          <w:rFonts w:ascii="Times New Roman" w:hAnsi="Times New Roman"/>
          <w:color w:val="000000"/>
          <w:sz w:val="24"/>
        </w:rPr>
        <w:t>.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whether the same is deferred or is accruing interest) or the amount thereof and may assume without inquiry that no Additional Interest is payable or has been deferred until written notice of such Additional Interest has been provided to the Trustee by the Company.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Exclusive Remedy</w:t>
      </w:r>
      <w:r>
        <w:rPr>
          <w:rFonts w:ascii="Times New Roman" w:hAnsi="Times New Roman"/>
          <w:color w:val="000000"/>
          <w:sz w:val="24"/>
        </w:rPr>
        <w:t>. The accrual of Additional Interest will be the exclusive remedy available to Holders for the failure of their Notes to become Freely Tradable.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- 32 -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3.05.  Additional Amounts.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Requirement to Pay Additional Amounts</w:t>
      </w:r>
      <w:r>
        <w:rPr>
          <w:rFonts w:ascii="Times New Roman" w:hAnsi="Times New Roman"/>
          <w:color w:val="000000"/>
          <w:sz w:val="24"/>
        </w:rPr>
        <w:t>. All payments and deliveries made by, or on behalf of, the Company under or with respect to the Notes (including payment of the principal of, or the Fundamental Change Repurchase Price or Redemption Price for, or any interest on, or the delivery of any Conversion Consideration due upon Conversion of, any Note) will be made without withholding or deduction for, or on account of, any present or future Taxes, unless such withholding or deduction is required by law or regulation or by governmental policy having the force of law. If any Taxes imposed or levied by or on behalf of any jurisdiction or any political subdivision or taxing authority thereof or therein (in each case, other than the United States of America or any political subdivision or taxing authority thereof or therein) in which the Company or any Successor Entity is, for tax purposes, organized or resident or doing business or through which payment is made or deemed to be made by the Company or its agent (each such jurisdiction, subdivision or authority, as applicable, a “</w:t>
      </w:r>
      <w:r>
        <w:rPr>
          <w:rFonts w:ascii="Times New Roman" w:hAnsi="Times New Roman"/>
          <w:b/>
          <w:color w:val="000000"/>
          <w:sz w:val="24"/>
        </w:rPr>
        <w:t>Relevant Taxing Jurisdiction</w:t>
      </w:r>
      <w:r>
        <w:rPr>
          <w:rFonts w:ascii="Times New Roman" w:hAnsi="Times New Roman"/>
          <w:color w:val="000000"/>
          <w:sz w:val="24"/>
        </w:rPr>
        <w:t xml:space="preserve">”) are required to be withheld or deducted from any payments or deliveries made under or with respect to the Notes (other than any payments that are made upon conversion of the Notes, whether made in cash, Ordinary Shares or other consideration (including, for the avoidance of doubt, any payments of cash for any fractional shares or other consideration) in the event the Company, such Successor Entity or the issuer of the Ordinary Shares or Reference Property Units becomes duly organized or incorporated and existing under the laws of the United States of America, any State thereof or the District of Columbia), then, subject to </w:t>
      </w:r>
      <w:r>
        <w:rPr>
          <w:rFonts w:ascii="Times New Roman" w:hAnsi="Times New Roman"/>
          <w:b/>
          <w:color w:val="000000"/>
          <w:sz w:val="24"/>
        </w:rPr>
        <w:t>Section 4.03(C)(ii)</w:t>
      </w:r>
      <w:r>
        <w:rPr>
          <w:rFonts w:ascii="Times New Roman" w:hAnsi="Times New Roman"/>
          <w:color w:val="000000"/>
          <w:sz w:val="24"/>
        </w:rPr>
        <w:t>, the Company or such Successor Entity, as applicable, will pay to the Holder of each Note such additional amounts (the “</w:t>
      </w:r>
      <w:r>
        <w:rPr>
          <w:rFonts w:ascii="Times New Roman" w:hAnsi="Times New Roman"/>
          <w:b/>
          <w:color w:val="000000"/>
          <w:sz w:val="24"/>
        </w:rPr>
        <w:t>Additional Amounts</w:t>
      </w:r>
      <w:r>
        <w:rPr>
          <w:rFonts w:ascii="Times New Roman" w:hAnsi="Times New Roman"/>
          <w:color w:val="000000"/>
          <w:sz w:val="24"/>
        </w:rPr>
        <w:t xml:space="preserve">”) as may be necessary to ensure that the net amount received by the Holder or beneficial owner of such Note after such withholding or deduction (and after withholding or deducting any Taxes on the Additional Amounts, if applicable) will equal the amounts that would have been received by such Holder or beneficial owner had no such withholding or deduction been required;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obligation to pay Additional Amounts will not apply to:</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any Tax that would not have been imposed but for: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the existence of any present or former connection between the Holder or beneficial owner of such Note and the Relevant Taxing Jurisdiction (other than merely holding or being a beneficial owner of such Note or the receipt or enforcement of payments or deliveries thereunder), including such Holder or beneficial owner being or having been a national, domiciliary or resident, or treated as a resident, of, or being or having been physically present or engaged in a trade or business, or having had a permanent establishment, in, such Relevant Taxing Jurisdiction;</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in cases where presentation of such Note is required to receive such payment or delivery, the presentation of such Note after a period of thirty (30) days after the later of (x) the date on which such payment or delivery became due and payable or deliverable, as applicable, pursuant to the terms of this Indenture and (y) the date such payment or delivery was made or duly provided for, except, in each case, to the extent that such Holder or beneficial owner would have been entitled to Additional Amounts if it presented such Note for payment or delivery, as applicable, at the end of such thirty (30) day period;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- 33 -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the failure of such Holder or beneficial owner to comply with a timely request from the Company or the Successor Entity or any applicable withholding agent, addressed to such Holder or beneficial owner, to (x) provide certification, information, documentation or other evidence concerning such Holder’s or beneficial owner’s nationality, residence, identity or connection with such Relevant Taxing Jurisdiction; or (y) make any declaration or satisfy any other reporting requirement relating to such matters, in each case if and to the extent that such Holder or beneficial owner is legally entitled without material burden to comply with such request and due and timely compliance with such request is required by or necessary under statute, regulation or administrative practice of such Relevant Taxing Jurisdiction (including, without limitation, for Australian resident holders or beneficial owners otherwise having such information or documentation, provision of an Australian tax file number, Australian business number or proof of relevant exemption) in order to reduce or eliminate such withholding or deduction;</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 estate, inheritance, gift, sale, transfer, personal property or similar Tax;</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any Tax that is payable other than by withholding or deduction from payments or deliveries under or with respect to the Notes;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any withholding or deduction required by (x) Sections 1471 through 1474 of the Internal Revenue Code and any current or future U.S. Treasury Regulations or rulings promulgated thereunder (“</w:t>
      </w:r>
      <w:r>
        <w:rPr>
          <w:rFonts w:ascii="Times New Roman" w:hAnsi="Times New Roman"/>
          <w:b/>
          <w:color w:val="000000"/>
          <w:sz w:val="24"/>
        </w:rPr>
        <w:t>FATCA</w:t>
      </w:r>
      <w:r>
        <w:rPr>
          <w:rFonts w:ascii="Times New Roman" w:hAnsi="Times New Roman"/>
          <w:color w:val="000000"/>
          <w:sz w:val="24"/>
        </w:rPr>
        <w:t>”); (y) any inter-governmental agreement between the United States and any other non-U.S. jurisdiction to implement FATCA or any law, regulation, rule, practice or other official guidance having the force of law enacted by such other jurisdiction to give effect to such agreement; or (z) any agreement with the U.S. Internal Revenue Service pursuant to Section 1471(b)(1) of the Internal Revenue Code;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any Taxes imposed or withheld by reason of such holder being an “associate” (as defined in Section 128F(9) of the Income Tax Assessment Act 1936 of Australia) of the Company not acting in the capacity of a clearing house, paying agent, custodian, funds manager or responsible entity of a registered scheme within the meaning of the Corporations Act 2001 of Australia;</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any Taxes imposed or withheld by reason of the Australian Commissioner of Taxation giving a notice under section 255 of the Income Tax Assessment Act 1936 of Australia or section 260-5 of Schedule 1 to the Taxation Administration Act 1953 of Australia or similar law;</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any Taxes imposed on or with respect to any payment by the Company to such Holder if such Holder is a fiduciary, partnership or person other than the sole beneficial owner of such payment, to the extent that such payment would be required, under the laws of such Relevant Taxing Jurisdiction, to be included for tax purposes in the income of a beneficiary or settlor with respect to such fiduciary, a partner or member of such partnership, or a beneficial owner, who would not have been entitled to such Additional Amounts had such beneficiary, settlor, partner, member or beneficial owner been the Holder thereof; or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 xml:space="preserve">any combination of items referred to in the preceding </w:t>
      </w:r>
      <w:r>
        <w:rPr>
          <w:rFonts w:ascii="Times New Roman" w:hAnsi="Times New Roman"/>
          <w:b/>
          <w:color w:val="000000"/>
          <w:sz w:val="24"/>
        </w:rPr>
        <w:t>clauses</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through </w:t>
      </w:r>
      <w:r>
        <w:rPr>
          <w:rFonts w:ascii="Times New Roman" w:hAnsi="Times New Roman"/>
          <w:b/>
          <w:color w:val="000000"/>
          <w:sz w:val="24"/>
        </w:rPr>
        <w:t>(vii)</w:t>
      </w:r>
      <w:r>
        <w:rPr>
          <w:rFonts w:ascii="Times New Roman" w:hAnsi="Times New Roman"/>
          <w:color w:val="000000"/>
          <w:sz w:val="24"/>
        </w:rPr>
        <w:t>, inclusive, above.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- 34 -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Special Provision Regarding Interest</w:t>
      </w:r>
      <w:r>
        <w:rPr>
          <w:rFonts w:ascii="Times New Roman" w:hAnsi="Times New Roman"/>
          <w:color w:val="000000"/>
          <w:sz w:val="24"/>
        </w:rPr>
        <w:t>. For the avoidance of doubt, if any Note is called for a Tax Redemption and the Redemption Date is after a Regular Record Date and on or before the next Interest Payment Date, then the Company’s obligation to pay Additional Amounts will apply to the interest payment due on such Note on such Interest Payment Date unless such Note is subject to a Tax Redemption Opt-Out Election Notice.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Tax Receipts</w:t>
      </w:r>
      <w:r>
        <w:rPr>
          <w:rFonts w:ascii="Times New Roman" w:hAnsi="Times New Roman"/>
          <w:color w:val="000000"/>
          <w:sz w:val="24"/>
        </w:rPr>
        <w:t>. If the Company is required to make any deduction or withholding from any payments or deliveries with respect to the Notes, then (i) the Company will deliver to the Trustee official tax receipts (or, if, after expending reasonable efforts, the Company is unable to obtain such receipts, other evidence of payments) evidencing the remittance to the relevant tax authorities of the amounts so withheld or deducted; and (ii) the Trustee or the Company will provide a copy of such receipts or evidence, as applicable, to any Holder or beneficial owner of any Notes upon request.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Interpretation of Indenture and Notes</w:t>
      </w:r>
      <w:r>
        <w:rPr>
          <w:rFonts w:ascii="Times New Roman" w:hAnsi="Times New Roman"/>
          <w:color w:val="000000"/>
          <w:sz w:val="24"/>
        </w:rPr>
        <w:t>. All references in this Indenture or the Notes to any payment on, or delivery with respect to, the Notes (including payment of the principal of, or the Fundamental Change Repurchase Price or Redemption Price for, or any interest on, or the delivery of any Conversion Consideration due upon Conversion of, any Note) will, to the extent that Additional Amounts are payable in respect thereof, be deemed to include the payment of such Additional Amounts.</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Survival of Obligations</w:t>
      </w:r>
      <w:r>
        <w:rPr>
          <w:rFonts w:ascii="Times New Roman" w:hAnsi="Times New Roman"/>
          <w:color w:val="000000"/>
          <w:sz w:val="24"/>
        </w:rPr>
        <w:t xml:space="preserve">. The obligations set forth in this </w:t>
      </w:r>
      <w:r>
        <w:rPr>
          <w:rFonts w:ascii="Times New Roman" w:hAnsi="Times New Roman"/>
          <w:b/>
          <w:color w:val="000000"/>
          <w:sz w:val="24"/>
        </w:rPr>
        <w:t>Section 3.05</w:t>
      </w:r>
      <w:r>
        <w:rPr>
          <w:rFonts w:ascii="Times New Roman" w:hAnsi="Times New Roman"/>
          <w:color w:val="000000"/>
          <w:sz w:val="24"/>
        </w:rPr>
        <w:t xml:space="preserve"> will survive any transfer of Notes by a Holder (or, in the case of a Global Note, a holder of a beneficial interest therein).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3.06.  Compliance and Default Certificates.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Annual Compliance Certificate</w:t>
      </w:r>
      <w:r>
        <w:rPr>
          <w:rFonts w:ascii="Times New Roman" w:hAnsi="Times New Roman"/>
          <w:color w:val="000000"/>
          <w:sz w:val="24"/>
        </w:rPr>
        <w:t>. Within ninety (90) days after the last day of each fiscal year of the Company, beginning with the first 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Default Certificate</w:t>
      </w:r>
      <w:r>
        <w:rPr>
          <w:rFonts w:ascii="Times New Roman" w:hAnsi="Times New Roman"/>
          <w:color w:val="000000"/>
          <w:sz w:val="24"/>
        </w:rPr>
        <w:t xml:space="preserve">. If a Default or Event of Default occurs, then the Company will, within thirty (30) days after the Company first obtains knowledge of the occurrence thereof, deliver an Officer’s Certificate to the Trustee describing the same and what action the Company is taking or proposes to take with respect thereto; </w:t>
      </w:r>
      <w:r>
        <w:rPr>
          <w:rFonts w:ascii="Times New Roman" w:hAnsi="Times New Roman"/>
          <w:i/>
          <w:color w:val="000000"/>
          <w:sz w:val="24"/>
        </w:rPr>
        <w:t>provided</w:t>
      </w:r>
      <w:r>
        <w:rPr>
          <w:rFonts w:ascii="Times New Roman" w:hAnsi="Times New Roman"/>
          <w:color w:val="000000"/>
          <w:sz w:val="24"/>
        </w:rPr>
        <w:t xml:space="preserve"> that the Company will not be required to deliver such Officer’s Certificate if the Default or Event of Default has been cured (or deemed cured) or waived prior to the date that such Officer’s Certificate is due.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- 35 -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3.07.  Stay, Extension and Usury Laws.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3.08.  Acquisition of Notes by the Company and its Affiliates.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Without limiting the generality of </w:t>
      </w:r>
      <w:r>
        <w:rPr>
          <w:rFonts w:ascii="Times New Roman" w:hAnsi="Times New Roman"/>
          <w:b/>
          <w:color w:val="000000"/>
          <w:sz w:val="24"/>
        </w:rPr>
        <w:t>Section 2.18</w:t>
      </w:r>
      <w:r>
        <w:rPr>
          <w:rFonts w:ascii="Times New Roman" w:hAnsi="Times New Roman"/>
          <w:color w:val="000000"/>
          <w:sz w:val="24"/>
        </w:rPr>
        <w:t xml:space="preserve">, Notes that the Company or any of its Subsidiaries have purchased or otherwise acquired will be deemed to remain outstanding (except to the extent provided in </w:t>
      </w:r>
      <w:r>
        <w:rPr>
          <w:rFonts w:ascii="Times New Roman" w:hAnsi="Times New Roman"/>
          <w:b/>
          <w:color w:val="000000"/>
          <w:sz w:val="24"/>
        </w:rPr>
        <w:t>Section 2.16</w:t>
      </w:r>
      <w:r>
        <w:rPr>
          <w:rFonts w:ascii="Times New Roman" w:hAnsi="Times New Roman"/>
          <w:color w:val="000000"/>
          <w:sz w:val="24"/>
        </w:rPr>
        <w:t>) until such time as such Notes are delivered to the Trustee for cancellation. The Company will use commercially reasonable efforts to prevent any of its controlled Affiliates from acquiring any Note (or any beneficial interest therein).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4.  REPURCHASE AND REDEMPTION</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4.01.  No Sinking Fund.</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No sinking fund is required to be provided for the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4.02.  Right of Holders to Require the Company to Repurchase Notes Upon a Fundamental Change.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Right of Holders to Require the Company to Repurchase Notes Upon a Fundamental Change</w:t>
      </w:r>
      <w:r>
        <w:rPr>
          <w:rFonts w:ascii="Times New Roman" w:hAnsi="Times New Roman"/>
          <w:color w:val="000000"/>
          <w:sz w:val="24"/>
        </w:rPr>
        <w:t xml:space="preserve">. Subject to the other terms of this </w:t>
      </w:r>
      <w:r>
        <w:rPr>
          <w:rFonts w:ascii="Times New Roman" w:hAnsi="Times New Roman"/>
          <w:b/>
          <w:color w:val="000000"/>
          <w:sz w:val="24"/>
        </w:rPr>
        <w:t>Section 4.02</w:t>
      </w:r>
      <w:r>
        <w:rPr>
          <w:rFonts w:ascii="Times New Roman" w:hAnsi="Times New Roman"/>
          <w:color w:val="000000"/>
          <w:sz w:val="24"/>
        </w:rPr>
        <w:t>, if a Fundamental Change occurs, then each Holder will have the right (the “</w:t>
      </w:r>
      <w:r>
        <w:rPr>
          <w:rFonts w:ascii="Times New Roman" w:hAnsi="Times New Roman"/>
          <w:b/>
          <w:color w:val="000000"/>
          <w:sz w:val="24"/>
        </w:rPr>
        <w:t>Fundamental Change Repurchase Right</w:t>
      </w:r>
      <w:r>
        <w:rPr>
          <w:rFonts w:ascii="Times New Roman" w:hAnsi="Times New Roman"/>
          <w:color w:val="000000"/>
          <w:sz w:val="24"/>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Repurchase Prohibited in Certain Circumstances</w:t>
      </w:r>
      <w:r>
        <w:rPr>
          <w:rFonts w:ascii="Times New Roman" w:hAnsi="Times New Roman"/>
          <w:color w:val="000000"/>
          <w:sz w:val="24"/>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hAnsi="Times New Roman"/>
          <w:b/>
          <w:color w:val="000000"/>
          <w:sz w:val="24"/>
        </w:rPr>
        <w:t>Section 4.02(D)</w:t>
      </w:r>
      <w:r>
        <w:rPr>
          <w:rFonts w:ascii="Times New Roman" w:hAnsi="Times New Roman"/>
          <w:color w:val="000000"/>
          <w:sz w:val="24"/>
        </w:rPr>
        <w:t xml:space="preserve">, on such Fundamental Change Repurchase Date), then (i) the Company may not repurchase any Notes pursuant to this </w:t>
      </w:r>
      <w:r>
        <w:rPr>
          <w:rFonts w:ascii="Times New Roman" w:hAnsi="Times New Roman"/>
          <w:b/>
          <w:color w:val="000000"/>
          <w:sz w:val="24"/>
        </w:rPr>
        <w:t>Section 4.02</w:t>
      </w:r>
      <w:r>
        <w:rPr>
          <w:rFonts w:ascii="Times New Roman" w:hAnsi="Times New Roman"/>
          <w:color w:val="000000"/>
          <w:sz w:val="24"/>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Fundamental Change Repurchase Date</w:t>
      </w:r>
      <w:r>
        <w:rPr>
          <w:rFonts w:ascii="Times New Roman" w:hAnsi="Times New Roman"/>
          <w:color w:val="000000"/>
          <w:sz w:val="24"/>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 w:hAnsi="Times New Roman"/>
          <w:b/>
          <w:color w:val="000000"/>
          <w:sz w:val="24"/>
        </w:rPr>
        <w:t>Section 4.02(E)</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- 36 -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Fundamental Change Repurchase Price</w:t>
      </w:r>
      <w:r>
        <w:rPr>
          <w:rFonts w:ascii="Times New Roman" w:hAnsi="Times New Roman"/>
          <w:color w:val="000000"/>
          <w:sz w:val="24"/>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hAnsi="Times New Roman"/>
          <w:b/>
          <w:color w:val="000000"/>
          <w:sz w:val="24"/>
        </w:rPr>
        <w:t>Section 2.05(C)</w:t>
      </w:r>
      <w:r>
        <w:rPr>
          <w:rFonts w:ascii="Times New Roman" w:hAnsi="Times New Roman"/>
          <w:color w:val="000000"/>
          <w:sz w:val="24"/>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hAnsi="Times New Roman"/>
          <w:b/>
          <w:color w:val="000000"/>
          <w:sz w:val="24"/>
        </w:rPr>
        <w:t>Section 2.05(C)</w:t>
      </w:r>
      <w:r>
        <w:rPr>
          <w:rFonts w:ascii="Times New Roman" w:hAnsi="Times New Roman"/>
          <w:color w:val="000000"/>
          <w:sz w:val="24"/>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Fundamental Change Notice</w:t>
      </w:r>
      <w:r>
        <w:rPr>
          <w:rFonts w:ascii="Times New Roman" w:hAnsi="Times New Roman"/>
          <w:color w:val="000000"/>
          <w:sz w:val="24"/>
        </w:rPr>
        <w:t>. On or before the twentieth (20th) calendar day after the effective date of a Fundamental Change, the Company will send to each Holder, the Trustee, the Conversion Agent and the Paying Agent a notice of such Fundamental Change (a “</w:t>
      </w:r>
      <w:r>
        <w:rPr>
          <w:rFonts w:ascii="Times New Roman" w:hAnsi="Times New Roman"/>
          <w:b/>
          <w:color w:val="000000"/>
          <w:sz w:val="24"/>
        </w:rPr>
        <w:t>Fundamental Change Notice</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Such Fundamental Change Notice must state: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briefly, the events causing such Fundamental Change;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effective date of such Fundamental Change;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procedures that a Holder must follow to require the Company to repurchase its Notes pursuant to this </w:t>
      </w:r>
      <w:r>
        <w:rPr>
          <w:rFonts w:ascii="Times New Roman" w:hAnsi="Times New Roman"/>
          <w:b/>
          <w:color w:val="000000"/>
          <w:sz w:val="24"/>
        </w:rPr>
        <w:t>Section 4.02</w:t>
      </w:r>
      <w:r>
        <w:rPr>
          <w:rFonts w:ascii="Times New Roman" w:hAnsi="Times New Roman"/>
          <w:color w:val="000000"/>
          <w:sz w:val="24"/>
        </w:rPr>
        <w:t>, including the deadline for exercising the Fundamental Change Repurchase Right and the procedures for submitting and withdrawing a Fundamental Change Repurchase Notice;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Fundamental Change Repurchase Date for such Fundamental Change;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hAnsi="Times New Roman"/>
          <w:b/>
          <w:color w:val="000000"/>
          <w:sz w:val="24"/>
        </w:rPr>
        <w:t>Section 4.02(D)</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the name and address of the Paying Agent and the Conversion Agent;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- 37 -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hAnsi="Times New Roman"/>
          <w:b/>
          <w:color w:val="000000"/>
          <w:sz w:val="24"/>
        </w:rPr>
        <w:t>Section 5.07</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that Notes for which a Fundamental Change Repurchase Notice has been duly tendered and not duly withdrawn must be delivered to the Paying Agent for the Holder thereof to be entitled to receive the Fundamental Change Repurchase Price;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that Notes (or any portion thereof) that are subject to a Fundamental Change Repurchase Notice that has been duly tendered may be Converted only if such Fundamental Change Repurchase Notice is withdrawn in accordance with this Indenture;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the CUSIP and ISIN numbers, if any, of the Notes.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Procedures to Exercise the Fundamental Change Repurchase Right</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Delivery of Fundamental Change Repurchase Notice and Notes to Be Repurchased</w:t>
      </w:r>
      <w:r>
        <w:rPr>
          <w:rFonts w:ascii="Times New Roman" w:hAnsi="Times New Roman"/>
          <w:color w:val="000000"/>
          <w:sz w:val="24"/>
        </w:rPr>
        <w:t>. To exercise its Fundamental Change Repurchase Right for a Note following a Fundamental Change, the Holder thereof must deliver to the Paying Agent: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before the Close of Business on the Business Day immediately before the related Fundamental Change Repurchase Date (or such later time as may be required by law), a duly completed, written Fundamental Change Repurchase Notice with respect to such Note; and</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such Note, duly endorsed for transfer (if such Note is a Physical Note) or by book-entry transfer (if such Note is a Global Note).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The Paying Agent will promptly deliver to the Company a copy of each Fundamental Change Repurchase Notice that it receives.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Contents of Fundamental Change Repurchase Notices</w:t>
      </w:r>
      <w:r>
        <w:rPr>
          <w:rFonts w:ascii="Times New Roman" w:hAnsi="Times New Roman"/>
          <w:color w:val="000000"/>
          <w:sz w:val="24"/>
        </w:rPr>
        <w:t>. Each Fundamental Change Repurchase Notice with respect to a Note must state: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if such Note is a Physical Note, the certificate number of such Note;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the principal amount of such Note to be repurchased, which must be an Authorized Denomination; and</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that such Holder is exercising its Fundamental Change Repurchase Right with respect to such principal amount of such Note;</w:t>
      </w:r>
    </w:p>
    <w:p>
      <w:pPr>
        <w:pStyle w:val="TextBody"/>
        <w:bidi w:val="0"/>
        <w:spacing w:before="0" w:after="0"/>
        <w:ind w:left="144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- 38 -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 w:hAnsi="Times New Roman"/>
          <w:b/>
          <w:color w:val="000000"/>
          <w:sz w:val="24"/>
        </w:rPr>
        <w:t>Section 4.02(F)</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Withdrawal of Fundamental Change Repurchase Notice</w:t>
      </w:r>
      <w:r>
        <w:rPr>
          <w:rFonts w:ascii="Times New Roman" w:hAnsi="Times New Roman"/>
          <w:color w:val="000000"/>
          <w:sz w:val="24"/>
        </w:rPr>
        <w:t>.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if such Note is a Physical Note, the certificate number of such Note;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the principal amount of such Note to be withdrawn, which must be an Authorized Denomination; and</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the principal amount of such Note, if any, that remains subject to such Fundamental Change Repurchase Notice, which must be an Authorized Denomination;</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color w:val="000000"/>
          <w:sz w:val="24"/>
        </w:rPr>
        <w:t>Section 4.02(F)</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hAnsi="Times New Roman"/>
          <w:b/>
          <w:color w:val="000000"/>
          <w:sz w:val="24"/>
        </w:rPr>
        <w:t>Section 2.11</w:t>
      </w:r>
      <w:r>
        <w:rPr>
          <w:rFonts w:ascii="Times New Roman" w:hAnsi="Times New Roman"/>
          <w:color w:val="000000"/>
          <w:sz w:val="24"/>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Payment of the Fundamental Change Repurchase Price</w:t>
      </w:r>
      <w:r>
        <w:rPr>
          <w:rFonts w:ascii="Times New Roman" w:hAnsi="Times New Roman"/>
          <w:color w:val="000000"/>
          <w:sz w:val="24"/>
        </w:rPr>
        <w:t xml:space="preserve">. Without limiting the Company’s obligation to deposit the Fundamental Change Repurchase Price within the time prescribed by </w:t>
      </w:r>
      <w:r>
        <w:rPr>
          <w:rFonts w:ascii="Times New Roman" w:hAnsi="Times New Roman"/>
          <w:b/>
          <w:color w:val="000000"/>
          <w:sz w:val="24"/>
        </w:rPr>
        <w:t>Section 3.01(B)</w:t>
      </w:r>
      <w:r>
        <w:rPr>
          <w:rFonts w:ascii="Times New Roman" w:hAnsi="Times New Roman"/>
          <w:color w:val="000000"/>
          <w:sz w:val="24"/>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hAnsi="Times New Roman"/>
          <w:b/>
          <w:color w:val="000000"/>
          <w:sz w:val="24"/>
        </w:rPr>
        <w:t>Section 4.02(D)</w:t>
      </w:r>
      <w:r>
        <w:rPr>
          <w:rFonts w:ascii="Times New Roman" w:hAnsi="Times New Roman"/>
          <w:color w:val="000000"/>
          <w:sz w:val="24"/>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 w:hAnsi="Times New Roman"/>
          <w:b/>
          <w:color w:val="000000"/>
          <w:sz w:val="24"/>
        </w:rPr>
        <w:t>Section 4.02(G)</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- 39 -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Third Party May Conduct Repurchase Offer In Lieu of the Company</w:t>
      </w:r>
      <w:r>
        <w:rPr>
          <w:rFonts w:ascii="Times New Roman" w:hAnsi="Times New Roman"/>
          <w:color w:val="000000"/>
          <w:sz w:val="24"/>
        </w:rPr>
        <w:t xml:space="preserve">. Notwithstanding anything to the contrary in this </w:t>
      </w:r>
      <w:r>
        <w:rPr>
          <w:rFonts w:ascii="Times New Roman" w:hAnsi="Times New Roman"/>
          <w:b/>
          <w:color w:val="000000"/>
          <w:sz w:val="24"/>
        </w:rPr>
        <w:t>Section 4.02</w:t>
      </w:r>
      <w:r>
        <w:rPr>
          <w:rFonts w:ascii="Times New Roman" w:hAnsi="Times New Roman"/>
          <w:color w:val="000000"/>
          <w:sz w:val="24"/>
        </w:rPr>
        <w:t xml:space="preserve">, the Company will be deemed to satisfy its obligations under this </w:t>
      </w:r>
      <w:r>
        <w:rPr>
          <w:rFonts w:ascii="Times New Roman" w:hAnsi="Times New Roman"/>
          <w:b/>
          <w:color w:val="000000"/>
          <w:sz w:val="24"/>
        </w:rPr>
        <w:t>Section 4.02</w:t>
      </w:r>
      <w:r>
        <w:rPr>
          <w:rFonts w:ascii="Times New Roman" w:hAnsi="Times New Roman"/>
          <w:color w:val="000000"/>
          <w:sz w:val="24"/>
        </w:rPr>
        <w:t xml:space="preserve"> if (i) one or more third parties conduct any Repurchase Upon Fundamental Change and related offer to repurchase Notes otherwise required by this </w:t>
      </w:r>
      <w:r>
        <w:rPr>
          <w:rFonts w:ascii="Times New Roman" w:hAnsi="Times New Roman"/>
          <w:b/>
          <w:color w:val="000000"/>
          <w:sz w:val="24"/>
        </w:rPr>
        <w:t>Section 4.02</w:t>
      </w:r>
      <w:r>
        <w:rPr>
          <w:rFonts w:ascii="Times New Roman" w:hAnsi="Times New Roman"/>
          <w:color w:val="000000"/>
          <w:sz w:val="24"/>
        </w:rPr>
        <w:t xml:space="preserve"> in a manner that would have satisfied the requirements of this </w:t>
      </w:r>
      <w:r>
        <w:rPr>
          <w:rFonts w:ascii="Times New Roman" w:hAnsi="Times New Roman"/>
          <w:b/>
          <w:color w:val="000000"/>
          <w:sz w:val="24"/>
        </w:rPr>
        <w:t>Section 4.02</w:t>
      </w:r>
      <w:r>
        <w:rPr>
          <w:rFonts w:ascii="Times New Roman" w:hAnsi="Times New Roman"/>
          <w:color w:val="000000"/>
          <w:sz w:val="24"/>
        </w:rPr>
        <w:t xml:space="preserve"> if conducted directly by the Company; and (ii) an owner of a beneficial interest in any Note repurchased by such third party or parties will not receive a lesser amount (as a result of withholding or other similar taxes) than such owner would have received had the Company repurchased such Note.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No Requirement to Conduct an Offer to Repurchase Notes if the Fundamental Change Results in the Notes Becoming Convertible into an Amount of Cash Exceeding the Fundamental Change Repurchase Price. Notwithstanding anything to the contrary in this </w:t>
      </w:r>
      <w:r>
        <w:rPr>
          <w:rFonts w:ascii="Times New Roman" w:hAnsi="Times New Roman"/>
          <w:b/>
          <w:color w:val="000000"/>
          <w:sz w:val="24"/>
        </w:rPr>
        <w:t>Section 4.02</w:t>
      </w:r>
      <w:r>
        <w:rPr>
          <w:rFonts w:ascii="Times New Roman" w:hAnsi="Times New Roman"/>
          <w:color w:val="000000"/>
          <w:sz w:val="24"/>
        </w:rPr>
        <w:t xml:space="preserve">, the Company will not be required to send a Fundamental Change Notice pursuant to </w:t>
      </w:r>
      <w:r>
        <w:rPr>
          <w:rFonts w:ascii="Times New Roman" w:hAnsi="Times New Roman"/>
          <w:b/>
          <w:color w:val="000000"/>
          <w:sz w:val="24"/>
        </w:rPr>
        <w:t>Section 4.02(E)</w:t>
      </w:r>
      <w:r>
        <w:rPr>
          <w:rFonts w:ascii="Times New Roman" w:hAnsi="Times New Roman"/>
          <w:color w:val="000000"/>
          <w:sz w:val="24"/>
        </w:rPr>
        <w:t xml:space="preserve">, or offer to repurchase or repurchase any Notes pursuant to this </w:t>
      </w:r>
      <w:r>
        <w:rPr>
          <w:rFonts w:ascii="Times New Roman" w:hAnsi="Times New Roman"/>
          <w:b/>
          <w:color w:val="000000"/>
          <w:sz w:val="24"/>
        </w:rPr>
        <w:t>Section 4.02</w:t>
      </w:r>
      <w:r>
        <w:rPr>
          <w:rFonts w:ascii="Times New Roman" w:hAnsi="Times New Roman"/>
          <w:color w:val="000000"/>
          <w:sz w:val="24"/>
        </w:rPr>
        <w:t xml:space="preserve">, in connection with an Ordinary Share Change Event that constitutes a Fundamental Change pursuant to </w:t>
      </w:r>
      <w:r>
        <w:rPr>
          <w:rFonts w:ascii="Times New Roman" w:hAnsi="Times New Roman"/>
          <w:b/>
          <w:color w:val="000000"/>
          <w:sz w:val="24"/>
        </w:rPr>
        <w:t>clause (B)(ii)</w:t>
      </w:r>
      <w:r>
        <w:rPr>
          <w:rFonts w:ascii="Times New Roman" w:hAnsi="Times New Roman"/>
          <w:color w:val="000000"/>
          <w:sz w:val="24"/>
        </w:rPr>
        <w:t xml:space="preserve"> of the definition thereof (regardless of whether such Ordinary Share Change Event also constitutes a Fundamental Change pursuant to any other clause of such definition), if (i) the Reference Property of such Ordinary Share Change Event consists entirely of cash in U.S. dollars; (ii) immediately after such Fundamental Change, the Notes become Convertible, pursuant to </w:t>
      </w:r>
      <w:r>
        <w:rPr>
          <w:rFonts w:ascii="Times New Roman" w:hAnsi="Times New Roman"/>
          <w:b/>
          <w:color w:val="000000"/>
          <w:sz w:val="24"/>
        </w:rPr>
        <w:t>Section 5.09(A)</w:t>
      </w:r>
      <w:r>
        <w:rPr>
          <w:rFonts w:ascii="Times New Roman" w:hAnsi="Times New Roman"/>
          <w:color w:val="000000"/>
          <w:sz w:val="24"/>
        </w:rPr>
        <w:t xml:space="preserve"> and, if applicable, </w:t>
      </w:r>
      <w:r>
        <w:rPr>
          <w:rFonts w:ascii="Times New Roman" w:hAnsi="Times New Roman"/>
          <w:b/>
          <w:color w:val="000000"/>
          <w:sz w:val="24"/>
        </w:rPr>
        <w:t>Section 5.07</w:t>
      </w:r>
      <w:r>
        <w:rPr>
          <w:rFonts w:ascii="Times New Roman" w:hAnsi="Times New Roman"/>
          <w:color w:val="000000"/>
          <w:sz w:val="24"/>
        </w:rPr>
        <w:t xml:space="preserve">, into consideration that consists solely of U.S. dollars in an amount per $1,000 aggregate principal amount of Notes that equals or exceeds the Fundamental Change Repurchase Price per $1,000 aggregate principal amount of Notes (calculated (1) assuming that the same includes accrued and unpaid interest to, but excluding, the latest possible Fundamental Change Repurchase Date for such Fundamental Change and (2) without regard to the proviso to the first sentence of </w:t>
      </w:r>
      <w:r>
        <w:rPr>
          <w:rFonts w:ascii="Times New Roman" w:hAnsi="Times New Roman"/>
          <w:b/>
          <w:color w:val="000000"/>
          <w:sz w:val="24"/>
        </w:rPr>
        <w:t>Section 4.02(D)</w:t>
      </w:r>
      <w:r>
        <w:rPr>
          <w:rFonts w:ascii="Times New Roman" w:hAnsi="Times New Roman"/>
          <w:color w:val="000000"/>
          <w:sz w:val="24"/>
        </w:rPr>
        <w:t xml:space="preserve">); and (iii) the Company timely sends the notice relating to such Fundamental Change required pursuant to </w:t>
      </w:r>
      <w:r>
        <w:rPr>
          <w:rFonts w:ascii="Times New Roman" w:hAnsi="Times New Roman"/>
          <w:b/>
          <w:color w:val="000000"/>
          <w:sz w:val="24"/>
        </w:rPr>
        <w:t>Section 5.01(C)(i)(3)(b)</w:t>
      </w:r>
      <w:r>
        <w:rPr>
          <w:rFonts w:ascii="Times New Roman" w:hAnsi="Times New Roman"/>
          <w:color w:val="000000"/>
          <w:sz w:val="24"/>
        </w:rPr>
        <w:t xml:space="preserve"> and includes, in such notice, a statement that the Company is relying on this </w:t>
      </w:r>
      <w:r>
        <w:rPr>
          <w:rFonts w:ascii="Times New Roman" w:hAnsi="Times New Roman"/>
          <w:b/>
          <w:color w:val="000000"/>
          <w:sz w:val="24"/>
        </w:rPr>
        <w:t>Section 4.02(I)</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Compliance with Applicable Securities Laws</w:t>
      </w:r>
      <w:r>
        <w:rPr>
          <w:rFonts w:ascii="Times New Roman" w:hAnsi="Times New Roman"/>
          <w:color w:val="000000"/>
          <w:sz w:val="24"/>
        </w:rPr>
        <w:t xml:space="preserve">. To the extent applicable, the Company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to the extent that the Company’s obligations pursuant to this </w:t>
      </w:r>
      <w:r>
        <w:rPr>
          <w:rFonts w:ascii="Times New Roman" w:hAnsi="Times New Roman"/>
          <w:b/>
          <w:color w:val="000000"/>
          <w:sz w:val="24"/>
        </w:rPr>
        <w:t>Section 4.02</w:t>
      </w:r>
      <w:r>
        <w:rPr>
          <w:rFonts w:ascii="Times New Roman" w:hAnsi="Times New Roman"/>
          <w:color w:val="000000"/>
          <w:sz w:val="24"/>
        </w:rPr>
        <w:t xml:space="preserve"> conflict with any law or regulation that is applicable to the Company and enacted after the Issue Date, the Company’s compliance with such law or regulation will not be considered to be a Default of such obligations.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Repurchase in Part</w:t>
      </w:r>
      <w:r>
        <w:rPr>
          <w:rFonts w:ascii="Times New Roman" w:hAnsi="Times New Roman"/>
          <w:color w:val="000000"/>
          <w:sz w:val="24"/>
        </w:rPr>
        <w:t xml:space="preserve">. Subject to the terms of this </w:t>
      </w:r>
      <w:r>
        <w:rPr>
          <w:rFonts w:ascii="Times New Roman" w:hAnsi="Times New Roman"/>
          <w:b/>
          <w:color w:val="000000"/>
          <w:sz w:val="24"/>
        </w:rPr>
        <w:t>Section 4.02</w:t>
      </w:r>
      <w:r>
        <w:rPr>
          <w:rFonts w:ascii="Times New Roman" w:hAnsi="Times New Roman"/>
          <w:color w:val="000000"/>
          <w:sz w:val="24"/>
        </w:rPr>
        <w:t xml:space="preserve">, Notes may be repurchased pursuant to a Repurchase Upon Fundamental Change in part, but only in Authorized Denominations. Provisions of this </w:t>
      </w:r>
      <w:r>
        <w:rPr>
          <w:rFonts w:ascii="Times New Roman" w:hAnsi="Times New Roman"/>
          <w:b/>
          <w:color w:val="000000"/>
          <w:sz w:val="24"/>
        </w:rPr>
        <w:t>Section 4.02</w:t>
      </w:r>
      <w:r>
        <w:rPr>
          <w:rFonts w:ascii="Times New Roman" w:hAnsi="Times New Roman"/>
          <w:color w:val="000000"/>
          <w:sz w:val="24"/>
        </w:rPr>
        <w:t xml:space="preserve"> applying to the repurchase of a Note in whole will equally apply to the repurchase of a permitted portion of a Note.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- 40 -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4.03.  Right of the Company to Redeem the Notes.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No Right to Redeem Before December 6, 2029 Except Pursuant to a Tax Redemption.</w:t>
      </w:r>
      <w:r>
        <w:rPr>
          <w:rFonts w:ascii="Times New Roman" w:hAnsi="Times New Roman"/>
          <w:color w:val="000000"/>
          <w:sz w:val="24"/>
        </w:rPr>
        <w:t xml:space="preserve"> The Company may not redeem the Notes at its option pursuant to this </w:t>
      </w:r>
      <w:r>
        <w:rPr>
          <w:rFonts w:ascii="Times New Roman" w:hAnsi="Times New Roman"/>
          <w:b/>
          <w:color w:val="000000"/>
          <w:sz w:val="24"/>
        </w:rPr>
        <w:t>Section 4.03</w:t>
      </w:r>
      <w:r>
        <w:rPr>
          <w:rFonts w:ascii="Times New Roman" w:hAnsi="Times New Roman"/>
          <w:color w:val="000000"/>
          <w:sz w:val="24"/>
        </w:rPr>
        <w:t xml:space="preserve"> at any time before December 6, 2029, except pursuant to a Tax Redemption.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Right to Redeem the Notes On or After December 6, 2029.</w:t>
      </w:r>
      <w:r>
        <w:rPr>
          <w:rFonts w:ascii="Times New Roman" w:hAnsi="Times New Roman"/>
          <w:color w:val="000000"/>
          <w:sz w:val="24"/>
        </w:rPr>
        <w:t xml:space="preserve"> Subject to the terms of this </w:t>
      </w:r>
      <w:r>
        <w:rPr>
          <w:rFonts w:ascii="Times New Roman" w:hAnsi="Times New Roman"/>
          <w:b/>
          <w:color w:val="000000"/>
          <w:sz w:val="24"/>
        </w:rPr>
        <w:t>Section 4.03</w:t>
      </w:r>
      <w:r>
        <w:rPr>
          <w:rFonts w:ascii="Times New Roman" w:hAnsi="Times New Roman"/>
          <w:color w:val="000000"/>
          <w:sz w:val="24"/>
        </w:rPr>
        <w:t xml:space="preserve">, the Company has the right, at its election, to redeem all, or any portion in an Authorized Denomination, of the Notes, at any time, and from time to time, on a Redemption Date on or after December 6, 2029 and on or before the thirtieth (30th) Scheduled Trading Day immediately before the Maturity Date, for a cash purchase price equal to the Redemption Price, but only if (i) the Notes are Freely Tradable as of the Redemption Notice Date for such Redemption and all accrued and unpaid Additional Interest, if any, has been paid in full as of the most recent Interest Payment Date occurring on or before such Redemption Notice Date; and (ii) the Last Reported Sale Price per Ordinary Share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one hundred million dollars ($100,000,000). For the avoidance of doubt, the calling of any Notes for a Provisional Redemption will constitute a Make-Whole Fundamental Change with respect to such Notes pursuant to </w:t>
      </w:r>
      <w:r>
        <w:rPr>
          <w:rFonts w:ascii="Times New Roman" w:hAnsi="Times New Roman"/>
          <w:b/>
          <w:color w:val="000000"/>
          <w:sz w:val="24"/>
        </w:rPr>
        <w:t>clause (B)</w:t>
      </w:r>
      <w:r>
        <w:rPr>
          <w:rFonts w:ascii="Times New Roman" w:hAnsi="Times New Roman"/>
          <w:color w:val="000000"/>
          <w:sz w:val="24"/>
        </w:rPr>
        <w:t xml:space="preserve"> of the definition thereof.</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Right to Redeem the Notes After a Change in Tax Law</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 xml:space="preserve">Generally. </w:t>
      </w:r>
      <w:r>
        <w:rPr>
          <w:rFonts w:ascii="Times New Roman" w:hAnsi="Times New Roman"/>
          <w:color w:val="000000"/>
          <w:sz w:val="24"/>
        </w:rPr>
        <w:t xml:space="preserve">Subject to the terms of this </w:t>
      </w:r>
      <w:r>
        <w:rPr>
          <w:rFonts w:ascii="Times New Roman" w:hAnsi="Times New Roman"/>
          <w:b/>
          <w:color w:val="000000"/>
          <w:sz w:val="24"/>
        </w:rPr>
        <w:t>Section 4.03</w:t>
      </w:r>
      <w:r>
        <w:rPr>
          <w:rFonts w:ascii="Times New Roman" w:hAnsi="Times New Roman"/>
          <w:color w:val="000000"/>
          <w:sz w:val="24"/>
        </w:rPr>
        <w:t xml:space="preserve">, and without limiting the Company’s right to redeem any Notes pursuant to </w:t>
      </w:r>
      <w:r>
        <w:rPr>
          <w:rFonts w:ascii="Times New Roman" w:hAnsi="Times New Roman"/>
          <w:b/>
          <w:color w:val="000000"/>
          <w:sz w:val="24"/>
        </w:rPr>
        <w:t>Section 4.03(B)</w:t>
      </w:r>
      <w:r>
        <w:rPr>
          <w:rFonts w:ascii="Times New Roman" w:hAnsi="Times New Roman"/>
          <w:color w:val="000000"/>
          <w:sz w:val="24"/>
        </w:rPr>
        <w:t>, the Company has the right, at its election, to redeem all, but not less than all, of the Notes, at any time, on a Redemption Date before the Maturity Date, for a cash purchase price equal to the Redemption Price, but only if the following conditions are satisfied: (1) the Company has (or, on the next Interest Payment Date, would) become obligated to pay any Additional Amounts to Holders as a result of any Change in Tax Law; (2) the Company cannot avoid such obligation by taking reasonable measures available to the Company (</w:t>
      </w:r>
      <w:r>
        <w:rPr>
          <w:rFonts w:ascii="Times New Roman" w:hAnsi="Times New Roman"/>
          <w:i/>
          <w:color w:val="000000"/>
          <w:sz w:val="24"/>
        </w:rPr>
        <w:t>provided</w:t>
      </w:r>
      <w:r>
        <w:rPr>
          <w:rFonts w:ascii="Times New Roman" w:hAnsi="Times New Roman"/>
          <w:color w:val="000000"/>
          <w:sz w:val="24"/>
        </w:rPr>
        <w:t xml:space="preserve"> that changing the Company’s jurisdiction of incorporation or organization or the jurisdiction of incorporation or organization of the issuer of the Ordinary Shares or Reference Property Units shall not be deemed to be a reasonable measure); (3) the Company delivers to the Trustee (x) an Opinion of Counsel from outside legal counsel of recognized standing in the Relevant Taxing Jurisdiction attesting to </w:t>
      </w:r>
      <w:r>
        <w:rPr>
          <w:rFonts w:ascii="Times New Roman" w:hAnsi="Times New Roman"/>
          <w:b/>
          <w:color w:val="000000"/>
          <w:sz w:val="24"/>
        </w:rPr>
        <w:t>clause (1)</w:t>
      </w:r>
      <w:r>
        <w:rPr>
          <w:rFonts w:ascii="Times New Roman" w:hAnsi="Times New Roman"/>
          <w:color w:val="000000"/>
          <w:sz w:val="24"/>
        </w:rPr>
        <w:t xml:space="preserve"> above; and (y) an Officer’s Certificate attesting to </w:t>
      </w:r>
      <w:r>
        <w:rPr>
          <w:rFonts w:ascii="Times New Roman" w:hAnsi="Times New Roman"/>
          <w:b/>
          <w:color w:val="000000"/>
          <w:sz w:val="24"/>
        </w:rPr>
        <w:t>clauses (1)</w:t>
      </w:r>
      <w:r>
        <w:rPr>
          <w:rFonts w:ascii="Times New Roman" w:hAnsi="Times New Roman"/>
          <w:color w:val="000000"/>
          <w:sz w:val="24"/>
        </w:rPr>
        <w:t xml:space="preserve"> and </w:t>
      </w:r>
      <w:r>
        <w:rPr>
          <w:rFonts w:ascii="Times New Roman" w:hAnsi="Times New Roman"/>
          <w:b/>
          <w:color w:val="000000"/>
          <w:sz w:val="24"/>
        </w:rPr>
        <w:t>(2)</w:t>
      </w:r>
      <w:r>
        <w:rPr>
          <w:rFonts w:ascii="Times New Roman" w:hAnsi="Times New Roman"/>
          <w:color w:val="000000"/>
          <w:sz w:val="24"/>
        </w:rPr>
        <w:t xml:space="preserve"> above; and (4) if the Redemption Date is after the De-Legending Deadline Date, the Notes are Freely Tradable as of the Redemption Notice Date for such Redemption and all accrued and unpaid Additional Interest, if any, has been paid in full as of the most recent Interest Payment Date occurring on or before such Redemption Notice Date. For the avoidance of doubt, the calling of any Notes for a Tax Redemption will constitute a Make-Whole Fundamental Change pursuant to </w:t>
      </w:r>
      <w:r>
        <w:rPr>
          <w:rFonts w:ascii="Times New Roman" w:hAnsi="Times New Roman"/>
          <w:b/>
          <w:color w:val="000000"/>
          <w:sz w:val="24"/>
        </w:rPr>
        <w:t>clause (B)</w:t>
      </w:r>
      <w:r>
        <w:rPr>
          <w:rFonts w:ascii="Times New Roman" w:hAnsi="Times New Roman"/>
          <w:color w:val="000000"/>
          <w:sz w:val="24"/>
        </w:rPr>
        <w:t xml:space="preserve"> of the definition thereof.</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- 41 -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Tax Redemption Opt-Out Election</w:t>
      </w:r>
      <w:r>
        <w:rPr>
          <w:rFonts w:ascii="Times New Roman" w:hAnsi="Times New Roman"/>
          <w:color w:val="000000"/>
          <w:sz w:val="24"/>
        </w:rPr>
        <w:t xml:space="preserve">. If the Company calls the Notes for a Tax Redemption, then, notwithstanding anything to the contrary in this </w:t>
      </w:r>
      <w:r>
        <w:rPr>
          <w:rFonts w:ascii="Times New Roman" w:hAnsi="Times New Roman"/>
          <w:b/>
          <w:color w:val="000000"/>
          <w:sz w:val="24"/>
        </w:rPr>
        <w:t>Section 4.03</w:t>
      </w:r>
      <w:r>
        <w:rPr>
          <w:rFonts w:ascii="Times New Roman" w:hAnsi="Times New Roman"/>
          <w:color w:val="000000"/>
          <w:sz w:val="24"/>
        </w:rPr>
        <w:t xml:space="preserve"> or in </w:t>
      </w:r>
      <w:r>
        <w:rPr>
          <w:rFonts w:ascii="Times New Roman" w:hAnsi="Times New Roman"/>
          <w:b/>
          <w:color w:val="000000"/>
          <w:sz w:val="24"/>
        </w:rPr>
        <w:t>Section 3.05</w:t>
      </w:r>
      <w:r>
        <w:rPr>
          <w:rFonts w:ascii="Times New Roman" w:hAnsi="Times New Roman"/>
          <w:color w:val="000000"/>
          <w:sz w:val="24"/>
        </w:rPr>
        <w:t>, each Holder will have the right to elect (a “</w:t>
      </w:r>
      <w:r>
        <w:rPr>
          <w:rFonts w:ascii="Times New Roman" w:hAnsi="Times New Roman"/>
          <w:b/>
          <w:color w:val="000000"/>
          <w:sz w:val="24"/>
        </w:rPr>
        <w:t>Tax Redemption Opt-Out Election</w:t>
      </w:r>
      <w:r>
        <w:rPr>
          <w:rFonts w:ascii="Times New Roman" w:hAnsi="Times New Roman"/>
          <w:color w:val="000000"/>
          <w:sz w:val="24"/>
        </w:rPr>
        <w:t xml:space="preserve">”) not to have such Holder’s Notes (or any portion thereof in an Authorized Denomination) redeemed pursuant to such Tax Redemption, in which case, from and after the Redemption Date for such Tax Redemption (or, if the Company fails to pay the Redemption Price due on such Redemption Date in full, from and after such time as the Company pays such Redemption Price in full), the Company will no longer have any obligation to pay any Additional Amounts with respect to such Notes solely as a result of such Change in Tax Law, and all future payments with respect to such Notes will be subject to the deduction or withholding of such Relevant Taxing Jurisdiction’s taxes required by law to be deducted or withheld as a result of such Change in Tax Law;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such Holder Converts such Notes with a Conversion Date occurring before such Redemption Date (or, if the Company fails to pay the Redemption Price due on such Redemption Date in full, such Notes are submitted for Conversion at any time until such time as the Company pays such Redemption Price in full), then the Company will be obligated to pay Additional Amounts, if any, with respect to such Conversion.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i/>
          <w:color w:val="000000"/>
          <w:sz w:val="24"/>
        </w:rPr>
        <w:t>Tax Redemption Opt-Out Election Notice</w:t>
      </w:r>
      <w:r>
        <w:rPr>
          <w:rFonts w:ascii="Times New Roman" w:hAnsi="Times New Roman"/>
          <w:color w:val="000000"/>
          <w:sz w:val="24"/>
        </w:rPr>
        <w:t>. To make a Tax Redemption Opt-Out Election with respect to any Note (or any portion thereof in an Authorized Denomination), the Holder of such Note must (subject, in the case of a Global Note or any portion thereof, to the Depositary Procedures) deliver a notice (a “</w:t>
      </w:r>
      <w:r>
        <w:rPr>
          <w:rFonts w:ascii="Times New Roman" w:hAnsi="Times New Roman"/>
          <w:b/>
          <w:color w:val="000000"/>
          <w:sz w:val="24"/>
        </w:rPr>
        <w:t>Tax Redemption Opt-Out Election Notice</w:t>
      </w:r>
      <w:r>
        <w:rPr>
          <w:rFonts w:ascii="Times New Roman" w:hAnsi="Times New Roman"/>
          <w:color w:val="000000"/>
          <w:sz w:val="24"/>
        </w:rPr>
        <w:t xml:space="preserve">”) to the Paying Agent before the Close of Business on the second (2nd) Business Day immediately before the related Redemption Date, which notice must state: (x) if such Note is a Physical Note, the certificate number of such Note; (y) the principal amount of such Note as to which the Tax Redemption Opt-Out Election will apply, which must be an Authorized Denomination; and (z) that such Holder is making a Tax Redemption Opt-Out Election with respect to such Note (or such portion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then such notice must comply with the Depositary Procedures (and any such notice delivered in compliance with the Depositary Procedures will be deemed to satisfy the requirements of this </w:t>
      </w:r>
      <w:r>
        <w:rPr>
          <w:rFonts w:ascii="Times New Roman" w:hAnsi="Times New Roman"/>
          <w:b/>
          <w:color w:val="000000"/>
          <w:sz w:val="24"/>
        </w:rPr>
        <w:t>Section 4.03(C)(ii)(1)</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i/>
          <w:color w:val="000000"/>
          <w:sz w:val="24"/>
        </w:rPr>
        <w:t>Withdrawal of Tax Redemption Opt-Out Election Notice</w:t>
      </w:r>
      <w:r>
        <w:rPr>
          <w:rFonts w:ascii="Times New Roman" w:hAnsi="Times New Roman"/>
          <w:color w:val="000000"/>
          <w:sz w:val="24"/>
        </w:rPr>
        <w:t xml:space="preserve">. A Holder that has delivered a Tax Redemption Opt-Out Election Notice with respect to any Note (or any portion thereof in an Authorized Denomination) may (subject, in the case of a Global Note or any portion thereof, to the Depositary Procedures) withdraw such Tax Redemption Opt-Out Election Notice by delivering a withdrawal notice to the Paying Agent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 which withdrawal notice must state: (x) if such Note is a Physical Note, the certificate number of such Note; (y) the principal amount of such Note as to which the Tax Redemption Opt-Out Election is being withdrawn, which must be an Authorized Denomination; and (z) that such Holder is withdrawing the Tax Redemption Opt-Out Election with respect to such Note (or such portion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color w:val="000000"/>
          <w:sz w:val="24"/>
        </w:rPr>
        <w:t>Section 4.03(C)(ii)(2)</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- 42 -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Right to Convert Not Affected</w:t>
      </w:r>
      <w:r>
        <w:rPr>
          <w:rFonts w:ascii="Times New Roman" w:hAnsi="Times New Roman"/>
          <w:color w:val="000000"/>
          <w:sz w:val="24"/>
        </w:rPr>
        <w:t>. For the avoidance of doubt, a Tax Redemption will not affect any Holder’s right to Convert any Notes (or the Company’s obligation, if the Conversion Date for such Conversion occurs before the applicable Redemption Date, to pay any Additional Amounts with respect to such Conversion).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Redemption Prohibited in Certain Circumstances</w:t>
      </w:r>
      <w:r>
        <w:rPr>
          <w:rFonts w:ascii="Times New Roman" w:hAnsi="Times New Roman"/>
          <w:color w:val="000000"/>
          <w:sz w:val="24"/>
        </w:rPr>
        <w:t xml:space="preserve">. If the principal amount of the Notes has been accelerated and such acceleration has not been rescinded on or before the Redemption Date (including as a result of the payment of the related Redemption Price, and any related interest pursuant to the proviso to the first sentence of </w:t>
      </w:r>
      <w:r>
        <w:rPr>
          <w:rFonts w:ascii="Times New Roman" w:hAnsi="Times New Roman"/>
          <w:b/>
          <w:color w:val="000000"/>
          <w:sz w:val="24"/>
        </w:rPr>
        <w:t>Section 4.03(F)</w:t>
      </w:r>
      <w:r>
        <w:rPr>
          <w:rFonts w:ascii="Times New Roman" w:hAnsi="Times New Roman"/>
          <w:color w:val="000000"/>
          <w:sz w:val="24"/>
        </w:rPr>
        <w:t xml:space="preserve">, on such Redemption Date), then (i) the Company may not call for Redemption or otherwise redeem any Notes pursuant to this </w:t>
      </w:r>
      <w:r>
        <w:rPr>
          <w:rFonts w:ascii="Times New Roman" w:hAnsi="Times New Roman"/>
          <w:b/>
          <w:color w:val="000000"/>
          <w:sz w:val="24"/>
        </w:rPr>
        <w:t>Section 4.03</w:t>
      </w:r>
      <w:r>
        <w:rPr>
          <w:rFonts w:ascii="Times New Roman" w:hAnsi="Times New Roman"/>
          <w:color w:val="000000"/>
          <w:sz w:val="24"/>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Redemption Date</w:t>
      </w:r>
      <w:r>
        <w:rPr>
          <w:rFonts w:ascii="Times New Roman" w:hAnsi="Times New Roman"/>
          <w:color w:val="000000"/>
          <w:sz w:val="24"/>
        </w:rPr>
        <w:t xml:space="preserve">. The Redemption Date for any Redemption will be a Business Day of the Company’s choosing that is no more than fifty five (55), nor less than thirty five (35), Scheduled Trading Days after the Redemption Notice Date for such Redemption;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in accordance with </w:t>
      </w:r>
      <w:r>
        <w:rPr>
          <w:rFonts w:ascii="Times New Roman" w:hAnsi="Times New Roman"/>
          <w:b/>
          <w:color w:val="000000"/>
          <w:sz w:val="24"/>
        </w:rPr>
        <w:t>Section 5.03(A)(i)(3)</w:t>
      </w:r>
      <w:r>
        <w:rPr>
          <w:rFonts w:ascii="Times New Roman" w:hAnsi="Times New Roman"/>
          <w:color w:val="000000"/>
          <w:sz w:val="24"/>
        </w:rPr>
        <w:t>, the Company has elected to settle all Conversions of Notes with a Conversion Date that occurs on or after such Redemption Notice Date and on or before the second (2nd) Business Day immediately before the Redemption Date by Physical Settlement, then the Company may instead elect to choose a Redemption Date that is a Business Day no more than forty five (45), nor less than fifteen (15), calendar days after such Redemption Notice Date.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Redemption Price</w:t>
      </w:r>
      <w:r>
        <w:rPr>
          <w:rFonts w:ascii="Times New Roman" w:hAnsi="Times New Roman"/>
          <w:color w:val="000000"/>
          <w:sz w:val="24"/>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hAnsi="Times New Roman"/>
          <w:b/>
          <w:color w:val="000000"/>
          <w:sz w:val="24"/>
        </w:rPr>
        <w:t>Section 2.05(C)</w:t>
      </w:r>
      <w:r>
        <w:rPr>
          <w:rFonts w:ascii="Times New Roman" w:hAnsi="Times New Roman"/>
          <w:color w:val="000000"/>
          <w:sz w:val="24"/>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hAnsi="Times New Roman"/>
          <w:b/>
          <w:color w:val="000000"/>
          <w:sz w:val="24"/>
        </w:rPr>
        <w:t>Section 2.05(C)</w:t>
      </w:r>
      <w:r>
        <w:rPr>
          <w:rFonts w:ascii="Times New Roman" w:hAnsi="Times New Roman"/>
          <w:color w:val="000000"/>
          <w:sz w:val="24"/>
        </w:rPr>
        <w:t>, on the next Business Day to Holders as of the Close of Business on the immediately preceding Regular Record Date; and (y) the Redemption Price will include interest on Notes to be redeemed from, and including, such Interest Payment Date.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- 43 -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Redemption Notice</w:t>
      </w:r>
      <w:r>
        <w:rPr>
          <w:rFonts w:ascii="Times New Roman" w:hAnsi="Times New Roman"/>
          <w:color w:val="000000"/>
          <w:sz w:val="24"/>
        </w:rPr>
        <w:t>. To call any Notes for Redemption, the Company must send to each Holder of such Notes a written notice of such Redemption (a “</w:t>
      </w:r>
      <w:r>
        <w:rPr>
          <w:rFonts w:ascii="Times New Roman" w:hAnsi="Times New Roman"/>
          <w:b/>
          <w:color w:val="000000"/>
          <w:sz w:val="24"/>
        </w:rPr>
        <w:t>Redemption Notice</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Such Redemption Notice must state: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that such Notes have been called for Redemption, briefly describing the Company’s Redemption right under this Indenture;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Redemption Date for such Redemption;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hAnsi="Times New Roman"/>
          <w:b/>
          <w:color w:val="000000"/>
          <w:sz w:val="24"/>
        </w:rPr>
        <w:t>Section 4.03(F)</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name and address of the Paying Agent and the Conversion Agent;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hAnsi="Times New Roman"/>
          <w:b/>
          <w:color w:val="000000"/>
          <w:sz w:val="24"/>
        </w:rPr>
        <w:t>Section 5.07</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the Settlement Method that will apply to all Conversions of Notes with a Conversion Date that occurs on or after such Redemption Notice Date and on or before the second (2nd) Business Day before such Redemption Date;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the CUSIP and ISIN numbers, if any, of the Notes.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On or before the Redemption Notice Date, the Company will send a copy of such Redemption Notice to the Trustee, the Conversion Agent and the Paying Agent.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Special Requirement for Notice of Tax Redemption</w:t>
      </w:r>
      <w:r>
        <w:rPr>
          <w:rFonts w:ascii="Times New Roman" w:hAnsi="Times New Roman"/>
          <w:color w:val="000000"/>
          <w:sz w:val="24"/>
        </w:rPr>
        <w:t xml:space="preserve">. A Redemption Notice relating to a Tax Redemption must be sent pursuant to </w:t>
      </w:r>
      <w:r>
        <w:rPr>
          <w:rFonts w:ascii="Times New Roman" w:hAnsi="Times New Roman"/>
          <w:b/>
          <w:color w:val="000000"/>
          <w:sz w:val="24"/>
        </w:rPr>
        <w:t>Section 4.03(G)</w:t>
      </w:r>
      <w:r>
        <w:rPr>
          <w:rFonts w:ascii="Times New Roman" w:hAnsi="Times New Roman"/>
          <w:color w:val="000000"/>
          <w:sz w:val="24"/>
        </w:rPr>
        <w:t xml:space="preserve"> no earlier than sixty (60) Scheduled Trading Days before the earliest date on which the Company would have been required to make the related payment or withholding (assuming a payment in respect of the Notes were then due), and the obligation to pay Additional Amounts must be in effect as of the date the Company sends such Redemption Notice and must be expected to remain in effect at the time of the next payment or delivery in respect of the Notes.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- 44 -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Selection and Conversion of Notes to Be Redeemed in Part</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If only a portion of a Note is subject to Redemption (including as a result of a Tax Redemption Opt-Out Election Notice that applies to only a portion of such Note) and such Note is Converted in part, then the Converted portion of such Note will be deemed to be from the portion of such Note that was subject to Redemption.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0" w:right="0" w:hanging="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Payment of the Redemption Price</w:t>
      </w:r>
      <w:r>
        <w:rPr>
          <w:rFonts w:ascii="Times New Roman" w:hAnsi="Times New Roman"/>
          <w:color w:val="000000"/>
          <w:sz w:val="24"/>
        </w:rPr>
        <w:t xml:space="preserve">. Without limiting the Company’s obligation to deposit the Redemption Price by the time prescribed by </w:t>
      </w:r>
      <w:r>
        <w:rPr>
          <w:rFonts w:ascii="Times New Roman" w:hAnsi="Times New Roman"/>
          <w:b/>
          <w:color w:val="000000"/>
          <w:sz w:val="24"/>
        </w:rPr>
        <w:t>Section 3.01(B)</w:t>
      </w:r>
      <w:r>
        <w:rPr>
          <w:rFonts w:ascii="Times New Roman" w:hAnsi="Times New Roman"/>
          <w:color w:val="000000"/>
          <w:sz w:val="24"/>
        </w:rPr>
        <w:t xml:space="preserve">,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 w:hAnsi="Times New Roman"/>
          <w:b/>
          <w:color w:val="000000"/>
          <w:sz w:val="24"/>
        </w:rPr>
        <w:t>Section 4.03(F)</w:t>
      </w:r>
      <w:r>
        <w:rPr>
          <w:rFonts w:ascii="Times New Roman" w:hAnsi="Times New Roman"/>
          <w:color w:val="000000"/>
          <w:sz w:val="24"/>
        </w:rPr>
        <w:t xml:space="preserve"> on any Note (or portion thereof) subject to Redemption must be paid pursuant to such proviso.</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Special Provisions for Partial Calls</w:t>
      </w:r>
      <w:r>
        <w:rPr>
          <w:rFonts w:ascii="Times New Roman" w:hAnsi="Times New Roman"/>
          <w:color w:val="000000"/>
          <w:sz w:val="24"/>
        </w:rPr>
        <w:t xml:space="preserve">. If the Company elects to redeem less than all of the outstanding Notes pursuant to a Provisional Redemption, and the Holder of any Note, or any owner of a beneficial interest in any Global Note, is reasonably not able to determine, before the Close of Business on the thirty second (32nd) Scheduled Trading Day (or, if, in accordance with </w:t>
      </w:r>
      <w:r>
        <w:rPr>
          <w:rFonts w:ascii="Times New Roman" w:hAnsi="Times New Roman"/>
          <w:b/>
          <w:color w:val="000000"/>
          <w:sz w:val="24"/>
        </w:rPr>
        <w:t>Section 5.03(A)(i)(3)</w:t>
      </w:r>
      <w:r>
        <w:rPr>
          <w:rFonts w:ascii="Times New Roman" w:hAnsi="Times New Roman"/>
          <w:color w:val="000000"/>
          <w:sz w:val="24"/>
        </w:rPr>
        <w:t xml:space="preserve">, the Company has elected to settle all Conversions of Notes with a Conversion Date that occurs on or after the Redemption Notice Date for such Redemption and on or before the second (2nd) Business Day immediately before the Redemption Date by Physical Settlement, the tenth (10th) calendar day) before the Redemption Date for such Provisional Redemption, whether such Note or beneficial interest, as applicable, is to be redeemed pursuant to such Provisional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Provisional Redemption for purposes of this </w:t>
      </w:r>
      <w:r>
        <w:rPr>
          <w:rFonts w:ascii="Times New Roman" w:hAnsi="Times New Roman"/>
          <w:b/>
          <w:color w:val="000000"/>
          <w:sz w:val="24"/>
        </w:rPr>
        <w:t>Section 4.03</w:t>
      </w:r>
      <w:r>
        <w:rPr>
          <w:rFonts w:ascii="Times New Roman" w:hAnsi="Times New Roman"/>
          <w:color w:val="000000"/>
          <w:sz w:val="24"/>
        </w:rPr>
        <w:t xml:space="preserve"> and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5.01(C)(i)(4)</w:t>
      </w:r>
      <w:r>
        <w:rPr>
          <w:rFonts w:ascii="Times New Roman" w:hAnsi="Times New Roman"/>
          <w:color w:val="000000"/>
          <w:sz w:val="24"/>
        </w:rPr>
        <w:t xml:space="preserve"> and </w:t>
      </w:r>
      <w:r>
        <w:rPr>
          <w:rFonts w:ascii="Times New Roman" w:hAnsi="Times New Roman"/>
          <w:b/>
          <w:color w:val="000000"/>
          <w:sz w:val="24"/>
        </w:rPr>
        <w:t>5.07</w:t>
      </w:r>
      <w:r>
        <w:rPr>
          <w:rFonts w:ascii="Times New Roman" w:hAnsi="Times New Roman"/>
          <w:color w:val="000000"/>
          <w:sz w:val="24"/>
        </w:rPr>
        <w:t xml:space="preserve"> and the definition of Make-Whole Fundamental Change. For the avoidance of doubt, each reference in this Indenture or the Notes to (x) any Note that is called for Redemption (or similar language) includes any Note that is deemed to be called for Provisional Redemption pursuant to this </w:t>
      </w:r>
      <w:r>
        <w:rPr>
          <w:rFonts w:ascii="Times New Roman" w:hAnsi="Times New Roman"/>
          <w:b/>
          <w:color w:val="000000"/>
          <w:sz w:val="24"/>
        </w:rPr>
        <w:t>Section 4.03(K)</w:t>
      </w:r>
      <w:r>
        <w:rPr>
          <w:rFonts w:ascii="Times New Roman" w:hAnsi="Times New Roman"/>
          <w:color w:val="000000"/>
          <w:sz w:val="24"/>
        </w:rPr>
        <w:t xml:space="preserve">; and (y) any Note that is not called for Redemption (or similar language) excludes any Note that is deemed to be called for Provisional Redemption pursuant to this </w:t>
      </w:r>
      <w:r>
        <w:rPr>
          <w:rFonts w:ascii="Times New Roman" w:hAnsi="Times New Roman"/>
          <w:b/>
          <w:color w:val="000000"/>
          <w:sz w:val="24"/>
        </w:rPr>
        <w:t>Section 4.03(K)</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i/>
          <w:color w:val="000000"/>
          <w:sz w:val="24"/>
        </w:rPr>
        <w:t>Repurchases or Other Acquisitions Other Than by Redemption Not Affected</w:t>
      </w:r>
      <w:r>
        <w:rPr>
          <w:rFonts w:ascii="Times New Roman" w:hAnsi="Times New Roman"/>
          <w:color w:val="000000"/>
          <w:sz w:val="24"/>
        </w:rPr>
        <w:t xml:space="preserve">. For the avoidance of doubt, nothing in this </w:t>
      </w:r>
      <w:r>
        <w:rPr>
          <w:rFonts w:ascii="Times New Roman" w:hAnsi="Times New Roman"/>
          <w:b/>
          <w:color w:val="000000"/>
          <w:sz w:val="24"/>
        </w:rPr>
        <w:t>Section 4.03</w:t>
      </w:r>
      <w:r>
        <w:rPr>
          <w:rFonts w:ascii="Times New Roman" w:hAnsi="Times New Roman"/>
          <w:color w:val="000000"/>
          <w:sz w:val="24"/>
        </w:rPr>
        <w:t xml:space="preserve"> will limit or otherwise apply to any repurchase or other acquisition, by the Company or its Affiliates, or any other Person, of any Notes not by Redemption (including in open market transactions, private or public tender or exchange offers or otherwise).</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- 45 -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5.  THE CONVERSION OF NOTES</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5.01.  Right to Convert.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the provisions of this </w:t>
      </w:r>
      <w:r>
        <w:rPr>
          <w:rFonts w:ascii="Times New Roman" w:hAnsi="Times New Roman"/>
          <w:b/>
          <w:color w:val="000000"/>
          <w:sz w:val="24"/>
        </w:rPr>
        <w:t>Article 5</w:t>
      </w:r>
      <w:r>
        <w:rPr>
          <w:rFonts w:ascii="Times New Roman" w:hAnsi="Times New Roman"/>
          <w:color w:val="000000"/>
          <w:sz w:val="24"/>
        </w:rPr>
        <w:t>, each Holder may, at its option, Convert such Holder’s Notes into Conversion Consideration.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Conversions in Part</w:t>
      </w:r>
      <w:r>
        <w:rPr>
          <w:rFonts w:ascii="Times New Roman" w:hAnsi="Times New Roman"/>
          <w:color w:val="000000"/>
          <w:sz w:val="24"/>
        </w:rPr>
        <w:t xml:space="preserve">. Subject to the terms of this Indenture, Notes may be Converted in part, but only in Authorized Denominations. Provisions of this </w:t>
      </w:r>
      <w:r>
        <w:rPr>
          <w:rFonts w:ascii="Times New Roman" w:hAnsi="Times New Roman"/>
          <w:b/>
          <w:color w:val="000000"/>
          <w:sz w:val="24"/>
        </w:rPr>
        <w:t>Article 5</w:t>
      </w:r>
      <w:r>
        <w:rPr>
          <w:rFonts w:ascii="Times New Roman" w:hAnsi="Times New Roman"/>
          <w:color w:val="000000"/>
          <w:sz w:val="24"/>
        </w:rPr>
        <w:t xml:space="preserve"> applying to the Conversion of a Note in whole will equally apply to Conversions of a permitted portion of a Note.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When Notes May Be Converted</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w:t>
      </w:r>
      <w:r>
        <w:rPr>
          <w:rFonts w:ascii="Times New Roman" w:hAnsi="Times New Roman"/>
          <w:b/>
          <w:color w:val="000000"/>
          <w:sz w:val="24"/>
        </w:rPr>
        <w:t>Section 5.01(C)(ii)</w:t>
      </w:r>
      <w:r>
        <w:rPr>
          <w:rFonts w:ascii="Times New Roman" w:hAnsi="Times New Roman"/>
          <w:color w:val="000000"/>
          <w:sz w:val="24"/>
        </w:rPr>
        <w:t>, a Note may be Converted only in the following circumstances: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i/>
          <w:color w:val="000000"/>
          <w:sz w:val="24"/>
        </w:rPr>
        <w:t>Conversion Upon Satisfaction of Ordinary Share Sale Price Condition</w:t>
      </w:r>
      <w:r>
        <w:rPr>
          <w:rFonts w:ascii="Times New Roman" w:hAnsi="Times New Roman"/>
          <w:color w:val="000000"/>
          <w:sz w:val="24"/>
        </w:rPr>
        <w:t>. A Holder may Convert its Notes during any calendar quarter (and only during such calendar quarter) commencing after the calendar quarter ending on March 31, 2026, if the Last Reported Sale Price per Ordinary Share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i/>
          <w:color w:val="000000"/>
          <w:sz w:val="24"/>
        </w:rPr>
        <w:t>Conversion Upon Satisfaction of Note Trading Price Condition</w:t>
      </w:r>
      <w:r>
        <w:rPr>
          <w:rFonts w:ascii="Times New Roman" w:hAnsi="Times New Roman"/>
          <w:color w:val="000000"/>
          <w:sz w:val="24"/>
        </w:rPr>
        <w:t>. A Holder may Convert its Notes during the five (5) consecutive Business Days immediately after any ten (10) consecutive Trading Day period (such ten (10) consecutive Trading Day period, the “</w:t>
      </w:r>
      <w:r>
        <w:rPr>
          <w:rFonts w:ascii="Times New Roman" w:hAnsi="Times New Roman"/>
          <w:b/>
          <w:color w:val="000000"/>
          <w:sz w:val="24"/>
        </w:rPr>
        <w:t>Measurement Period</w:t>
      </w:r>
      <w:r>
        <w:rPr>
          <w:rFonts w:ascii="Times New Roman" w:hAnsi="Times New Roman"/>
          <w:color w:val="000000"/>
          <w:sz w:val="24"/>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Ordinary Share on such Trading Day and the Conversion Rate on such Trading Day. The condition set forth in the preceding sentence is referred to in this Indenture as the “</w:t>
      </w:r>
      <w:r>
        <w:rPr>
          <w:rFonts w:ascii="Times New Roman" w:hAnsi="Times New Roman"/>
          <w:b/>
          <w:color w:val="000000"/>
          <w:sz w:val="24"/>
        </w:rPr>
        <w:t>Trading Price Condition</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 xml:space="preserve">The Trading Price will be determined by the Bid Solicitation Agent pursuant to this </w:t>
      </w:r>
      <w:r>
        <w:rPr>
          <w:rFonts w:ascii="Times New Roman" w:hAnsi="Times New Roman"/>
          <w:b/>
          <w:color w:val="000000"/>
          <w:sz w:val="24"/>
        </w:rPr>
        <w:t>Section 5.01(C)(i)(2)</w:t>
      </w:r>
      <w:r>
        <w:rPr>
          <w:rFonts w:ascii="Times New Roman" w:hAnsi="Times New Roman"/>
          <w:color w:val="000000"/>
          <w:sz w:val="24"/>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Ordinary Share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Ordinary Share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Ordinary Share on such Trading Day and the Conversion Rate on such Trading Day, then the Company will notify the Holders, the Trustee and the Conversion Agent of the same.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- 46 -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i/>
          <w:color w:val="000000"/>
          <w:sz w:val="24"/>
        </w:rPr>
        <w:t>Conversion Upon Specified Corporate Events</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Certain Distributions</w:t>
      </w:r>
      <w:r>
        <w:rPr>
          <w:rFonts w:ascii="Times New Roman" w:hAnsi="Times New Roman"/>
          <w:color w:val="000000"/>
          <w:sz w:val="24"/>
        </w:rPr>
        <w:t>. If the Company elects to:</w:t>
      </w:r>
    </w:p>
    <w:p>
      <w:pPr>
        <w:pStyle w:val="TextBody"/>
        <w:bidi w:val="0"/>
        <w:spacing w:before="0" w:after="0"/>
        <w:ind w:left="2160" w:right="0" w:firstLine="720"/>
        <w:jc w:val="both"/>
        <w:rPr>
          <w:rFonts w:ascii="Times New Roman" w:hAnsi="Times New Roman"/>
          <w:sz w:val="24"/>
        </w:rPr>
      </w:pPr>
      <w:r>
        <w:rPr>
          <w:rFonts w:ascii="Times New Roman" w:hAnsi="Times New Roman"/>
          <w:sz w:val="24"/>
        </w:rPr>
      </w:r>
    </w:p>
    <w:p>
      <w:pPr>
        <w:pStyle w:val="TextBody"/>
        <w:bidi w:val="0"/>
        <w:spacing w:before="0" w:after="0"/>
        <w:ind w:left="2880" w:right="0" w:firstLine="72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distribute, to all or substantially all holders of Ordinary Shares, any rights, options or warrants (other than rights issued pursuant to a shareholder rights plan, so long as such rights have not separated from the Ordinary Shares and are not exercisable until the occurrence of a triggering event, except that such rights will be deemed to be distributed under this </w:t>
      </w:r>
      <w:r>
        <w:rPr>
          <w:rFonts w:ascii="Times New Roman" w:hAnsi="Times New Roman"/>
          <w:b/>
          <w:color w:val="000000"/>
          <w:sz w:val="24"/>
        </w:rPr>
        <w:t>clause (I)</w:t>
      </w:r>
      <w:r>
        <w:rPr>
          <w:rFonts w:ascii="Times New Roman" w:hAnsi="Times New Roman"/>
          <w:color w:val="000000"/>
          <w:sz w:val="24"/>
        </w:rPr>
        <w:t xml:space="preserve"> upon their separation from the Ordinary Shares or upon the occurrence of such triggering event) entitling them, for a period of not more than sixty (60) calendar days after the record date of such distribution, to subscribe for or purchase Ordinary Shares at a price per share that is less than the average of the Last Reported Sale Prices per Ordinary Share for the ten (10) consecutive Trading Days ending on, and including, the Trading Day immediately before the date such distribution is announced (determined in the manner set forth in the third paragraph of </w:t>
      </w:r>
      <w:r>
        <w:rPr>
          <w:rFonts w:ascii="Times New Roman" w:hAnsi="Times New Roman"/>
          <w:b/>
          <w:color w:val="000000"/>
          <w:sz w:val="24"/>
        </w:rPr>
        <w:t>Section 5.05(A)(ii)</w:t>
      </w:r>
      <w:r>
        <w:rPr>
          <w:rFonts w:ascii="Times New Roman" w:hAnsi="Times New Roman"/>
          <w:color w:val="000000"/>
          <w:sz w:val="24"/>
        </w:rPr>
        <w:t>); or</w:t>
      </w:r>
    </w:p>
    <w:p>
      <w:pPr>
        <w:pStyle w:val="TextBody"/>
        <w:bidi w:val="0"/>
        <w:spacing w:before="0" w:after="0"/>
        <w:ind w:left="2880" w:right="0" w:firstLine="720"/>
        <w:jc w:val="both"/>
        <w:rPr>
          <w:rFonts w:ascii="Times New Roman" w:hAnsi="Times New Roman"/>
          <w:sz w:val="24"/>
        </w:rPr>
      </w:pPr>
      <w:r>
        <w:rPr>
          <w:rFonts w:ascii="Times New Roman" w:hAnsi="Times New Roman"/>
          <w:sz w:val="24"/>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distribute, to all or substantially all holders of Ordinary Shares, assets or securities of the Company or rights to purchase the Company’s securities, which distribution per Ordinary Share has a value, as reasonably determined by the Board of Directors, exceeding ten percent (10%) of the Last Reported Sale Price per Ordinary Share on the Trading Day immediately before the date such distribution is announced,</w:t>
      </w:r>
    </w:p>
    <w:p>
      <w:pPr>
        <w:pStyle w:val="TextBody"/>
        <w:bidi w:val="0"/>
        <w:spacing w:before="0" w:after="0"/>
        <w:ind w:left="288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- 47 -</w:t>
      </w:r>
    </w:p>
    <w:p>
      <w:pPr>
        <w:pStyle w:val="HorizontalLine"/>
        <w:pBdr>
          <w:bottom w:val="single" w:sz="12" w:space="0" w:color="808080"/>
        </w:pBdr>
        <w:bidi w:val="0"/>
        <w:spacing w:before="180" w:after="180"/>
        <w:jc w:val="left"/>
        <w:rPr/>
      </w:pPr>
      <w:r>
        <w:rPr/>
      </w:r>
    </w:p>
    <w:p>
      <w:pPr>
        <w:pStyle w:val="TextBody"/>
        <w:bidi w:val="0"/>
        <w:spacing w:before="0" w:after="0"/>
        <w:ind w:left="2160" w:right="0" w:hanging="0"/>
        <w:jc w:val="both"/>
        <w:rPr>
          <w:rFonts w:ascii="Times New Roman" w:hAnsi="Times New Roman"/>
          <w:color w:val="000000"/>
          <w:sz w:val="24"/>
        </w:rPr>
      </w:pPr>
      <w:r>
        <w:rPr>
          <w:rFonts w:ascii="Times New Roman" w:hAnsi="Times New Roman"/>
          <w:color w:val="000000"/>
          <w:sz w:val="24"/>
        </w:rPr>
        <w:t xml:space="preserve">then, in either case, (x) the Company will send notice of such distribution, and of the related right to Convert Notes, to Holders, the Trustee and the Conversion Agent at least thirty five (35) Scheduled Trading Days before the Ex-Dividend Date for such distribution (or, if later in the case of any such separation of rights issued pursuant to a shareholder rights plan or the occurrence of any such triggering event under a shareholder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Notes will not become Convertible pursuant to </w:t>
      </w:r>
      <w:r>
        <w:rPr>
          <w:rFonts w:ascii="Times New Roman" w:hAnsi="Times New Roman"/>
          <w:b/>
          <w:color w:val="000000"/>
          <w:sz w:val="24"/>
        </w:rPr>
        <w:t>clause (y)</w:t>
      </w:r>
      <w:r>
        <w:rPr>
          <w:rFonts w:ascii="Times New Roman" w:hAnsi="Times New Roman"/>
          <w:color w:val="000000"/>
          <w:sz w:val="24"/>
        </w:rPr>
        <w:t xml:space="preserve"> above (but the Company will be required to send notice of such distribution pursuant to </w:t>
      </w:r>
      <w:r>
        <w:rPr>
          <w:rFonts w:ascii="Times New Roman" w:hAnsi="Times New Roman"/>
          <w:b/>
          <w:color w:val="000000"/>
          <w:sz w:val="24"/>
        </w:rPr>
        <w:t>clause (x)</w:t>
      </w:r>
      <w:r>
        <w:rPr>
          <w:rFonts w:ascii="Times New Roman" w:hAnsi="Times New Roman"/>
          <w:color w:val="000000"/>
          <w:sz w:val="24"/>
        </w:rPr>
        <w:t xml:space="preserve"> above) on account of such distribution if each Holder participates, at the same time and on the same terms as holders of Ordinary Shares, and solely by virtue of being a Holder, in such distribution without having to Convert such Holder’s Notes and as if such Holder held a number of Ordinary Shares equal to the product of (i) the Conversion Rate in effect on the record date for such distribution; and (ii) the aggregate principal amount (expressed in thousands) of Notes held by such Holder on such record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if the Company is then otherwise permitted to settle Conversions of Notes by Physical Settlement (and, for the avoidance of doubt, the Company has not elected another Settlement Method to apply, including pursuant to </w:t>
      </w:r>
      <w:r>
        <w:rPr>
          <w:rFonts w:ascii="Times New Roman" w:hAnsi="Times New Roman"/>
          <w:b/>
          <w:color w:val="000000"/>
          <w:sz w:val="24"/>
        </w:rPr>
        <w:t>Section 5.03(A)(i)(1)</w:t>
      </w:r>
      <w:r>
        <w:rPr>
          <w:rFonts w:ascii="Times New Roman" w:hAnsi="Times New Roman"/>
          <w:color w:val="000000"/>
          <w:sz w:val="24"/>
        </w:rPr>
        <w:t>),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Certain Corporate Events</w:t>
      </w:r>
      <w:r>
        <w:rPr>
          <w:rFonts w:ascii="Times New Roman" w:hAnsi="Times New Roman"/>
          <w:color w:val="000000"/>
          <w:sz w:val="24"/>
        </w:rPr>
        <w:t xml:space="preserve">. If a Fundamental Change, Make-Whole Fundamental Change (other than a Make-Whole Fundamental Change pursuant to </w:t>
      </w:r>
      <w:r>
        <w:rPr>
          <w:rFonts w:ascii="Times New Roman" w:hAnsi="Times New Roman"/>
          <w:b/>
          <w:color w:val="000000"/>
          <w:sz w:val="24"/>
        </w:rPr>
        <w:t>clause (B)</w:t>
      </w:r>
      <w:r>
        <w:rPr>
          <w:rFonts w:ascii="Times New Roman" w:hAnsi="Times New Roman"/>
          <w:color w:val="000000"/>
          <w:sz w:val="24"/>
        </w:rPr>
        <w:t xml:space="preserve"> of the definition thereof) or Ordinary Share Change Event occurs (other than a merger or other business combination transaction that is effected solely to change the Company’s jurisdiction of incorporation or organization or the jurisdiction of incorporation or organization of the issuer of the Ordinary Shares or Reference Property Units and, in each case,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No later than the Business Day after such effective date, the Company will send notice to the Holders, the Trustee and the Conversion Agent of such transaction or event, such effective date and the related right to Convert Notes.</w:t>
      </w:r>
    </w:p>
    <w:p>
      <w:pPr>
        <w:pStyle w:val="TextBody"/>
        <w:bidi w:val="0"/>
        <w:spacing w:before="0" w:after="0"/>
        <w:ind w:left="216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- 48 -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i/>
          <w:color w:val="000000"/>
          <w:sz w:val="24"/>
        </w:rPr>
        <w:t>Conversion Upon Redemption</w:t>
      </w:r>
      <w:r>
        <w:rPr>
          <w:rFonts w:ascii="Times New Roman" w:hAnsi="Times New Roman"/>
          <w:color w:val="000000"/>
          <w:sz w:val="24"/>
        </w:rPr>
        <w:t>. If the Company calls any Note for Redemption, then the Holder of such Note may Convert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i/>
          <w:color w:val="000000"/>
          <w:sz w:val="24"/>
        </w:rPr>
        <w:t>Conversions During Free Convertibility Period</w:t>
      </w:r>
      <w:r>
        <w:rPr>
          <w:rFonts w:ascii="Times New Roman" w:hAnsi="Times New Roman"/>
          <w:color w:val="000000"/>
          <w:sz w:val="24"/>
        </w:rPr>
        <w:t>. A Holder may Convert its Notes at any time from, and including, March 1, 2033 until the Close of Business on the second (2nd) Scheduled Trading Day immediately before the Maturity Date.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For the avoidance of doubt, the Notes may become Convertible pursuant to any one or more of the preceding sub-paragraphs of this </w:t>
      </w:r>
      <w:r>
        <w:rPr>
          <w:rFonts w:ascii="Times New Roman" w:hAnsi="Times New Roman"/>
          <w:b/>
          <w:color w:val="000000"/>
          <w:sz w:val="24"/>
        </w:rPr>
        <w:t>Section 5.01(C)(i)</w:t>
      </w:r>
      <w:r>
        <w:rPr>
          <w:rFonts w:ascii="Times New Roman" w:hAnsi="Times New Roman"/>
          <w:color w:val="000000"/>
          <w:sz w:val="24"/>
        </w:rPr>
        <w:t xml:space="preserve"> and the Notes ceasing to be Convertible pursuant to a particular sub-paragraph of this </w:t>
      </w:r>
      <w:r>
        <w:rPr>
          <w:rFonts w:ascii="Times New Roman" w:hAnsi="Times New Roman"/>
          <w:b/>
          <w:color w:val="000000"/>
          <w:sz w:val="24"/>
        </w:rPr>
        <w:t>Section 5.01(C)(i)</w:t>
      </w:r>
      <w:r>
        <w:rPr>
          <w:rFonts w:ascii="Times New Roman" w:hAnsi="Times New Roman"/>
          <w:color w:val="000000"/>
          <w:sz w:val="24"/>
        </w:rPr>
        <w:t xml:space="preserve"> will not preclude the Notes from being Convertible pursuant to any other sub-paragraph of this </w:t>
      </w:r>
      <w:r>
        <w:rPr>
          <w:rFonts w:ascii="Times New Roman" w:hAnsi="Times New Roman"/>
          <w:b/>
          <w:color w:val="000000"/>
          <w:sz w:val="24"/>
        </w:rPr>
        <w:t>Section 5.01(C)(i)</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Limitations and Closed Periods</w:t>
      </w:r>
      <w:r>
        <w:rPr>
          <w:rFonts w:ascii="Times New Roman" w:hAnsi="Times New Roman"/>
          <w:color w:val="000000"/>
          <w:sz w:val="24"/>
        </w:rPr>
        <w:t>. Notwithstanding anything to the contrary in this Indenture or the Notes: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Notes may be surrendered for Conversion only after the Open of Business and before the Close of Business on a day that is a Business Day;</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in no event may any Note be Converted after the Close of Business on the second (2nd) Scheduled Trading Day immediately before the Maturity Date;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 xml:space="preserve">if the Company calls any Note for Redemption pursuant to </w:t>
      </w:r>
      <w:r>
        <w:rPr>
          <w:rFonts w:ascii="Times New Roman" w:hAnsi="Times New Roman"/>
          <w:b/>
          <w:color w:val="000000"/>
          <w:sz w:val="24"/>
        </w:rPr>
        <w:t>Section 4.03</w:t>
      </w:r>
      <w:r>
        <w:rPr>
          <w:rFonts w:ascii="Times New Roman" w:hAnsi="Times New Roman"/>
          <w:color w:val="000000"/>
          <w:sz w:val="24"/>
        </w:rPr>
        <w:t>,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 xml:space="preserve">if a Fundamental Change Repurchase Notice is validly delivered pursuant to </w:t>
      </w:r>
      <w:r>
        <w:rPr>
          <w:rFonts w:ascii="Times New Roman" w:hAnsi="Times New Roman"/>
          <w:b/>
          <w:color w:val="000000"/>
          <w:sz w:val="24"/>
        </w:rPr>
        <w:t>Section 4.02(F)</w:t>
      </w:r>
      <w:r>
        <w:rPr>
          <w:rFonts w:ascii="Times New Roman" w:hAnsi="Times New Roman"/>
          <w:color w:val="000000"/>
          <w:sz w:val="24"/>
        </w:rPr>
        <w:t xml:space="preserve"> with respect to any Note, then such Note may not be Converted, except to the extent (a) such Note is not subject to such notice; (b) such notice is withdrawn in accordance with </w:t>
      </w:r>
      <w:r>
        <w:rPr>
          <w:rFonts w:ascii="Times New Roman" w:hAnsi="Times New Roman"/>
          <w:b/>
          <w:color w:val="000000"/>
          <w:sz w:val="24"/>
        </w:rPr>
        <w:t>Section 4.02(F)</w:t>
      </w:r>
      <w:r>
        <w:rPr>
          <w:rFonts w:ascii="Times New Roman" w:hAnsi="Times New Roman"/>
          <w:color w:val="000000"/>
          <w:sz w:val="24"/>
        </w:rPr>
        <w:t>; or (c) the Company fails to pay the Fundamental Change Repurchase Price for such Note in accordance with this Indenture.</w:t>
      </w:r>
    </w:p>
    <w:p>
      <w:pPr>
        <w:pStyle w:val="TextBody"/>
        <w:bidi w:val="0"/>
        <w:spacing w:before="0" w:after="0"/>
        <w:ind w:left="144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- 49 -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5.02.  Conversion Procedures.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Global Notes</w:t>
      </w:r>
      <w:r>
        <w:rPr>
          <w:rFonts w:ascii="Times New Roman" w:hAnsi="Times New Roman"/>
          <w:color w:val="000000"/>
          <w:sz w:val="24"/>
        </w:rPr>
        <w:t xml:space="preserve">. To Convert a beneficial interest in a Global Note that is Convertible pursuant to </w:t>
      </w:r>
      <w:r>
        <w:rPr>
          <w:rFonts w:ascii="Times New Roman" w:hAnsi="Times New Roman"/>
          <w:b/>
          <w:color w:val="000000"/>
          <w:sz w:val="24"/>
        </w:rPr>
        <w:t>Section 5.01(C)</w:t>
      </w:r>
      <w:r>
        <w:rPr>
          <w:rFonts w:ascii="Times New Roman" w:hAnsi="Times New Roman"/>
          <w:color w:val="000000"/>
          <w:sz w:val="24"/>
        </w:rPr>
        <w:t xml:space="preserve">, the owner of such beneficial interest must (1) comply with the Depositary Procedures for Converting such beneficial interest (at which time such Conversion will become irrevocable); and (2) pay any amounts due pursuant to </w:t>
      </w:r>
      <w:r>
        <w:rPr>
          <w:rFonts w:ascii="Times New Roman" w:hAnsi="Times New Roman"/>
          <w:b/>
          <w:color w:val="000000"/>
          <w:sz w:val="24"/>
        </w:rPr>
        <w:t>Section 5.02(D)</w:t>
      </w:r>
      <w:r>
        <w:rPr>
          <w:rFonts w:ascii="Times New Roman" w:hAnsi="Times New Roman"/>
          <w:color w:val="000000"/>
          <w:sz w:val="24"/>
        </w:rPr>
        <w:t xml:space="preserve"> or </w:t>
      </w:r>
      <w:r>
        <w:rPr>
          <w:rFonts w:ascii="Times New Roman" w:hAnsi="Times New Roman"/>
          <w:b/>
          <w:color w:val="000000"/>
          <w:sz w:val="24"/>
        </w:rPr>
        <w:t>Section 5.02(E)</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Physical Notes</w:t>
      </w:r>
      <w:r>
        <w:rPr>
          <w:rFonts w:ascii="Times New Roman" w:hAnsi="Times New Roman"/>
          <w:color w:val="000000"/>
          <w:sz w:val="24"/>
        </w:rPr>
        <w:t xml:space="preserve">. To Convert all or a portion of a Physical Note that is Convertible pursuant to </w:t>
      </w:r>
      <w:r>
        <w:rPr>
          <w:rFonts w:ascii="Times New Roman" w:hAnsi="Times New Roman"/>
          <w:b/>
          <w:color w:val="000000"/>
          <w:sz w:val="24"/>
        </w:rPr>
        <w:t>Section 5.01(C)</w:t>
      </w:r>
      <w:r>
        <w:rPr>
          <w:rFonts w:ascii="Times New Roman" w:hAnsi="Times New Roman"/>
          <w:color w:val="000000"/>
          <w:sz w:val="24"/>
        </w:rPr>
        <w:t xml:space="preserve">,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hAnsi="Times New Roman"/>
          <w:b/>
          <w:color w:val="000000"/>
          <w:sz w:val="24"/>
        </w:rPr>
        <w:t>Section 5.02(D)</w:t>
      </w:r>
      <w:r>
        <w:rPr>
          <w:rFonts w:ascii="Times New Roman" w:hAnsi="Times New Roman"/>
          <w:color w:val="000000"/>
          <w:sz w:val="24"/>
        </w:rPr>
        <w:t xml:space="preserve"> or </w:t>
      </w:r>
      <w:r>
        <w:rPr>
          <w:rFonts w:ascii="Times New Roman" w:hAnsi="Times New Roman"/>
          <w:b/>
          <w:color w:val="000000"/>
          <w:sz w:val="24"/>
        </w:rPr>
        <w:t>Section 5.02(E)</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Effect of Converting a Note</w:t>
      </w:r>
      <w:r>
        <w:rPr>
          <w:rFonts w:ascii="Times New Roman" w:hAnsi="Times New Roman"/>
          <w:color w:val="000000"/>
          <w:sz w:val="24"/>
        </w:rPr>
        <w:t xml:space="preserve">. At the Close of Business on the Conversion Date for a Note (or any portion thereof) to be Converted, such Note (or such portion) will (unless there occurs a Default in the delivery of the Conversion Consideration or interest due,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5.03(B)</w:t>
      </w:r>
      <w:r>
        <w:rPr>
          <w:rFonts w:ascii="Times New Roman" w:hAnsi="Times New Roman"/>
          <w:color w:val="000000"/>
          <w:sz w:val="24"/>
        </w:rPr>
        <w:t xml:space="preserve"> or </w:t>
      </w:r>
      <w:r>
        <w:rPr>
          <w:rFonts w:ascii="Times New Roman" w:hAnsi="Times New Roman"/>
          <w:b/>
          <w:color w:val="000000"/>
          <w:sz w:val="24"/>
        </w:rPr>
        <w:t>5.02(D)</w:t>
      </w:r>
      <w:r>
        <w:rPr>
          <w:rFonts w:ascii="Times New Roman" w:hAnsi="Times New Roman"/>
          <w:color w:val="000000"/>
          <w:sz w:val="24"/>
        </w:rPr>
        <w:t xml:space="preserve">, upon such Conversion) be redeemed for an amount equal to the principal amount of such Note and the Holder irrevocably directs the Company to apply the principal amount payable to it in acquiring the Conversion Consideration, with the result that such Note will cease to be outstanding (and, for the avoidance of doubt, no Person will be deemed to be a Holder of such Note (or such portion thereof) as of the Close of Business on such Conversion Date), except to the extent provided in </w:t>
      </w:r>
      <w:r>
        <w:rPr>
          <w:rFonts w:ascii="Times New Roman" w:hAnsi="Times New Roman"/>
          <w:b/>
          <w:color w:val="000000"/>
          <w:sz w:val="24"/>
        </w:rPr>
        <w:t>Section 5.02(D)</w:t>
      </w:r>
      <w:r>
        <w:rPr>
          <w:rFonts w:ascii="Times New Roman" w:hAnsi="Times New Roman"/>
          <w:color w:val="000000"/>
          <w:sz w:val="24"/>
        </w:rPr>
        <w:t xml:space="preserve"> or </w:t>
      </w:r>
      <w:r>
        <w:rPr>
          <w:rFonts w:ascii="Times New Roman" w:hAnsi="Times New Roman"/>
          <w:b/>
          <w:color w:val="000000"/>
          <w:sz w:val="24"/>
        </w:rPr>
        <w:t>Section 5.08</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Holder of Record of Conversion Shares</w:t>
      </w:r>
      <w:r>
        <w:rPr>
          <w:rFonts w:ascii="Times New Roman" w:hAnsi="Times New Roman"/>
          <w:color w:val="000000"/>
          <w:sz w:val="24"/>
        </w:rPr>
        <w:t>. The Person in whose name any Ordinary Share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Interest Payable Upon Conversion in Certain Circumstances</w:t>
      </w:r>
      <w:r>
        <w:rPr>
          <w:rFonts w:ascii="Times New Roman" w:hAnsi="Times New Roman"/>
          <w:color w:val="000000"/>
          <w:sz w:val="24"/>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hAnsi="Times New Roman"/>
          <w:b/>
          <w:color w:val="000000"/>
          <w:sz w:val="24"/>
        </w:rPr>
        <w:t>clause (i)</w:t>
      </w:r>
      <w:r>
        <w:rPr>
          <w:rFonts w:ascii="Times New Roman" w:hAnsi="Times New Roman"/>
          <w:color w:val="000000"/>
          <w:sz w:val="24"/>
        </w:rPr>
        <w:t xml:space="preserve"> above;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Holder surrendering such Note for Conversion need not deliver such cash (v) if the Company has specified a Redemption Date that is after such Regular Record Date and on or before the second (2nd)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Additional Interest, Special Interest,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hAnsi="Times New Roman"/>
          <w:b/>
          <w:color w:val="000000"/>
          <w:sz w:val="24"/>
        </w:rPr>
        <w:t>Section 5.02(D)</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- 50 -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Taxes and Duties</w:t>
      </w:r>
      <w:r>
        <w:rPr>
          <w:rFonts w:ascii="Times New Roman" w:hAnsi="Times New Roman"/>
          <w:color w:val="000000"/>
          <w:sz w:val="24"/>
        </w:rPr>
        <w:t xml:space="preserve">. If a Holder Converts a Note, the Company will pay any documentary, stamp or similar issue or transfer tax or duty due on the issue or delivery of any Ordinary Shares upon such Conversion;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Conversion Agent to Notify Company of Conversions</w:t>
      </w:r>
      <w:r>
        <w:rPr>
          <w:rFonts w:ascii="Times New Roman" w:hAnsi="Times New Roman"/>
          <w:color w:val="000000"/>
          <w:sz w:val="24"/>
        </w:rPr>
        <w:t>. If any Note is submitted for Conversion to the Conversion Agent or the 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5.03.  Settlement Upon Conversion.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Settlement Method</w:t>
      </w:r>
      <w:r>
        <w:rPr>
          <w:rFonts w:ascii="Times New Roman" w:hAnsi="Times New Roman"/>
          <w:color w:val="000000"/>
          <w:sz w:val="24"/>
        </w:rPr>
        <w:t xml:space="preserve">. Upon the Conversion of any Note, the Company must redeem such Note for an amount equal to the principal amount of such Note and the Holder irrevocably directs the Company to apply such principal amount payable to it in acquiring the relevant Conversion Consideration. In such circumstances, the Company will settle such Conversion by paying or delivering, as applicable and as provided in this </w:t>
      </w:r>
      <w:r>
        <w:rPr>
          <w:rFonts w:ascii="Times New Roman" w:hAnsi="Times New Roman"/>
          <w:b/>
          <w:color w:val="000000"/>
          <w:sz w:val="24"/>
        </w:rPr>
        <w:t>Article 5</w:t>
      </w:r>
      <w:r>
        <w:rPr>
          <w:rFonts w:ascii="Times New Roman" w:hAnsi="Times New Roman"/>
          <w:color w:val="000000"/>
          <w:sz w:val="24"/>
        </w:rPr>
        <w:t xml:space="preserve">, either (x) Ordinary Shares, together, if applicable, with cash in lieu of fractional shares as provided in </w:t>
      </w:r>
      <w:r>
        <w:rPr>
          <w:rFonts w:ascii="Times New Roman" w:hAnsi="Times New Roman"/>
          <w:b/>
          <w:color w:val="000000"/>
          <w:sz w:val="24"/>
        </w:rPr>
        <w:t>Section 5.03(B)(i)(1)</w:t>
      </w:r>
      <w:r>
        <w:rPr>
          <w:rFonts w:ascii="Times New Roman" w:hAnsi="Times New Roman"/>
          <w:color w:val="000000"/>
          <w:sz w:val="24"/>
        </w:rPr>
        <w:t xml:space="preserve"> (a “</w:t>
      </w:r>
      <w:r>
        <w:rPr>
          <w:rFonts w:ascii="Times New Roman" w:hAnsi="Times New Roman"/>
          <w:b/>
          <w:color w:val="000000"/>
          <w:sz w:val="24"/>
        </w:rPr>
        <w:t>Physical Settlement</w:t>
      </w:r>
      <w:r>
        <w:rPr>
          <w:rFonts w:ascii="Times New Roman" w:hAnsi="Times New Roman"/>
          <w:color w:val="000000"/>
          <w:sz w:val="24"/>
        </w:rPr>
        <w:t xml:space="preserve">”); (y) solely cash as provided in </w:t>
      </w:r>
      <w:r>
        <w:rPr>
          <w:rFonts w:ascii="Times New Roman" w:hAnsi="Times New Roman"/>
          <w:b/>
          <w:color w:val="000000"/>
          <w:sz w:val="24"/>
        </w:rPr>
        <w:t>Section 5.03(B)(i)(2)</w:t>
      </w:r>
      <w:r>
        <w:rPr>
          <w:rFonts w:ascii="Times New Roman" w:hAnsi="Times New Roman"/>
          <w:color w:val="000000"/>
          <w:sz w:val="24"/>
        </w:rPr>
        <w:t xml:space="preserve"> (a “</w:t>
      </w:r>
      <w:r>
        <w:rPr>
          <w:rFonts w:ascii="Times New Roman" w:hAnsi="Times New Roman"/>
          <w:b/>
          <w:color w:val="000000"/>
          <w:sz w:val="24"/>
        </w:rPr>
        <w:t>Cash Settlement</w:t>
      </w:r>
      <w:r>
        <w:rPr>
          <w:rFonts w:ascii="Times New Roman" w:hAnsi="Times New Roman"/>
          <w:color w:val="000000"/>
          <w:sz w:val="24"/>
        </w:rPr>
        <w:t xml:space="preserve">”); or (z) a combination of cash and Ordinary Shares, together, if applicable, with cash in lieu of fractional shares as provided in </w:t>
      </w:r>
      <w:r>
        <w:rPr>
          <w:rFonts w:ascii="Times New Roman" w:hAnsi="Times New Roman"/>
          <w:b/>
          <w:color w:val="000000"/>
          <w:sz w:val="24"/>
        </w:rPr>
        <w:t>Section 5.03(B)(i)(3)</w:t>
      </w:r>
      <w:r>
        <w:rPr>
          <w:rFonts w:ascii="Times New Roman" w:hAnsi="Times New Roman"/>
          <w:color w:val="000000"/>
          <w:sz w:val="24"/>
        </w:rPr>
        <w:t xml:space="preserve"> (a “</w:t>
      </w:r>
      <w:r>
        <w:rPr>
          <w:rFonts w:ascii="Times New Roman" w:hAnsi="Times New Roman"/>
          <w:b/>
          <w:color w:val="000000"/>
          <w:sz w:val="24"/>
        </w:rPr>
        <w:t>Combination Settlement</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The Company’s Right to Elect Settlement Method</w:t>
      </w:r>
      <w:r>
        <w:rPr>
          <w:rFonts w:ascii="Times New Roman" w:hAnsi="Times New Roman"/>
          <w:color w:val="000000"/>
          <w:sz w:val="24"/>
        </w:rPr>
        <w:t xml:space="preserve">. The Company will have the right to elect the Settlement Method applicable to any Conversion of a Note;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subject to </w:t>
      </w:r>
      <w:r>
        <w:rPr>
          <w:rFonts w:ascii="Times New Roman" w:hAnsi="Times New Roman"/>
          <w:b/>
          <w:color w:val="000000"/>
          <w:sz w:val="24"/>
        </w:rPr>
        <w:t>clause (3)</w:t>
      </w:r>
      <w:r>
        <w:rPr>
          <w:rFonts w:ascii="Times New Roman" w:hAnsi="Times New Roman"/>
          <w:color w:val="000000"/>
          <w:sz w:val="24"/>
        </w:rPr>
        <w:t xml:space="preserve"> below, all Conversions of Notes with a Conversion Date that occurs on or after March 1, 2033 will be settled using the same Settlement Method, and the Company will send notice of such Settlement Method to Holders no later than the Open of Business on March 1, 2033;</w:t>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- 51 -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 xml:space="preserve">subject to </w:t>
      </w:r>
      <w:r>
        <w:rPr>
          <w:rFonts w:ascii="Times New Roman" w:hAnsi="Times New Roman"/>
          <w:b/>
          <w:color w:val="000000"/>
          <w:sz w:val="24"/>
        </w:rPr>
        <w:t>clause (3)</w:t>
      </w:r>
      <w:r>
        <w:rPr>
          <w:rFonts w:ascii="Times New Roman" w:hAnsi="Times New Roman"/>
          <w:color w:val="000000"/>
          <w:sz w:val="24"/>
        </w:rPr>
        <w:t xml:space="preserve"> below, if the Company elects a Settlement Method with respect to the Conversion of any Note whose Conversion Date occurs before March 1, 2033, then the Company will send notice of such Settlement Method to the Holder of such Note no later than the Close of Business on the Business Day immediately after such Conversion Date;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 xml:space="preserve">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hAnsi="Times New Roman"/>
          <w:b/>
          <w:color w:val="000000"/>
          <w:sz w:val="24"/>
        </w:rPr>
        <w:t>Section 4.03(G)</w:t>
      </w:r>
      <w:r>
        <w:rPr>
          <w:rFonts w:ascii="Times New Roman" w:hAnsi="Times New Roman"/>
          <w:color w:val="000000"/>
          <w:sz w:val="24"/>
        </w:rPr>
        <w:t xml:space="preserve">, the Settlement Method that will apply to all Conversions of Notes with a Conversion Date that occurs on or after the related Redemption Notice Date and on or before the second (2nd) Business Day before the related Redemption Date; and (b) if such Redemption Date occurs on or after March 1, 2033, then such Settlement Method must be the same Settlement Method that, pursuant to </w:t>
      </w:r>
      <w:r>
        <w:rPr>
          <w:rFonts w:ascii="Times New Roman" w:hAnsi="Times New Roman"/>
          <w:b/>
          <w:color w:val="000000"/>
          <w:sz w:val="24"/>
        </w:rPr>
        <w:t>clause (1)</w:t>
      </w:r>
      <w:r>
        <w:rPr>
          <w:rFonts w:ascii="Times New Roman" w:hAnsi="Times New Roman"/>
          <w:color w:val="000000"/>
          <w:sz w:val="24"/>
        </w:rPr>
        <w:t xml:space="preserve"> above, applies to all Conversions of Notes with a Conversion Date that occurs on or after March 1, 2033;</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hAnsi="Times New Roman"/>
          <w:b/>
          <w:color w:val="000000"/>
          <w:sz w:val="24"/>
        </w:rPr>
        <w:t>clause (1)</w:t>
      </w:r>
      <w:r>
        <w:rPr>
          <w:rFonts w:ascii="Times New Roman" w:hAnsi="Times New Roman"/>
          <w:color w:val="000000"/>
          <w:sz w:val="24"/>
        </w:rPr>
        <w:t xml:space="preserve"> or </w:t>
      </w:r>
      <w:r>
        <w:rPr>
          <w:rFonts w:ascii="Times New Roman" w:hAnsi="Times New Roman"/>
          <w:b/>
          <w:color w:val="000000"/>
          <w:sz w:val="24"/>
        </w:rPr>
        <w:t>(3)</w:t>
      </w:r>
      <w:r>
        <w:rPr>
          <w:rFonts w:ascii="Times New Roman" w:hAnsi="Times New Roman"/>
          <w:color w:val="000000"/>
          <w:sz w:val="24"/>
        </w:rPr>
        <w:t xml:space="preserve"> above);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color w:val="000000"/>
          <w:sz w:val="24"/>
        </w:rPr>
        <w:t xml:space="preserve">the Settlement Method will be subject to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4.03(E)</w:t>
      </w:r>
      <w:r>
        <w:rPr>
          <w:rFonts w:ascii="Times New Roman" w:hAnsi="Times New Roman"/>
          <w:color w:val="000000"/>
          <w:sz w:val="24"/>
        </w:rPr>
        <w:t xml:space="preserve"> and </w:t>
      </w:r>
      <w:r>
        <w:rPr>
          <w:rFonts w:ascii="Times New Roman" w:hAnsi="Times New Roman"/>
          <w:b/>
          <w:color w:val="000000"/>
          <w:sz w:val="24"/>
        </w:rPr>
        <w:t>5.01(C)(i)(3)(a)</w:t>
      </w:r>
      <w:r>
        <w:rPr>
          <w:rFonts w:ascii="Times New Roman" w:hAnsi="Times New Roman"/>
          <w:color w:val="000000"/>
          <w:sz w:val="24"/>
        </w:rPr>
        <w:t>.</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At or before the time the Company sends any notice referred to in the preceding sentence, the Company will send a copy of such notice to the Trustee and the Conversion Agent, but the failure to timely send such copy will not affect the validity of any Settlement Method election.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- 52 -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The Company’s Right to Irrevocably Fix or Eliminate Settlement Methods</w:t>
      </w:r>
      <w:r>
        <w:rPr>
          <w:rFonts w:ascii="Times New Roman" w:hAnsi="Times New Roman"/>
          <w:color w:val="000000"/>
          <w:sz w:val="24"/>
        </w:rPr>
        <w:t xml:space="preserve">. The Company will have the right, exercisable at its 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hAnsi="Times New Roman"/>
          <w:i/>
          <w:color w:val="000000"/>
          <w:sz w:val="24"/>
        </w:rPr>
        <w:t>provided</w:t>
      </w:r>
      <w:r>
        <w:rPr>
          <w:rFonts w:ascii="Times New Roman" w:hAnsi="Times New Roman"/>
          <w:color w:val="000000"/>
          <w:sz w:val="24"/>
        </w:rPr>
        <w:t xml:space="preserve">, in each case, that (w) the Settlement Method so elected pursuant to </w:t>
      </w:r>
      <w:r>
        <w:rPr>
          <w:rFonts w:ascii="Times New Roman" w:hAnsi="Times New Roman"/>
          <w:b/>
          <w:color w:val="000000"/>
          <w:sz w:val="24"/>
        </w:rPr>
        <w:t>clause (1)</w:t>
      </w:r>
      <w:r>
        <w:rPr>
          <w:rFonts w:ascii="Times New Roman" w:hAnsi="Times New Roman"/>
          <w:color w:val="000000"/>
          <w:sz w:val="24"/>
        </w:rPr>
        <w:t xml:space="preserve"> above, or the Settlement Method(s) remaining after any elimination pursuant to </w:t>
      </w:r>
      <w:r>
        <w:rPr>
          <w:rFonts w:ascii="Times New Roman" w:hAnsi="Times New Roman"/>
          <w:b/>
          <w:color w:val="000000"/>
          <w:sz w:val="24"/>
        </w:rPr>
        <w:t>clause (2)</w:t>
      </w:r>
      <w:r>
        <w:rPr>
          <w:rFonts w:ascii="Times New Roman" w:hAnsi="Times New Roman"/>
          <w:color w:val="000000"/>
          <w:sz w:val="24"/>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hAnsi="Times New Roman"/>
          <w:b/>
          <w:color w:val="000000"/>
          <w:sz w:val="24"/>
        </w:rPr>
        <w:t>Section 5.03(A)</w:t>
      </w:r>
      <w:r>
        <w:rPr>
          <w:rFonts w:ascii="Times New Roman" w:hAnsi="Times New Roman"/>
          <w:color w:val="000000"/>
          <w:sz w:val="24"/>
        </w:rPr>
        <w:t xml:space="preserve">); (x) no such irrevocable election will affect any Settlement Method theretofore elected (or deemed to be elected) with respect to any Note pursuant to this Indenture (including pursuant to </w:t>
      </w:r>
      <w:r>
        <w:rPr>
          <w:rFonts w:ascii="Times New Roman" w:hAnsi="Times New Roman"/>
          <w:b/>
          <w:color w:val="000000"/>
          <w:sz w:val="24"/>
        </w:rPr>
        <w:t>Section 8.01(G)</w:t>
      </w:r>
      <w:r>
        <w:rPr>
          <w:rFonts w:ascii="Times New Roman" w:hAnsi="Times New Roman"/>
          <w:color w:val="000000"/>
          <w:sz w:val="24"/>
        </w:rPr>
        <w:t xml:space="preserve"> or this </w:t>
      </w:r>
      <w:r>
        <w:rPr>
          <w:rFonts w:ascii="Times New Roman" w:hAnsi="Times New Roman"/>
          <w:b/>
          <w:color w:val="000000"/>
          <w:sz w:val="24"/>
        </w:rPr>
        <w:t>Section 5.03(A)</w:t>
      </w:r>
      <w:r>
        <w:rPr>
          <w:rFonts w:ascii="Times New Roman" w:hAnsi="Times New Roman"/>
          <w:color w:val="000000"/>
          <w:sz w:val="24"/>
        </w:rPr>
        <w:t xml:space="preserve">); (y) upon any such irrevocable election pursuant to </w:t>
      </w:r>
      <w:r>
        <w:rPr>
          <w:rFonts w:ascii="Times New Roman" w:hAnsi="Times New Roman"/>
          <w:b/>
          <w:color w:val="000000"/>
          <w:sz w:val="24"/>
        </w:rPr>
        <w:t>clause (1)</w:t>
      </w:r>
      <w:r>
        <w:rPr>
          <w:rFonts w:ascii="Times New Roman" w:hAnsi="Times New Roman"/>
          <w:color w:val="000000"/>
          <w:sz w:val="24"/>
        </w:rPr>
        <w:t xml:space="preserve"> above, the Default Settlement Method will automatically be deemed to be set to the Settlement Method so fixed; and (z) upon any such irrevocable election pursuant to </w:t>
      </w:r>
      <w:r>
        <w:rPr>
          <w:rFonts w:ascii="Times New Roman" w:hAnsi="Times New Roman"/>
          <w:b/>
          <w:color w:val="000000"/>
          <w:sz w:val="24"/>
        </w:rPr>
        <w:t>clause (2)</w:t>
      </w:r>
      <w:r>
        <w:rPr>
          <w:rFonts w:ascii="Times New Roman" w:hAnsi="Times New Roman"/>
          <w:color w:val="000000"/>
          <w:sz w:val="24"/>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 w:hAnsi="Times New Roman"/>
          <w:b/>
          <w:color w:val="000000"/>
          <w:sz w:val="24"/>
        </w:rPr>
        <w:t>Section 8.01(G)</w:t>
      </w:r>
      <w:r>
        <w:rPr>
          <w:rFonts w:ascii="Times New Roman" w:hAnsi="Times New Roman"/>
          <w:color w:val="000000"/>
          <w:sz w:val="24"/>
        </w:rPr>
        <w:t xml:space="preserve"> (it being understood, however, that the Company may nonetheless choose to execute such an amendment at its option).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Requirement to Publicly Disclose the Fixed or Default Settlement Method.</w:t>
      </w:r>
      <w:r>
        <w:rPr>
          <w:rFonts w:ascii="Times New Roman" w:hAnsi="Times New Roman"/>
          <w:color w:val="000000"/>
          <w:sz w:val="24"/>
        </w:rPr>
        <w:t xml:space="preserve"> If the Company changes the Default Settlement Method pursuant to </w:t>
      </w:r>
      <w:r>
        <w:rPr>
          <w:rFonts w:ascii="Times New Roman" w:hAnsi="Times New Roman"/>
          <w:b/>
          <w:color w:val="000000"/>
          <w:sz w:val="24"/>
        </w:rPr>
        <w:t>clause (x)</w:t>
      </w:r>
      <w:r>
        <w:rPr>
          <w:rFonts w:ascii="Times New Roman" w:hAnsi="Times New Roman"/>
          <w:color w:val="000000"/>
          <w:sz w:val="24"/>
        </w:rPr>
        <w:t xml:space="preserve"> of the proviso to the definition of such term or irrevocably fixes the Settlement Method(s) pursuant to </w:t>
      </w:r>
      <w:r>
        <w:rPr>
          <w:rFonts w:ascii="Times New Roman" w:hAnsi="Times New Roman"/>
          <w:b/>
          <w:color w:val="000000"/>
          <w:sz w:val="24"/>
        </w:rPr>
        <w:t>Section 5.03(A)(ii)</w:t>
      </w:r>
      <w:r>
        <w:rPr>
          <w:rFonts w:ascii="Times New Roman" w:hAnsi="Times New Roman"/>
          <w:color w:val="000000"/>
          <w:sz w:val="24"/>
        </w:rPr>
        <w:t>, then the Company will, substantially concurrently therewith, either post the Default Settlement Method or fixed Settlement Method(s), as applicable, on its website or disclose the same in a report on Form 8-K (or any successor form) that is filed with, or furnished to, the SEC.</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Conversion Consideration</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5.03(B)(ii)</w:t>
      </w:r>
      <w:r>
        <w:rPr>
          <w:rFonts w:ascii="Times New Roman" w:hAnsi="Times New Roman"/>
          <w:color w:val="000000"/>
          <w:sz w:val="24"/>
        </w:rPr>
        <w:t xml:space="preserve">, </w:t>
      </w:r>
      <w:r>
        <w:rPr>
          <w:rFonts w:ascii="Times New Roman" w:hAnsi="Times New Roman"/>
          <w:b/>
          <w:color w:val="000000"/>
          <w:sz w:val="24"/>
        </w:rPr>
        <w:t>5.03(B)(iii)</w:t>
      </w:r>
      <w:r>
        <w:rPr>
          <w:rFonts w:ascii="Times New Roman" w:hAnsi="Times New Roman"/>
          <w:color w:val="000000"/>
          <w:sz w:val="24"/>
        </w:rPr>
        <w:t xml:space="preserve"> and </w:t>
      </w:r>
      <w:r>
        <w:rPr>
          <w:rFonts w:ascii="Times New Roman" w:hAnsi="Times New Roman"/>
          <w:b/>
          <w:color w:val="000000"/>
          <w:sz w:val="24"/>
        </w:rPr>
        <w:t>5.09(A)(2)</w:t>
      </w:r>
      <w:r>
        <w:rPr>
          <w:rFonts w:ascii="Times New Roman" w:hAnsi="Times New Roman"/>
          <w:color w:val="000000"/>
          <w:sz w:val="24"/>
        </w:rPr>
        <w:t>, the type and amount of consideration (the “</w:t>
      </w:r>
      <w:r>
        <w:rPr>
          <w:rFonts w:ascii="Times New Roman" w:hAnsi="Times New Roman"/>
          <w:b/>
          <w:color w:val="000000"/>
          <w:sz w:val="24"/>
        </w:rPr>
        <w:t>Conversion Consideration</w:t>
      </w:r>
      <w:r>
        <w:rPr>
          <w:rFonts w:ascii="Times New Roman" w:hAnsi="Times New Roman"/>
          <w:color w:val="000000"/>
          <w:sz w:val="24"/>
        </w:rPr>
        <w:t>”) due in respect of each $1,000 principal amount of a Note to be Converted that the Company applies the redemption proceeds to provide the Holder with will be as follows: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if Physical Settlement applies to such Conversion, a number of Ordinary Shares equal to the Conversion Rate in effect on the Conversion Date for such Conversion;</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- 53 -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if Cash Settlement applies to such Conversion, cash in an amount equal to the sum of the Daily Conversion Values for each VWAP Trading Day in the Observation Period for such Conversion;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if Combination Settlement applies to such Conversion, consideration consisting of (a) a number of Ordinary Shares equal to the sum of the Daily Share Amounts for each VWAP Trading Day in the Observation Period for such Conversion; and (b) an amount of cash equal to the sum of the Daily Cash Amounts for each VWAP Trading Day in such Observation Period.</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Cash in Lieu of Fractional Shares</w:t>
      </w:r>
      <w:r>
        <w:rPr>
          <w:rFonts w:ascii="Times New Roman" w:hAnsi="Times New Roman"/>
          <w:color w:val="000000"/>
          <w:sz w:val="24"/>
        </w:rPr>
        <w:t xml:space="preserve">. If Physical Settlement or Combination Settlement applies to the Conversion of any Note and the number of Ordinary Shares deliverable pursuant to </w:t>
      </w:r>
      <w:r>
        <w:rPr>
          <w:rFonts w:ascii="Times New Roman" w:hAnsi="Times New Roman"/>
          <w:b/>
          <w:color w:val="000000"/>
          <w:sz w:val="24"/>
        </w:rPr>
        <w:t>Section 5.03(B)(i)</w:t>
      </w:r>
      <w:r>
        <w:rPr>
          <w:rFonts w:ascii="Times New Roman" w:hAnsi="Times New Roman"/>
          <w:color w:val="000000"/>
          <w:sz w:val="24"/>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Conversion of Multiple Notes by a Single Holder</w:t>
      </w:r>
      <w:r>
        <w:rPr>
          <w:rFonts w:ascii="Times New Roman" w:hAnsi="Times New Roman"/>
          <w:color w:val="000000"/>
          <w:sz w:val="24"/>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Notice of Calculation of Conversion Consideration</w:t>
      </w:r>
      <w:r>
        <w:rPr>
          <w:rFonts w:ascii="Times New Roman" w:hAnsi="Times New Roman"/>
          <w:color w:val="000000"/>
          <w:sz w:val="24"/>
        </w:rPr>
        <w:t>. If Cash Settlement or Combination Settlement applies 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Delivery of the Conversion Consideration</w:t>
      </w:r>
      <w:r>
        <w:rPr>
          <w:rFonts w:ascii="Times New Roman" w:hAnsi="Times New Roman"/>
          <w:color w:val="000000"/>
          <w:sz w:val="24"/>
        </w:rPr>
        <w:t xml:space="preserve">. Except as set forth in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5.05(D)</w:t>
      </w:r>
      <w:r>
        <w:rPr>
          <w:rFonts w:ascii="Times New Roman" w:hAnsi="Times New Roman"/>
          <w:color w:val="000000"/>
          <w:sz w:val="24"/>
        </w:rPr>
        <w:t xml:space="preserve"> and </w:t>
      </w:r>
      <w:r>
        <w:rPr>
          <w:rFonts w:ascii="Times New Roman" w:hAnsi="Times New Roman"/>
          <w:b/>
          <w:color w:val="000000"/>
          <w:sz w:val="24"/>
        </w:rPr>
        <w:t>5.09</w:t>
      </w:r>
      <w:r>
        <w:rPr>
          <w:rFonts w:ascii="Times New Roman" w:hAnsi="Times New Roman"/>
          <w:color w:val="000000"/>
          <w:sz w:val="24"/>
        </w:rPr>
        <w:t xml:space="preserve">, the Company will pay or deliver, 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Physical Settlement applies to the Conversion of any Note with a Conversion Date that is after the Regular Record Date immediately before the Maturity Date, or of any Note that has been called for Redemption with a Conversion Date that occurs during the fifteen (15) calendar days preceding the related Redemption Date, then, solely for purposes of such Conversion, (x) the Company will pay or deliver, as applicable, the Conversion Consideration due upon such Conversion on or before the Maturity Date (or, if the Maturity Date is not a Business Day, the next Business Day), in the case of a Conversion of any Note with a Conversion Date that is after the Regular Record Date immediately before the Maturity Date, or the related Redemption Date, in the case of a Conversion of any Note that has been called for Redemption with a Conversion Date that occurs during the fifteen (15) calendar days preceding such Redemption Date; and (y) the Conversion Date will instead be deemed to be the second (2nd) Business Day immediately before the date referred to in </w:t>
      </w:r>
      <w:r>
        <w:rPr>
          <w:rFonts w:ascii="Times New Roman" w:hAnsi="Times New Roman"/>
          <w:b/>
          <w:color w:val="000000"/>
          <w:sz w:val="24"/>
        </w:rPr>
        <w:t>clause (x)</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- 54 -</w:t>
      </w:r>
    </w:p>
    <w:p>
      <w:pPr>
        <w:pStyle w:val="HorizontalLine"/>
        <w:pBdr>
          <w:bottom w:val="single" w:sz="12" w:space="0" w:color="808080"/>
        </w:pBdr>
        <w:bidi w:val="0"/>
        <w:spacing w:before="180" w:after="180"/>
        <w:jc w:val="left"/>
        <w:rPr/>
      </w:pPr>
      <w:r>
        <w:rPr/>
      </w:r>
    </w:p>
    <w:p>
      <w:pPr>
        <w:pStyle w:val="TextBody"/>
        <w:bidi w:val="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Deemed Payment of Principal and Interest; Settlement of Accrued Interest Notwithstanding Conversion</w:t>
      </w:r>
      <w:r>
        <w:rPr>
          <w:rFonts w:ascii="Times New Roman" w:hAnsi="Times New Roman"/>
          <w:color w:val="000000"/>
          <w:sz w:val="24"/>
        </w:rPr>
        <w:t xml:space="preserve">. If a Holder Converts a Note, then the Company will not adjust the Conversion Rate to account for any accrued and unpaid interest on such Note, and, except as provided in </w:t>
      </w:r>
      <w:r>
        <w:rPr>
          <w:rFonts w:ascii="Times New Roman" w:hAnsi="Times New Roman"/>
          <w:b/>
          <w:color w:val="000000"/>
          <w:sz w:val="24"/>
        </w:rPr>
        <w:t>Section 5.02(D)</w:t>
      </w:r>
      <w:r>
        <w:rPr>
          <w:rFonts w:ascii="Times New Roman" w:hAnsi="Times New Roman"/>
          <w:color w:val="000000"/>
          <w:sz w:val="24"/>
        </w:rPr>
        <w:t xml:space="preserve">, the Company’s delivery of the Conversion Consideration due in respect of such Conversion will fully satisfy and discharge the Company’s obligation to pay the principal of, and accrued and unpaid interest, if any, on, such Note to, but excluding the Conversion Date. As a result, except as provided in </w:t>
      </w:r>
      <w:r>
        <w:rPr>
          <w:rFonts w:ascii="Times New Roman" w:hAnsi="Times New Roman"/>
          <w:b/>
          <w:color w:val="000000"/>
          <w:sz w:val="24"/>
        </w:rPr>
        <w:t>Section 5.02(D)</w:t>
      </w:r>
      <w:r>
        <w:rPr>
          <w:rFonts w:ascii="Times New Roman" w:hAnsi="Times New Roman"/>
          <w:color w:val="000000"/>
          <w:sz w:val="24"/>
        </w:rPr>
        <w:t xml:space="preserve">, any accrued and unpaid interest on, a Converted Note will be deemed to be paid in full rather than cancelled, extinguished or forfeited. In addition, subject to </w:t>
      </w:r>
      <w:r>
        <w:rPr>
          <w:rFonts w:ascii="Times New Roman" w:hAnsi="Times New Roman"/>
          <w:b/>
          <w:color w:val="000000"/>
          <w:sz w:val="24"/>
        </w:rPr>
        <w:t>Section 5.02(D)</w:t>
      </w:r>
      <w:r>
        <w:rPr>
          <w:rFonts w:ascii="Times New Roman" w:hAnsi="Times New Roman"/>
          <w:color w:val="000000"/>
          <w:sz w:val="24"/>
        </w:rPr>
        <w:t>, if the Conversion Consideration for a Note consists of both cash and Ordinary Shares, then accrued and unpaid interest that is paid therewith will be deemed to be paid first out of such cash.</w:t>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5.04.  Status of Ordinary Shares Issued Upon Conversion.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Each Conversion Share, if any, delivered upon Conversion of any Note will be a newly issued share (except that any Conversion Share delivered by a designated financial institution pursuant to </w:t>
      </w:r>
      <w:r>
        <w:rPr>
          <w:rFonts w:ascii="Times New Roman" w:hAnsi="Times New Roman"/>
          <w:b/>
          <w:color w:val="000000"/>
          <w:sz w:val="24"/>
        </w:rPr>
        <w:t>Section 5.08</w:t>
      </w:r>
      <w:r>
        <w:rPr>
          <w:rFonts w:ascii="Times New Roman" w:hAnsi="Times New Roman"/>
          <w:color w:val="000000"/>
          <w:sz w:val="24"/>
        </w:rPr>
        <w:t xml:space="preserve"> need not be a newly issued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Ordinary Shares are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smallCaps/>
          <w:color w:val="000000"/>
          <w:sz w:val="24"/>
        </w:rPr>
        <w:t>Section 5.05.  Adjustments to the Conversion Rate.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Events Requiring an Adjustment to the Conversion Rate</w:t>
      </w:r>
      <w:r>
        <w:rPr>
          <w:rFonts w:ascii="Times New Roman" w:hAnsi="Times New Roman"/>
          <w:color w:val="000000"/>
          <w:sz w:val="24"/>
        </w:rPr>
        <w:t>. The Conversion Rate will be adjusted from time to time as follows: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Share Dividends, Splits and Combinations</w:t>
      </w:r>
      <w:r>
        <w:rPr>
          <w:rFonts w:ascii="Times New Roman" w:hAnsi="Times New Roman"/>
          <w:color w:val="000000"/>
          <w:sz w:val="24"/>
        </w:rPr>
        <w:t xml:space="preserve">. If the Company issues solely Ordinary Shares as a dividend or distribution on all or substantially all shares of the Ordinary Shares, or if the Company effects a share split or a share combination of the Ordinary Shares (in each case excluding an issuance solely pursuant to an Ordinary Share Change Event, as to which </w:t>
      </w:r>
      <w:r>
        <w:rPr>
          <w:rFonts w:ascii="Times New Roman" w:hAnsi="Times New Roman"/>
          <w:b/>
          <w:color w:val="000000"/>
          <w:sz w:val="24"/>
        </w:rPr>
        <w:t>Section 5.09</w:t>
      </w:r>
      <w:r>
        <w:rPr>
          <w:rFonts w:ascii="Times New Roman" w:hAnsi="Times New Roman"/>
          <w:color w:val="000000"/>
          <w:sz w:val="24"/>
        </w:rPr>
        <w:t xml:space="preserve"> will apply), then the Conversion Rate will be adjusted based on the following formula:</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r>
    </w:p>
    <w:p>
      <w:pPr>
        <w:pStyle w:val="TextBody"/>
        <w:bidi w:val="0"/>
        <w:spacing w:before="0" w:after="0"/>
        <w:ind w:left="720" w:right="0" w:hanging="0"/>
        <w:jc w:val="center"/>
        <w:rPr>
          <w:color w:val="000000"/>
        </w:rPr>
      </w:pPr>
      <w:r>
        <w:rPr>
          <w:color w:val="000000"/>
        </w:rPr>
        <w:drawing>
          <wp:inline distT="0" distB="0" distL="0" distR="0">
            <wp:extent cx="1752600" cy="695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52600" cy="695325"/>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- 55 -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ind w:left="720" w:right="0" w:hanging="0"/>
        <w:jc w:val="both"/>
        <w:rPr>
          <w:rFonts w:ascii="Times New Roman" w:hAnsi="Times New Roman"/>
          <w:sz w:val="24"/>
        </w:rPr>
      </w:pPr>
      <w:r>
        <w:rPr>
          <w:rFonts w:ascii="Times New Roman" w:hAnsi="Times New Roman"/>
          <w:sz w:val="24"/>
        </w:rPr>
      </w:r>
    </w:p>
    <w:p>
      <w:pPr>
        <w:pStyle w:val="Normal"/>
        <w:bidi w:val="0"/>
        <w:spacing w:before="0" w:after="0"/>
        <w:ind w:left="720" w:right="0" w:hanging="0"/>
        <w:jc w:val="left"/>
        <w:rPr>
          <w:sz w:val="4"/>
          <w:szCs w:val="4"/>
        </w:rPr>
      </w:pPr>
      <w:r>
        <w:rPr>
          <w:sz w:val="4"/>
          <w:szCs w:val="4"/>
        </w:rPr>
      </w:r>
      <w:bookmarkStart w:id="211" w:name="z5d3a2490af1f44ad80aae7d351bd6a45"/>
      <w:bookmarkStart w:id="212" w:name="z5d3a2490af1f44ad80aae7d351bd6a45"/>
      <w:bookmarkEnd w:id="212"/>
    </w:p>
    <w:tbl>
      <w:tblPr>
        <w:tblW w:w="9485" w:type="dxa"/>
        <w:jc w:val="left"/>
        <w:tblInd w:w="720" w:type="dxa"/>
        <w:tblLayout w:type="fixed"/>
        <w:tblCellMar>
          <w:top w:w="0" w:type="dxa"/>
          <w:left w:w="0" w:type="dxa"/>
          <w:bottom w:w="0" w:type="dxa"/>
          <w:right w:w="0" w:type="dxa"/>
        </w:tblCellMar>
      </w:tblPr>
      <w:tblGrid>
        <w:gridCol w:w="455"/>
        <w:gridCol w:w="155"/>
        <w:gridCol w:w="8875"/>
      </w:tblGrid>
      <w:tr>
        <w:trPr/>
        <w:tc>
          <w:tcPr>
            <w:tcW w:w="455"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CR0</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before the Open of Business on the Ex-Dividend Date for such dividend or distribution, or immediately before the Open of Business on the Effective Date of such share split or share combination, as applicable;</w:t>
            </w:r>
          </w:p>
        </w:tc>
      </w:tr>
      <w:tr>
        <w:trPr/>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7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CR1</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after the Open of Business on such Ex-Dividend Date or Effective Date, as applicable;</w:t>
            </w:r>
          </w:p>
        </w:tc>
      </w:tr>
      <w:tr>
        <w:trPr/>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7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OS0</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number of Ordinary Shares outstanding immediately before the Open of Business on such Ex-Dividend Date or Effective Date, as applicable, without giving effect to such dividend, distribution, share split or share combination; and</w:t>
            </w:r>
          </w:p>
        </w:tc>
      </w:tr>
      <w:tr>
        <w:trPr/>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7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OS1</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7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number of Ordinary Shares outstanding immediately after giving effect to such dividend, distribution, share split or share combination.</w:t>
            </w:r>
          </w:p>
        </w:tc>
      </w:tr>
    </w:tbl>
    <w:p>
      <w:pPr>
        <w:pStyle w:val="TextBody"/>
        <w:bidi w:val="0"/>
        <w:spacing w:before="0" w:after="0"/>
        <w:ind w:left="720" w:right="0" w:hanging="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If any dividend, distribution, share split or share combination of the type described in this </w:t>
      </w:r>
      <w:r>
        <w:rPr>
          <w:rFonts w:ascii="Times New Roman" w:hAnsi="Times New Roman"/>
          <w:b/>
          <w:color w:val="000000"/>
          <w:sz w:val="24"/>
        </w:rPr>
        <w:t>Section 5.05(A)(i)</w:t>
      </w:r>
      <w:r>
        <w:rPr>
          <w:rFonts w:ascii="Times New Roman" w:hAnsi="Times New Roman"/>
          <w:color w:val="000000"/>
          <w:sz w:val="24"/>
        </w:rPr>
        <w:t xml:space="preserve"> is declared or announced, but not so paid or made, then the Conversion Rate will be readjusted, effective as of the date the Board of Directors determines not to pay such dividend or distribution or to effect such share split or share combination, to the Conversion Rate that would then be in effect had such dividend, distribution, share split or share combination not been declared or announced.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Rights, Options and Warrants</w:t>
      </w:r>
      <w:r>
        <w:rPr>
          <w:rFonts w:ascii="Times New Roman" w:hAnsi="Times New Roman"/>
          <w:color w:val="000000"/>
          <w:sz w:val="24"/>
        </w:rPr>
        <w:t xml:space="preserve">. If the Company distributes, to all or substantially all holders of Ordinary Shares, rights, options or warrants (other than rights issued or otherwise distributed pursuant to a shareholder rights plan, as to which </w:t>
      </w:r>
      <w:r>
        <w:rPr>
          <w:rFonts w:ascii="Times New Roman" w:hAnsi="Times New Roman"/>
          <w:b/>
          <w:color w:val="000000"/>
          <w:sz w:val="24"/>
        </w:rPr>
        <w:t>Sections 5.05(A)(iii)(1)</w:t>
      </w:r>
      <w:r>
        <w:rPr>
          <w:rFonts w:ascii="Times New Roman" w:hAnsi="Times New Roman"/>
          <w:color w:val="000000"/>
          <w:sz w:val="24"/>
        </w:rPr>
        <w:t xml:space="preserve"> and </w:t>
      </w:r>
      <w:r>
        <w:rPr>
          <w:rFonts w:ascii="Times New Roman" w:hAnsi="Times New Roman"/>
          <w:b/>
          <w:color w:val="000000"/>
          <w:sz w:val="24"/>
        </w:rPr>
        <w:t>5.05(F)</w:t>
      </w:r>
      <w:r>
        <w:rPr>
          <w:rFonts w:ascii="Times New Roman" w:hAnsi="Times New Roman"/>
          <w:color w:val="000000"/>
          <w:sz w:val="24"/>
        </w:rPr>
        <w:t xml:space="preserve"> will apply) entitling such holders, for a period of not more than sixty (60) calendar days after the record date of such distribution, to subscribe for or purchase Ordinary Shares at a price per share that is less than the average of the Last Reported Sale Prices per Ordinary Share for the ten (10) consecutive Trading Days ending on, and including, the Trading Day immediately before the date such distribution is announced, then the Conversion Rate will be increased based on the following formula:</w:t>
      </w:r>
    </w:p>
    <w:p>
      <w:pPr>
        <w:pStyle w:val="TextBody"/>
        <w:bidi w:val="0"/>
        <w:spacing w:before="0" w:after="0"/>
        <w:ind w:left="720" w:right="0" w:hanging="0"/>
        <w:jc w:val="both"/>
        <w:rPr/>
      </w:pPr>
      <w:r>
        <w:rPr/>
      </w:r>
    </w:p>
    <w:p>
      <w:pPr>
        <w:pStyle w:val="TextBody"/>
        <w:bidi w:val="0"/>
        <w:spacing w:before="0" w:after="0"/>
        <w:jc w:val="center"/>
        <w:rPr>
          <w:color w:val="000000"/>
        </w:rPr>
      </w:pPr>
      <w:r>
        <w:rPr>
          <w:color w:val="000000"/>
        </w:rPr>
        <w:drawing>
          <wp:inline distT="0" distB="0" distL="0" distR="0">
            <wp:extent cx="1362075"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62075" cy="419100"/>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ind w:left="720" w:right="0" w:hanging="0"/>
        <w:jc w:val="both"/>
        <w:rPr>
          <w:rFonts w:ascii="Times New Roman" w:hAnsi="Times New Roman"/>
          <w:sz w:val="24"/>
        </w:rPr>
      </w:pPr>
      <w:r>
        <w:rPr>
          <w:rFonts w:ascii="Times New Roman" w:hAnsi="Times New Roman"/>
          <w:sz w:val="24"/>
        </w:rPr>
      </w:r>
    </w:p>
    <w:tbl>
      <w:tblPr>
        <w:tblW w:w="9485" w:type="dxa"/>
        <w:jc w:val="left"/>
        <w:tblInd w:w="720" w:type="dxa"/>
        <w:tblLayout w:type="fixed"/>
        <w:tblCellMar>
          <w:top w:w="0" w:type="dxa"/>
          <w:left w:w="0" w:type="dxa"/>
          <w:bottom w:w="0" w:type="dxa"/>
          <w:right w:w="0" w:type="dxa"/>
        </w:tblCellMar>
      </w:tblPr>
      <w:tblGrid>
        <w:gridCol w:w="470"/>
        <w:gridCol w:w="155"/>
        <w:gridCol w:w="8860"/>
      </w:tblGrid>
      <w:tr>
        <w:trPr/>
        <w:tc>
          <w:tcPr>
            <w:tcW w:w="47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CR0</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before the Open of Business on the Ex-Dividend Date for such distribution;</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CR1</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after the Open of Business on such Ex-Dividend Date;</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OS</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number of Ordinary Shares outstanding immediately before the Open of Business on such Ex-Dividend Date;</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X</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total number of Ordinary Shares issuable pursuant to such rights, options or warrants; and</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Y</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a number of Ordinary Shares obtained by dividing (x) the aggregate price payable to exercise such rights, options or warrants by (y) the average of the Last Reported Sale Prices per Ordinary Share for the ten (10) consecutive Trading Days ending on, and including, the Trading Day immediately before the date such distribution is announced.</w:t>
            </w:r>
          </w:p>
        </w:tc>
      </w:tr>
    </w:tbl>
    <w:p>
      <w:pPr>
        <w:pStyle w:val="TextBody"/>
        <w:bidi w:val="0"/>
        <w:spacing w:before="0" w:after="0"/>
        <w:ind w:left="720" w:right="0" w:hanging="0"/>
        <w:jc w:val="left"/>
        <w:rPr/>
      </w:pPr>
      <w:r>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- 56 -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Ordinary Shares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Ordinary Shares actually delivered upon exercise of such rights, options or warrants.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For purposes of this </w:t>
      </w:r>
      <w:r>
        <w:rPr>
          <w:rFonts w:ascii="Times New Roman" w:hAnsi="Times New Roman"/>
          <w:b/>
          <w:color w:val="000000"/>
          <w:sz w:val="24"/>
        </w:rPr>
        <w:t>Section 5.05(A)(ii)</w:t>
      </w:r>
      <w:r>
        <w:rPr>
          <w:rFonts w:ascii="Times New Roman" w:hAnsi="Times New Roman"/>
          <w:color w:val="000000"/>
          <w:sz w:val="24"/>
        </w:rPr>
        <w:t xml:space="preserve"> and </w:t>
      </w:r>
      <w:r>
        <w:rPr>
          <w:rFonts w:ascii="Times New Roman" w:hAnsi="Times New Roman"/>
          <w:b/>
          <w:color w:val="000000"/>
          <w:sz w:val="24"/>
        </w:rPr>
        <w:t>Section 5.01(C)(i)(3)(a)(I)</w:t>
      </w:r>
      <w:r>
        <w:rPr>
          <w:rFonts w:ascii="Times New Roman" w:hAnsi="Times New Roman"/>
          <w:color w:val="000000"/>
          <w:sz w:val="24"/>
        </w:rPr>
        <w:t>, in determining whether any rights, options or warrants entitle holders of Ordinary Shares to subscribe for or purchase Ordinary Shares at a price per share that is less than the average of the Last Reported Sale Prices per Ordinary Share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i/>
          <w:color w:val="000000"/>
          <w:sz w:val="24"/>
        </w:rPr>
        <w:t>Spin-Offs and Other Distributed Property</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i/>
          <w:color w:val="000000"/>
          <w:sz w:val="24"/>
        </w:rPr>
        <w:t>Distributions Other than Spin-Offs</w:t>
      </w:r>
      <w:r>
        <w:rPr>
          <w:rFonts w:ascii="Times New Roman" w:hAnsi="Times New Roman"/>
          <w:color w:val="000000"/>
          <w:sz w:val="24"/>
        </w:rPr>
        <w:t>. If the Company distributes shares of its Capital Stock, evidences of its indebtedness or other assets or property of the Company, or rights, options or warrants to acquire Capital Stock of the Company or other securities, to all or substantially all holders of the Ordinary Shares, excluding:</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(u)</w:t>
      </w:r>
      <w:r>
        <w:rPr>
          <w:rFonts w:ascii="Times New Roman" w:hAnsi="Times New Roman"/>
          <w:color w:val="000000"/>
          <w:sz w:val="20"/>
        </w:rPr>
        <w:t xml:space="preserve">      </w:t>
      </w:r>
      <w:r>
        <w:rPr>
          <w:rFonts w:ascii="Times New Roman" w:hAnsi="Times New Roman"/>
          <w:color w:val="000000"/>
          <w:sz w:val="24"/>
        </w:rPr>
        <w:t xml:space="preserve">dividends, distributions, rights, options or warrants for which an adjustment to the Conversion Rate is required (or would be required without regard to </w:t>
      </w:r>
      <w:r>
        <w:rPr>
          <w:rFonts w:ascii="Times New Roman" w:hAnsi="Times New Roman"/>
          <w:b/>
          <w:color w:val="000000"/>
          <w:sz w:val="24"/>
        </w:rPr>
        <w:t>Section 5.05(C)</w:t>
      </w:r>
      <w:r>
        <w:rPr>
          <w:rFonts w:ascii="Times New Roman" w:hAnsi="Times New Roman"/>
          <w:color w:val="000000"/>
          <w:sz w:val="24"/>
        </w:rPr>
        <w:t xml:space="preserve">)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5.05(A)(i)</w:t>
      </w:r>
      <w:r>
        <w:rPr>
          <w:rFonts w:ascii="Times New Roman" w:hAnsi="Times New Roman"/>
          <w:color w:val="000000"/>
          <w:sz w:val="24"/>
        </w:rPr>
        <w:t xml:space="preserve"> or </w:t>
      </w:r>
      <w:r>
        <w:rPr>
          <w:rFonts w:ascii="Times New Roman" w:hAnsi="Times New Roman"/>
          <w:b/>
          <w:color w:val="000000"/>
          <w:sz w:val="24"/>
        </w:rPr>
        <w:t>5.05(A)(ii)</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- 57 -</w:t>
      </w:r>
    </w:p>
    <w:p>
      <w:pPr>
        <w:pStyle w:val="HorizontalLine"/>
        <w:pBdr>
          <w:bottom w:val="single" w:sz="12" w:space="0" w:color="808080"/>
        </w:pBdr>
        <w:bidi w:val="0"/>
        <w:spacing w:before="180" w:after="18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dividends or distributions paid exclusively in cash for which an adjustment to the Conversion Rate is required (or would be required without regard to </w:t>
      </w:r>
      <w:r>
        <w:rPr>
          <w:rFonts w:ascii="Times New Roman" w:hAnsi="Times New Roman"/>
          <w:b/>
          <w:color w:val="000000"/>
          <w:sz w:val="24"/>
        </w:rPr>
        <w:t>Section 5.05(C)</w:t>
      </w:r>
      <w:r>
        <w:rPr>
          <w:rFonts w:ascii="Times New Roman" w:hAnsi="Times New Roman"/>
          <w:color w:val="000000"/>
          <w:sz w:val="24"/>
        </w:rPr>
        <w:t xml:space="preserve">) pursuant to </w:t>
      </w:r>
      <w:r>
        <w:rPr>
          <w:rFonts w:ascii="Times New Roman" w:hAnsi="Times New Roman"/>
          <w:b/>
          <w:color w:val="000000"/>
          <w:sz w:val="24"/>
        </w:rPr>
        <w:t>Section 5.05(A)(iv)</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(w)</w:t>
      </w:r>
      <w:r>
        <w:rPr>
          <w:rFonts w:ascii="Times New Roman" w:hAnsi="Times New Roman"/>
          <w:color w:val="000000"/>
          <w:sz w:val="20"/>
        </w:rPr>
        <w:t xml:space="preserve">     </w:t>
      </w:r>
      <w:r>
        <w:rPr>
          <w:rFonts w:ascii="Times New Roman" w:hAnsi="Times New Roman"/>
          <w:color w:val="000000"/>
          <w:sz w:val="24"/>
        </w:rPr>
        <w:t xml:space="preserve">rights issued or otherwise distributed pursuant to a shareholder rights plan, except to the extent provided in </w:t>
      </w:r>
      <w:r>
        <w:rPr>
          <w:rFonts w:ascii="Times New Roman" w:hAnsi="Times New Roman"/>
          <w:b/>
          <w:color w:val="000000"/>
          <w:sz w:val="24"/>
        </w:rPr>
        <w:t>Section 5.05(F)</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 xml:space="preserve">Spin-Offs for which an adjustment to the Conversion Rate is required (or would be required without regard to </w:t>
      </w:r>
      <w:r>
        <w:rPr>
          <w:rFonts w:ascii="Times New Roman" w:hAnsi="Times New Roman"/>
          <w:b/>
          <w:color w:val="000000"/>
          <w:sz w:val="24"/>
        </w:rPr>
        <w:t>Section 5.05(C)</w:t>
      </w:r>
      <w:r>
        <w:rPr>
          <w:rFonts w:ascii="Times New Roman" w:hAnsi="Times New Roman"/>
          <w:color w:val="000000"/>
          <w:sz w:val="24"/>
        </w:rPr>
        <w:t xml:space="preserve">) pursuant to </w:t>
      </w:r>
      <w:r>
        <w:rPr>
          <w:rFonts w:ascii="Times New Roman" w:hAnsi="Times New Roman"/>
          <w:b/>
          <w:color w:val="000000"/>
          <w:sz w:val="24"/>
        </w:rPr>
        <w:t>Section 5.05(A)(iii)(2)</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 xml:space="preserve">a distribution solely pursuant to a tender offer or exchange offer for Ordinary Shares, as to which </w:t>
      </w:r>
      <w:r>
        <w:rPr>
          <w:rFonts w:ascii="Times New Roman" w:hAnsi="Times New Roman"/>
          <w:b/>
          <w:color w:val="000000"/>
          <w:sz w:val="24"/>
        </w:rPr>
        <w:t>Section 5.05(A)(v)</w:t>
      </w:r>
      <w:r>
        <w:rPr>
          <w:rFonts w:ascii="Times New Roman" w:hAnsi="Times New Roman"/>
          <w:color w:val="000000"/>
          <w:sz w:val="24"/>
        </w:rPr>
        <w:t xml:space="preserve"> will apply; and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4"/>
        </w:rPr>
        <w:t>(z)</w:t>
      </w:r>
      <w:r>
        <w:rPr>
          <w:rFonts w:ascii="Times New Roman" w:hAnsi="Times New Roman"/>
          <w:color w:val="000000"/>
          <w:sz w:val="20"/>
        </w:rPr>
        <w:t xml:space="preserve">       </w:t>
      </w:r>
      <w:r>
        <w:rPr>
          <w:rFonts w:ascii="Times New Roman" w:hAnsi="Times New Roman"/>
          <w:color w:val="000000"/>
          <w:sz w:val="24"/>
        </w:rPr>
        <w:t xml:space="preserve">a distribution solely pursuant to an Ordinary Share Change Event, as to which </w:t>
      </w:r>
      <w:r>
        <w:rPr>
          <w:rFonts w:ascii="Times New Roman" w:hAnsi="Times New Roman"/>
          <w:b/>
          <w:color w:val="000000"/>
          <w:sz w:val="24"/>
        </w:rPr>
        <w:t>Section 5.09</w:t>
      </w:r>
      <w:r>
        <w:rPr>
          <w:rFonts w:ascii="Times New Roman" w:hAnsi="Times New Roman"/>
          <w:color w:val="000000"/>
          <w:sz w:val="24"/>
        </w:rPr>
        <w:t xml:space="preserve"> will apply,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then the Conversion Rate will be increased based on the following formula:</w:t>
      </w:r>
    </w:p>
    <w:p>
      <w:pPr>
        <w:pStyle w:val="TextBody"/>
        <w:bidi w:val="0"/>
        <w:spacing w:before="0" w:after="0"/>
        <w:ind w:left="1440" w:right="0" w:hanging="0"/>
        <w:jc w:val="both"/>
        <w:rPr>
          <w:rFonts w:ascii="Times New Roman" w:hAnsi="Times New Roman"/>
          <w:sz w:val="20"/>
        </w:rPr>
      </w:pPr>
      <w:r>
        <w:rPr>
          <w:rFonts w:ascii="Times New Roman" w:hAnsi="Times New Roman"/>
          <w:sz w:val="20"/>
        </w:rPr>
      </w:r>
    </w:p>
    <w:p>
      <w:pPr>
        <w:pStyle w:val="TextBody"/>
        <w:bidi w:val="0"/>
        <w:spacing w:before="0" w:after="0"/>
        <w:ind w:left="1440" w:right="0" w:hanging="0"/>
        <w:jc w:val="center"/>
        <w:rPr>
          <w:color w:val="000000"/>
        </w:rPr>
      </w:pPr>
      <w:r>
        <w:rPr>
          <w:color w:val="000000"/>
        </w:rPr>
        <w:drawing>
          <wp:inline distT="0" distB="0" distL="0" distR="0">
            <wp:extent cx="1581150" cy="390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81150" cy="390525"/>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ind w:left="1440" w:right="0" w:hanging="0"/>
        <w:jc w:val="both"/>
        <w:rPr>
          <w:rFonts w:ascii="Times New Roman" w:hAnsi="Times New Roman"/>
          <w:sz w:val="24"/>
        </w:rPr>
      </w:pPr>
      <w:r>
        <w:rPr>
          <w:rFonts w:ascii="Times New Roman" w:hAnsi="Times New Roman"/>
          <w:sz w:val="24"/>
        </w:rPr>
      </w:r>
    </w:p>
    <w:p>
      <w:pPr>
        <w:pStyle w:val="Normal"/>
        <w:bidi w:val="0"/>
        <w:spacing w:before="0" w:after="0"/>
        <w:ind w:left="1440" w:right="0" w:hanging="0"/>
        <w:jc w:val="left"/>
        <w:rPr>
          <w:sz w:val="4"/>
          <w:szCs w:val="4"/>
        </w:rPr>
      </w:pPr>
      <w:r>
        <w:rPr>
          <w:sz w:val="4"/>
          <w:szCs w:val="4"/>
        </w:rPr>
      </w:r>
      <w:bookmarkStart w:id="213" w:name="z37a0d07487f94793ba926324b2b734cd"/>
      <w:bookmarkStart w:id="214" w:name="z37a0d07487f94793ba926324b2b734cd"/>
      <w:bookmarkEnd w:id="214"/>
    </w:p>
    <w:tbl>
      <w:tblPr>
        <w:tblW w:w="8765" w:type="dxa"/>
        <w:jc w:val="left"/>
        <w:tblInd w:w="1440" w:type="dxa"/>
        <w:tblLayout w:type="fixed"/>
        <w:tblCellMar>
          <w:top w:w="0" w:type="dxa"/>
          <w:left w:w="0" w:type="dxa"/>
          <w:bottom w:w="0" w:type="dxa"/>
          <w:right w:w="0" w:type="dxa"/>
        </w:tblCellMar>
      </w:tblPr>
      <w:tblGrid>
        <w:gridCol w:w="530"/>
        <w:gridCol w:w="155"/>
        <w:gridCol w:w="8080"/>
      </w:tblGrid>
      <w:tr>
        <w:trPr/>
        <w:tc>
          <w:tcPr>
            <w:tcW w:w="53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CR0</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before the Open of Business on the Ex-Dividend Date for such distribution;</w:t>
            </w:r>
          </w:p>
        </w:tc>
      </w:tr>
      <w:tr>
        <w:trPr/>
        <w:tc>
          <w:tcPr>
            <w:tcW w:w="53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CR1</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after the Open of Business on such Ex-Dividend Date;</w:t>
            </w:r>
          </w:p>
        </w:tc>
      </w:tr>
      <w:tr>
        <w:trPr/>
        <w:tc>
          <w:tcPr>
            <w:tcW w:w="53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SP</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average of the Last Reported Sale Prices per Ordinary Share for the ten (10) consecutive Trading Days ending on, and including, the Trading Day immediately before such Ex-Dividend Date; and</w:t>
            </w:r>
          </w:p>
        </w:tc>
      </w:tr>
      <w:tr>
        <w:trPr/>
        <w:tc>
          <w:tcPr>
            <w:tcW w:w="53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FMV</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fair market value (as determined by the Company in good faith and in a commercially reasonable manner), as of such Ex-Dividend Date, of the shares of Capital Stock, evidences of indebtedness, assets, property, rights, options or warrants distributed per Ordinary Share pursuant to such distribution;</w:t>
            </w:r>
          </w:p>
        </w:tc>
      </w:tr>
    </w:tbl>
    <w:p>
      <w:pPr>
        <w:pStyle w:val="TextBody"/>
        <w:bidi w:val="0"/>
        <w:spacing w:before="0" w:after="0"/>
        <w:ind w:left="1440" w:right="0" w:hanging="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w:t>
      </w:r>
      <w:r>
        <w:rPr>
          <w:rFonts w:ascii="Times New Roman" w:hAnsi="Times New Roman"/>
          <w:i/>
          <w:color w:val="000000"/>
          <w:sz w:val="24"/>
        </w:rPr>
        <w:t>FMV</w:t>
      </w:r>
      <w:r>
        <w:rPr>
          <w:rFonts w:ascii="Times New Roman" w:hAnsi="Times New Roman"/>
          <w:color w:val="000000"/>
          <w:sz w:val="24"/>
        </w:rPr>
        <w:t xml:space="preserve"> is equal to or greater than </w:t>
      </w:r>
      <w:r>
        <w:rPr>
          <w:rFonts w:ascii="Times New Roman" w:hAnsi="Times New Roman"/>
          <w:i/>
          <w:color w:val="000000"/>
          <w:sz w:val="24"/>
        </w:rPr>
        <w:t>SP</w:t>
      </w:r>
      <w:r>
        <w:rPr>
          <w:rFonts w:ascii="Times New Roman" w:hAnsi="Times New Roman"/>
          <w:color w:val="000000"/>
          <w:sz w:val="24"/>
        </w:rPr>
        <w:t>, then, in lieu of the foregoing adjustment to the Conversion Rate, each Holder will receive, for each $1,000 principal amount of Notes held by such Holder on the record date for such distribution, at the same time and on the same terms as holders of Ordinary Shares, the amount and kind of shares of Capital Stock, evidences of indebtedness, assets, property, rights, options or warrants that such Holder would have received in such distribution if such Holder had owned, on such record date, a number of Ordinary Shares equal to the Conversion Rate in effect on such record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- 58 -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To the extent such distribution is not so paid or made, the Conversion Rate will be readjusted to the Conversion Rate that would then be in effect had the adjustment been made on the basis of only the distribution, if any, actually made or paid.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i/>
          <w:color w:val="000000"/>
          <w:sz w:val="24"/>
        </w:rPr>
        <w:t>Spin-Offs</w:t>
      </w:r>
      <w:r>
        <w:rPr>
          <w:rFonts w:ascii="Times New Roman" w:hAnsi="Times New Roman"/>
          <w:color w:val="000000"/>
          <w:sz w:val="24"/>
        </w:rPr>
        <w:t xml:space="preserve">. If the Company distributes or dividends shares of Capital Stock of any class or series, or similar equity interests, of or relating to an Affiliate, a Subsidiary or other business unit of the Company to all or substantially all holders of the Ordinary Shares (other than solely pursuant to (x) an Ordinary Share Change Event, as to which </w:t>
      </w:r>
      <w:r>
        <w:rPr>
          <w:rFonts w:ascii="Times New Roman" w:hAnsi="Times New Roman"/>
          <w:b/>
          <w:color w:val="000000"/>
          <w:sz w:val="24"/>
        </w:rPr>
        <w:t>Section 5.09</w:t>
      </w:r>
      <w:r>
        <w:rPr>
          <w:rFonts w:ascii="Times New Roman" w:hAnsi="Times New Roman"/>
          <w:color w:val="000000"/>
          <w:sz w:val="24"/>
        </w:rPr>
        <w:t xml:space="preserve"> will apply; or (y) a tender offer or exchange offer for Ordinary Shares, as to which </w:t>
      </w:r>
      <w:r>
        <w:rPr>
          <w:rFonts w:ascii="Times New Roman" w:hAnsi="Times New Roman"/>
          <w:b/>
          <w:color w:val="000000"/>
          <w:sz w:val="24"/>
        </w:rPr>
        <w:t>Section 5.05(A)(v)</w:t>
      </w:r>
      <w:r>
        <w:rPr>
          <w:rFonts w:ascii="Times New Roman" w:hAnsi="Times New Roman"/>
          <w:color w:val="000000"/>
          <w:sz w:val="24"/>
        </w:rPr>
        <w:t xml:space="preserve"> will apply), and such Capital Stock or equity interests are listed or quoted (or will be listed or quoted upon the consummation of the transaction) on a U.S. national securities exchange (a “</w:t>
      </w:r>
      <w:r>
        <w:rPr>
          <w:rFonts w:ascii="Times New Roman" w:hAnsi="Times New Roman"/>
          <w:b/>
          <w:color w:val="000000"/>
          <w:sz w:val="24"/>
        </w:rPr>
        <w:t>Spin-Off</w:t>
      </w:r>
      <w:r>
        <w:rPr>
          <w:rFonts w:ascii="Times New Roman" w:hAnsi="Times New Roman"/>
          <w:color w:val="000000"/>
          <w:sz w:val="24"/>
        </w:rPr>
        <w:t>”), then the Conversion Rate will be increased based on the following formula:</w:t>
      </w:r>
    </w:p>
    <w:p>
      <w:pPr>
        <w:pStyle w:val="TextBody"/>
        <w:bidi w:val="0"/>
        <w:spacing w:before="0" w:after="0"/>
        <w:ind w:left="1440" w:right="0" w:firstLine="720"/>
        <w:jc w:val="both"/>
        <w:rPr>
          <w:rFonts w:ascii="Times New Roman" w:hAnsi="Times New Roman"/>
          <w:sz w:val="20"/>
        </w:rPr>
      </w:pPr>
      <w:r>
        <w:rPr>
          <w:rFonts w:ascii="Times New Roman" w:hAnsi="Times New Roman"/>
          <w:sz w:val="20"/>
        </w:rPr>
      </w:r>
    </w:p>
    <w:p>
      <w:pPr>
        <w:pStyle w:val="TextBody"/>
        <w:bidi w:val="0"/>
        <w:spacing w:before="0" w:after="0"/>
        <w:ind w:left="1440" w:right="0" w:hanging="0"/>
        <w:jc w:val="center"/>
        <w:rPr>
          <w:color w:val="000000"/>
        </w:rPr>
      </w:pPr>
      <w:r>
        <w:rPr>
          <w:color w:val="000000"/>
        </w:rPr>
        <w:drawing>
          <wp:inline distT="0" distB="0" distL="0" distR="0">
            <wp:extent cx="1562100" cy="466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62100" cy="466725"/>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ind w:left="1440" w:right="0" w:hanging="0"/>
        <w:jc w:val="both"/>
        <w:rPr>
          <w:rFonts w:ascii="Times New Roman" w:hAnsi="Times New Roman"/>
          <w:sz w:val="24"/>
        </w:rPr>
      </w:pPr>
      <w:r>
        <w:rPr>
          <w:rFonts w:ascii="Times New Roman" w:hAnsi="Times New Roman"/>
          <w:sz w:val="24"/>
        </w:rPr>
      </w:r>
    </w:p>
    <w:p>
      <w:pPr>
        <w:pStyle w:val="Normal"/>
        <w:bidi w:val="0"/>
        <w:spacing w:before="0" w:after="0"/>
        <w:ind w:left="1440" w:right="0" w:hanging="0"/>
        <w:jc w:val="left"/>
        <w:rPr>
          <w:sz w:val="4"/>
          <w:szCs w:val="4"/>
        </w:rPr>
      </w:pPr>
      <w:r>
        <w:rPr>
          <w:sz w:val="4"/>
          <w:szCs w:val="4"/>
        </w:rPr>
      </w:r>
      <w:bookmarkStart w:id="215" w:name="z2f0396d9382f4355bfa5785234c71296"/>
      <w:bookmarkStart w:id="216" w:name="z2f0396d9382f4355bfa5785234c71296"/>
      <w:bookmarkEnd w:id="216"/>
    </w:p>
    <w:tbl>
      <w:tblPr>
        <w:tblW w:w="8765" w:type="dxa"/>
        <w:jc w:val="left"/>
        <w:tblInd w:w="1440" w:type="dxa"/>
        <w:tblLayout w:type="fixed"/>
        <w:tblCellMar>
          <w:top w:w="0" w:type="dxa"/>
          <w:left w:w="0" w:type="dxa"/>
          <w:bottom w:w="0" w:type="dxa"/>
          <w:right w:w="0" w:type="dxa"/>
        </w:tblCellMar>
      </w:tblPr>
      <w:tblGrid>
        <w:gridCol w:w="530"/>
        <w:gridCol w:w="155"/>
        <w:gridCol w:w="8080"/>
      </w:tblGrid>
      <w:tr>
        <w:trPr/>
        <w:tc>
          <w:tcPr>
            <w:tcW w:w="53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CR0</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before the Close of Business on the last Trading Day of the Spin-Off Valuation Period for such Spin-Off;</w:t>
            </w:r>
          </w:p>
        </w:tc>
      </w:tr>
      <w:tr>
        <w:trPr/>
        <w:tc>
          <w:tcPr>
            <w:tcW w:w="53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CR1</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after the Close of Business on the last Trading Day of the Spin-Off Valuation Period;</w:t>
            </w:r>
          </w:p>
        </w:tc>
      </w:tr>
      <w:tr>
        <w:trPr/>
        <w:tc>
          <w:tcPr>
            <w:tcW w:w="53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FMV</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product of (x) the average of the Last Reported Sale Prices per share or unit of the Capital Stock or equity interests distributed in such Spin-Off over the ten (10) consecutive Trading Day period (the “</w:t>
            </w:r>
            <w:r>
              <w:rPr>
                <w:rFonts w:ascii="Times New Roman" w:hAnsi="Times New Roman"/>
                <w:b/>
                <w:sz w:val="24"/>
              </w:rPr>
              <w:t>Spin-Off Valuation Period</w:t>
            </w:r>
            <w:r>
              <w:rPr>
                <w:rFonts w:ascii="Times New Roman" w:hAnsi="Times New Roman"/>
                <w:sz w:val="24"/>
              </w:rPr>
              <w:t>”) beginning on, and including, the Ex-Dividend Date for such Spin-Off (such average to be determined as if references to Ordinary Shares in the definitions of Last Reported Sale Price, Trading Day and Market Disruption Event were instead references to such Capital Stock or equity interests); and (y) the number of shares or units of such Capital Stock or equity interests distributed per Ordinary Share in such Spin-Off; and</w:t>
            </w:r>
          </w:p>
        </w:tc>
      </w:tr>
      <w:tr>
        <w:trPr/>
        <w:tc>
          <w:tcPr>
            <w:tcW w:w="53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SP</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08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average of the Last Reported Sale Prices per Ordinary Share for each Trading Day in the Spin-Off Valuation Period.</w:t>
            </w:r>
          </w:p>
        </w:tc>
      </w:tr>
    </w:tbl>
    <w:p>
      <w:pPr>
        <w:pStyle w:val="TextBody"/>
        <w:bidi w:val="0"/>
        <w:spacing w:before="0" w:after="0"/>
        <w:ind w:left="1440" w:right="0" w:hanging="0"/>
        <w:jc w:val="both"/>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- 59 -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 xml:space="preserve">Notwithstanding anything to the contrary in this </w:t>
      </w:r>
      <w:r>
        <w:rPr>
          <w:rFonts w:ascii="Times New Roman" w:hAnsi="Times New Roman"/>
          <w:b/>
          <w:color w:val="000000"/>
          <w:sz w:val="24"/>
        </w:rPr>
        <w:t>Section 5.05(A)(iii)(2)</w:t>
      </w:r>
      <w:r>
        <w:rPr>
          <w:rFonts w:ascii="Times New Roman" w:hAnsi="Times New Roman"/>
          <w:color w:val="000000"/>
          <w:sz w:val="24"/>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 xml:space="preserve">To the extent any dividend or distribution of the type set forth in this </w:t>
      </w:r>
      <w:r>
        <w:rPr>
          <w:rFonts w:ascii="Times New Roman" w:hAnsi="Times New Roman"/>
          <w:b/>
          <w:color w:val="000000"/>
          <w:sz w:val="24"/>
        </w:rPr>
        <w:t>Section 5.05(A)(iii)(2)</w:t>
      </w:r>
      <w:r>
        <w:rPr>
          <w:rFonts w:ascii="Times New Roman" w:hAnsi="Times New Roman"/>
          <w:color w:val="000000"/>
          <w:sz w:val="24"/>
        </w:rPr>
        <w:t xml:space="preserve">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i/>
          <w:color w:val="000000"/>
          <w:sz w:val="24"/>
        </w:rPr>
        <w:t>Cash Dividends or Distributions</w:t>
      </w:r>
      <w:r>
        <w:rPr>
          <w:rFonts w:ascii="Times New Roman" w:hAnsi="Times New Roman"/>
          <w:color w:val="000000"/>
          <w:sz w:val="24"/>
        </w:rPr>
        <w:t>. If any cash dividend or distribution is made to all or substantially all holders of Ordinary Shares, then the Conversion Rate will be increased based on the following formula:</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r>
    </w:p>
    <w:p>
      <w:pPr>
        <w:pStyle w:val="TextBody"/>
        <w:bidi w:val="0"/>
        <w:spacing w:before="0" w:after="0"/>
        <w:ind w:left="720" w:right="0" w:hanging="0"/>
        <w:jc w:val="center"/>
        <w:rPr>
          <w:color w:val="000000"/>
        </w:rPr>
      </w:pPr>
      <w:r>
        <w:rPr>
          <w:color w:val="000000"/>
        </w:rPr>
        <w:drawing>
          <wp:inline distT="0" distB="0" distL="0" distR="0">
            <wp:extent cx="1495425" cy="495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95425" cy="495300"/>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ind w:left="720" w:right="0" w:hanging="0"/>
        <w:jc w:val="both"/>
        <w:rPr>
          <w:rFonts w:ascii="Times New Roman" w:hAnsi="Times New Roman"/>
          <w:sz w:val="24"/>
        </w:rPr>
      </w:pPr>
      <w:r>
        <w:rPr>
          <w:rFonts w:ascii="Times New Roman" w:hAnsi="Times New Roman"/>
          <w:sz w:val="24"/>
        </w:rPr>
      </w:r>
    </w:p>
    <w:p>
      <w:pPr>
        <w:pStyle w:val="Normal"/>
        <w:bidi w:val="0"/>
        <w:spacing w:before="0" w:after="0"/>
        <w:ind w:left="720" w:right="0" w:hanging="0"/>
        <w:jc w:val="left"/>
        <w:rPr>
          <w:sz w:val="4"/>
          <w:szCs w:val="4"/>
        </w:rPr>
      </w:pPr>
      <w:r>
        <w:rPr>
          <w:sz w:val="4"/>
          <w:szCs w:val="4"/>
        </w:rPr>
      </w:r>
      <w:bookmarkStart w:id="217" w:name="z56c5c4ff27374a2b88791e5295fc22a2"/>
      <w:bookmarkStart w:id="218" w:name="z56c5c4ff27374a2b88791e5295fc22a2"/>
      <w:bookmarkEnd w:id="218"/>
    </w:p>
    <w:tbl>
      <w:tblPr>
        <w:tblW w:w="9485" w:type="dxa"/>
        <w:jc w:val="left"/>
        <w:tblInd w:w="720" w:type="dxa"/>
        <w:tblLayout w:type="fixed"/>
        <w:tblCellMar>
          <w:top w:w="0" w:type="dxa"/>
          <w:left w:w="0" w:type="dxa"/>
          <w:bottom w:w="0" w:type="dxa"/>
          <w:right w:w="0" w:type="dxa"/>
        </w:tblCellMar>
      </w:tblPr>
      <w:tblGrid>
        <w:gridCol w:w="470"/>
        <w:gridCol w:w="155"/>
        <w:gridCol w:w="8860"/>
      </w:tblGrid>
      <w:tr>
        <w:trPr/>
        <w:tc>
          <w:tcPr>
            <w:tcW w:w="47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CR0</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before the Open of Business on the Ex-Dividend Date for such dividend or distribution;</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CR1</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after the Open of Business on such Ex-Dividend Date;</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SP</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Last Reported Sale Price per Ordinary Share on the Trading Day immediately before such Ex-Dividend Date; and</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D</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cash amount distributed per Ordinary Share in such dividend or distribution;</w:t>
            </w:r>
          </w:p>
        </w:tc>
      </w:tr>
    </w:tbl>
    <w:p>
      <w:pPr>
        <w:pStyle w:val="TextBody"/>
        <w:bidi w:val="0"/>
        <w:spacing w:before="0" w:after="0"/>
        <w:ind w:left="720" w:right="0" w:hanging="0"/>
        <w:jc w:val="both"/>
        <w:rPr/>
      </w:pPr>
      <w:r>
        <w:rPr/>
      </w:r>
    </w:p>
    <w:p>
      <w:pPr>
        <w:pStyle w:val="TextBody"/>
        <w:bidi w:val="0"/>
        <w:spacing w:before="0" w:after="0"/>
        <w:ind w:left="720" w:right="0" w:hanging="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w:t>
      </w:r>
      <w:r>
        <w:rPr>
          <w:rFonts w:ascii="Times New Roman" w:hAnsi="Times New Roman"/>
          <w:i/>
          <w:color w:val="000000"/>
          <w:sz w:val="24"/>
        </w:rPr>
        <w:t>D</w:t>
      </w:r>
      <w:r>
        <w:rPr>
          <w:rFonts w:ascii="Times New Roman" w:hAnsi="Times New Roman"/>
          <w:color w:val="000000"/>
          <w:sz w:val="24"/>
        </w:rPr>
        <w:t xml:space="preserve"> is equal to or greater than </w:t>
      </w:r>
      <w:r>
        <w:rPr>
          <w:rFonts w:ascii="Times New Roman" w:hAnsi="Times New Roman"/>
          <w:i/>
          <w:color w:val="000000"/>
          <w:sz w:val="24"/>
        </w:rPr>
        <w:t>SP</w:t>
      </w:r>
      <w:r>
        <w:rPr>
          <w:rFonts w:ascii="Times New Roman" w:hAnsi="Times New Roman"/>
          <w:color w:val="000000"/>
          <w:sz w:val="24"/>
        </w:rPr>
        <w:t>, then, in lieu of the foregoing adjustment to the Conversion Rate, each Holder will receive, for each $1,000 principal amount of Notes held by such Holder on the record date for such dividend or distribution, at the same time and on the same terms as holders of Ordinary Shares, the amount of cash that such Holder would have received in such dividend or distribution if such Holder had owned, on such record date, a number of Ordinary Shares equal to the Conversion Rate in effect on such record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- 60 -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i/>
          <w:color w:val="000000"/>
          <w:sz w:val="24"/>
        </w:rPr>
        <w:t>Tender Offers or Exchange Offers</w:t>
      </w:r>
      <w:r>
        <w:rPr>
          <w:rFonts w:ascii="Times New Roman" w:hAnsi="Times New Roman"/>
          <w:color w:val="000000"/>
          <w:sz w:val="24"/>
        </w:rPr>
        <w:t>. If the Company or any of its Subsidiaries makes a payment in respect of a tender offer or exchange offer for Ordinary Shares (other than solely pursuant to an odd-lot tender offer pursuant to Rule 13e-4(h)(5) under the Exchange Act), and the value (determined as of the Expiration Time by the Company in good faith and in a commercially reasonable manner) of the cash and other consideration paid per Ordinary Share in such tender or exchange offer exceeds the Last Reported Sale Price per Ordinary Share on the Trading Day immediately after the last date (the “</w:t>
      </w:r>
      <w:r>
        <w:rPr>
          <w:rFonts w:ascii="Times New Roman" w:hAnsi="Times New Roman"/>
          <w:b/>
          <w:color w:val="000000"/>
          <w:sz w:val="24"/>
        </w:rPr>
        <w:t>Expiration Date</w:t>
      </w:r>
      <w:r>
        <w:rPr>
          <w:rFonts w:ascii="Times New Roman" w:hAnsi="Times New Roman"/>
          <w:color w:val="000000"/>
          <w:sz w:val="24"/>
        </w:rPr>
        <w:t>”) on which tenders or exchanges may be made pursuant to such tender or exchange offer (as it may be amended), then the Conversion Rate will be increased based on the following formula:</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r>
    </w:p>
    <w:p>
      <w:pPr>
        <w:pStyle w:val="TextBody"/>
        <w:bidi w:val="0"/>
        <w:spacing w:before="0" w:after="0"/>
        <w:ind w:left="720" w:right="0" w:hanging="0"/>
        <w:jc w:val="center"/>
        <w:rPr>
          <w:color w:val="000000"/>
        </w:rPr>
      </w:pPr>
      <w:r>
        <w:rPr>
          <w:color w:val="000000"/>
        </w:rPr>
        <w:drawing>
          <wp:inline distT="0" distB="0" distL="0" distR="0">
            <wp:extent cx="1857375" cy="457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57375" cy="457200"/>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0"/>
        <w:jc w:val="both"/>
        <w:rPr>
          <w:sz w:val="24"/>
        </w:rPr>
      </w:pPr>
      <w:r>
        <w:rPr>
          <w:sz w:val="24"/>
        </w:rPr>
      </w:r>
    </w:p>
    <w:p>
      <w:pPr>
        <w:pStyle w:val="Normal"/>
        <w:bidi w:val="0"/>
        <w:spacing w:before="0" w:after="0"/>
        <w:ind w:left="720" w:right="0" w:hanging="0"/>
        <w:jc w:val="both"/>
        <w:rPr>
          <w:sz w:val="4"/>
          <w:szCs w:val="4"/>
        </w:rPr>
      </w:pPr>
      <w:r>
        <w:rPr>
          <w:sz w:val="4"/>
          <w:szCs w:val="4"/>
        </w:rPr>
      </w:r>
      <w:bookmarkStart w:id="219" w:name="z6b557df36790496c825e3382abadc030"/>
      <w:bookmarkStart w:id="220" w:name="z6b557df36790496c825e3382abadc030"/>
      <w:bookmarkEnd w:id="220"/>
    </w:p>
    <w:tbl>
      <w:tblPr>
        <w:tblW w:w="9485" w:type="dxa"/>
        <w:jc w:val="left"/>
        <w:tblInd w:w="720" w:type="dxa"/>
        <w:tblLayout w:type="fixed"/>
        <w:tblCellMar>
          <w:top w:w="0" w:type="dxa"/>
          <w:left w:w="0" w:type="dxa"/>
          <w:bottom w:w="0" w:type="dxa"/>
          <w:right w:w="0" w:type="dxa"/>
        </w:tblCellMar>
      </w:tblPr>
      <w:tblGrid>
        <w:gridCol w:w="470"/>
        <w:gridCol w:w="155"/>
        <w:gridCol w:w="8860"/>
      </w:tblGrid>
      <w:tr>
        <w:trPr/>
        <w:tc>
          <w:tcPr>
            <w:tcW w:w="47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CR0</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before the Close of Business on the last Trading Day of the Tender/Exchange Offer Valuation Period for such tender or exchange offer;</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CR1</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Conversion Rate in effect immediately after the Close of Business on the last Trading Day of the Tender/Exchange Offer Valuation Period;</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AC</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aggregate value (determined as of the time (the “</w:t>
            </w:r>
            <w:r>
              <w:rPr>
                <w:rFonts w:ascii="Times New Roman" w:hAnsi="Times New Roman"/>
                <w:b/>
                <w:sz w:val="24"/>
              </w:rPr>
              <w:t>Expiration Time</w:t>
            </w:r>
            <w:r>
              <w:rPr>
                <w:rFonts w:ascii="Times New Roman" w:hAnsi="Times New Roman"/>
                <w:sz w:val="24"/>
              </w:rPr>
              <w:t>”) such tender or exchange offer expires by the Company in good faith and in a commercially reasonable manner) of all cash and other consideration paid for Ordinary Shares purchased or exchanged in such tender or exchange offer;</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OS0</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number of Ordinary Shares outstanding immediately before the Expiration Time (including all Ordinary Shares accepted for purchase or exchange in such tender or exchange offer);</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lineRule="auto" w:line="240" w:before="0" w:after="0"/>
              <w:jc w:val="both"/>
              <w:rPr>
                <w:rFonts w:ascii="Times New Roman" w:hAnsi="Times New Roman"/>
                <w:i/>
                <w:sz w:val="24"/>
              </w:rPr>
            </w:pPr>
            <w:r>
              <w:rPr>
                <w:rFonts w:ascii="Times New Roman" w:hAnsi="Times New Roman"/>
                <w:i/>
                <w:sz w:val="24"/>
              </w:rPr>
              <w:t>OS1</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number of Ordinary Shares outstanding immediately after the Expiration Time (excluding all Ordinary Shares accepted for purchase or exchange in such tender or exchange offer); and</w:t>
            </w:r>
          </w:p>
        </w:tc>
      </w:tr>
      <w:tr>
        <w:trPr/>
        <w:tc>
          <w:tcPr>
            <w:tcW w:w="4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both"/>
              <w:rPr>
                <w:rFonts w:ascii="Times New Roman" w:hAnsi="Times New Roman"/>
                <w:i/>
                <w:sz w:val="24"/>
              </w:rPr>
            </w:pPr>
            <w:r>
              <w:rPr>
                <w:rFonts w:ascii="Times New Roman" w:hAnsi="Times New Roman"/>
                <w:i/>
                <w:sz w:val="24"/>
              </w:rPr>
              <w:t>SP</w:t>
            </w:r>
          </w:p>
        </w:tc>
        <w:tc>
          <w:tcPr>
            <w:tcW w:w="15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w:t>
            </w:r>
          </w:p>
        </w:tc>
        <w:tc>
          <w:tcPr>
            <w:tcW w:w="88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average of the Last Reported Sale Prices per Ordinary Share over the ten (10) consecutive Trading Day period (the “</w:t>
            </w:r>
            <w:r>
              <w:rPr>
                <w:rFonts w:ascii="Times New Roman" w:hAnsi="Times New Roman"/>
                <w:b/>
                <w:sz w:val="24"/>
              </w:rPr>
              <w:t>Tender/Exchange Offer Valuation Period</w:t>
            </w:r>
            <w:r>
              <w:rPr>
                <w:rFonts w:ascii="Times New Roman" w:hAnsi="Times New Roman"/>
                <w:sz w:val="24"/>
              </w:rPr>
              <w:t>”) beginning on, and including, the Trading Day immediately after the Expiration Date;</w:t>
            </w:r>
          </w:p>
        </w:tc>
      </w:tr>
    </w:tbl>
    <w:p>
      <w:pPr>
        <w:pStyle w:val="TextBody"/>
        <w:bidi w:val="0"/>
        <w:spacing w:before="0" w:after="0"/>
        <w:ind w:left="720" w:right="0" w:hanging="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- 61 -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Conversion Rate will in no event be adjusted down pursuant to this </w:t>
      </w:r>
      <w:r>
        <w:rPr>
          <w:rFonts w:ascii="Times New Roman" w:hAnsi="Times New Roman"/>
          <w:b/>
          <w:color w:val="000000"/>
          <w:sz w:val="24"/>
        </w:rPr>
        <w:t>Section 5.05(A)(v)</w:t>
      </w:r>
      <w:r>
        <w:rPr>
          <w:rFonts w:ascii="Times New Roman" w:hAnsi="Times New Roman"/>
          <w:color w:val="000000"/>
          <w:sz w:val="24"/>
        </w:rPr>
        <w:t xml:space="preserve">, except to the extent provided in the immediately following paragraph. Notwithstanding anything to the contrary in this </w:t>
      </w:r>
      <w:r>
        <w:rPr>
          <w:rFonts w:ascii="Times New Roman" w:hAnsi="Times New Roman"/>
          <w:b/>
          <w:color w:val="000000"/>
          <w:sz w:val="24"/>
        </w:rPr>
        <w:t>Section 5.05(A)(v)</w:t>
      </w:r>
      <w:r>
        <w:rPr>
          <w:rFonts w:ascii="Times New Roman" w:hAnsi="Times New Roman"/>
          <w:color w:val="000000"/>
          <w:sz w:val="24"/>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To the extent such tender or exchange offer is announced but not consummated (including as a result of being precluded from consummating such tender or exchange offer under applicable law), or any purchases or exchanges of Ordinary Shares in such tender or exchange offer are rescinded, the Conversion Rate will be readjusted to the Conversion Rate that would then be in effect had the adjustment been made on the basis of only the purchases or exchanges of Ordinary Shares, if any, actually made, and not rescinded, in such tender or exchange offer.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No Adjustments in Certain Cases</w:t>
      </w:r>
      <w:r>
        <w:rPr>
          <w:rFonts w:ascii="Times New Roman" w:hAnsi="Times New Roman"/>
          <w:color w:val="000000"/>
          <w:sz w:val="24"/>
        </w:rPr>
        <w: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Where Holders Participate in the Transaction or Event Without Conversion</w:t>
      </w:r>
      <w:r>
        <w:rPr>
          <w:rFonts w:ascii="Times New Roman" w:hAnsi="Times New Roman"/>
          <w:color w:val="000000"/>
          <w:sz w:val="24"/>
        </w:rPr>
        <w:t xml:space="preserve">. Notwithstanding anything to the contrary in </w:t>
      </w:r>
      <w:r>
        <w:rPr>
          <w:rFonts w:ascii="Times New Roman" w:hAnsi="Times New Roman"/>
          <w:b/>
          <w:color w:val="000000"/>
          <w:sz w:val="24"/>
        </w:rPr>
        <w:t>Section 5.05(A)</w:t>
      </w:r>
      <w:r>
        <w:rPr>
          <w:rFonts w:ascii="Times New Roman" w:hAnsi="Times New Roman"/>
          <w:color w:val="000000"/>
          <w:sz w:val="24"/>
        </w:rPr>
        <w:t xml:space="preserve">, the Company will not be obligated to adjust the Conversion Rate on account of a transaction or other event otherwise requiring an adjustment pursuant to </w:t>
      </w:r>
      <w:r>
        <w:rPr>
          <w:rFonts w:ascii="Times New Roman" w:hAnsi="Times New Roman"/>
          <w:b/>
          <w:color w:val="000000"/>
          <w:sz w:val="24"/>
        </w:rPr>
        <w:t>Section 5.05(A)</w:t>
      </w:r>
      <w:r>
        <w:rPr>
          <w:rFonts w:ascii="Times New Roman" w:hAnsi="Times New Roman"/>
          <w:color w:val="000000"/>
          <w:sz w:val="24"/>
        </w:rPr>
        <w:t xml:space="preserve"> (other than a share split or combination of the type set forth in </w:t>
      </w:r>
      <w:r>
        <w:rPr>
          <w:rFonts w:ascii="Times New Roman" w:hAnsi="Times New Roman"/>
          <w:b/>
          <w:color w:val="000000"/>
          <w:sz w:val="24"/>
        </w:rPr>
        <w:t>Section 5.05(A)(i)</w:t>
      </w:r>
      <w:r>
        <w:rPr>
          <w:rFonts w:ascii="Times New Roman" w:hAnsi="Times New Roman"/>
          <w:color w:val="000000"/>
          <w:sz w:val="24"/>
        </w:rPr>
        <w:t xml:space="preserve"> or a tender or exchange offer of the type set forth in </w:t>
      </w:r>
      <w:r>
        <w:rPr>
          <w:rFonts w:ascii="Times New Roman" w:hAnsi="Times New Roman"/>
          <w:b/>
          <w:color w:val="000000"/>
          <w:sz w:val="24"/>
        </w:rPr>
        <w:t>Section 5.05(A)(v)</w:t>
      </w:r>
      <w:r>
        <w:rPr>
          <w:rFonts w:ascii="Times New Roman" w:hAnsi="Times New Roman"/>
          <w:color w:val="000000"/>
          <w:sz w:val="24"/>
        </w:rPr>
        <w:t>) if each Holder participates, at the same time and on the same terms as holders of Ordinary Shares, and solely by virtue of being a Holder of Notes, in such transaction or event without having to Convert such Holder’s Notes and as if such Holder held a number of Ordinary Shares equal to the product of (i) the Conversion Rate in effect on the related record date; and (ii) the aggregate principal amount (expressed in thousands) of Notes held by such Holder on such date.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i/>
          <w:color w:val="000000"/>
          <w:sz w:val="24"/>
        </w:rPr>
        <w:t>Certain Events</w:t>
      </w:r>
      <w:r>
        <w:rPr>
          <w:rFonts w:ascii="Times New Roman" w:hAnsi="Times New Roman"/>
          <w:color w:val="000000"/>
          <w:sz w:val="24"/>
        </w:rPr>
        <w:t xml:space="preserve">. The Company will not be required to adjust the Conversion Rate except as provided in </w:t>
      </w:r>
      <w:r>
        <w:rPr>
          <w:rFonts w:ascii="Times New Roman" w:hAnsi="Times New Roman"/>
          <w:b/>
          <w:color w:val="000000"/>
          <w:sz w:val="24"/>
        </w:rPr>
        <w:t>Section 5.05</w:t>
      </w:r>
      <w:r>
        <w:rPr>
          <w:rFonts w:ascii="Times New Roman" w:hAnsi="Times New Roman"/>
          <w:color w:val="000000"/>
          <w:sz w:val="24"/>
        </w:rPr>
        <w:t xml:space="preserve"> or </w:t>
      </w:r>
      <w:r>
        <w:rPr>
          <w:rFonts w:ascii="Times New Roman" w:hAnsi="Times New Roman"/>
          <w:b/>
          <w:color w:val="000000"/>
          <w:sz w:val="24"/>
        </w:rPr>
        <w:t>Section 5.07</w:t>
      </w:r>
      <w:r>
        <w:rPr>
          <w:rFonts w:ascii="Times New Roman" w:hAnsi="Times New Roman"/>
          <w:color w:val="000000"/>
          <w:sz w:val="24"/>
        </w:rPr>
        <w:t>. Without limiting the foregoing, the Company will not be obligated to adjust the Conversion Rate on account of:</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except as otherwise provided in </w:t>
      </w:r>
      <w:r>
        <w:rPr>
          <w:rFonts w:ascii="Times New Roman" w:hAnsi="Times New Roman"/>
          <w:b/>
          <w:color w:val="000000"/>
          <w:sz w:val="24"/>
        </w:rPr>
        <w:t>Section 5.05</w:t>
      </w:r>
      <w:r>
        <w:rPr>
          <w:rFonts w:ascii="Times New Roman" w:hAnsi="Times New Roman"/>
          <w:color w:val="000000"/>
          <w:sz w:val="24"/>
        </w:rPr>
        <w:t>, the sale of Ordinary Shares for a purchase price that is less than the market price per Ordinary Share or less than the Conversion Price;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- 62 -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the issuance of any Ordinary Shares pursuant to any present or future plan providing for the reinvestment of dividends or interest payable on the Company’s securities and the investment of additional optional amounts in Ordinary Shares under any such plan;</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the issuance of any Ordinary Shares or options or rights to purchase Ordinary Shares pursuant to any present or future employee, director or consultant benefit plan or program of, or assumed by, the Company or any of its Subsidiaries;</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the issuance of any Ordinary Shares pursuant to any option, warrant, right or convertible or exchangeable security of the Company outstanding as of the Issue Date;</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solely a change in the par value of the Ordinary Shares;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accrued and unpaid interest on the Notes.</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Adjustment Deferral</w:t>
      </w:r>
      <w:r>
        <w:rPr>
          <w:rFonts w:ascii="Times New Roman" w:hAnsi="Times New Roman"/>
          <w:color w:val="000000"/>
          <w:sz w:val="24"/>
        </w:rPr>
        <w:t xml:space="preserve">. If an adjustment to the Conversion Rate otherwise required by this </w:t>
      </w:r>
      <w:r>
        <w:rPr>
          <w:rFonts w:ascii="Times New Roman" w:hAnsi="Times New Roman"/>
          <w:b/>
          <w:color w:val="000000"/>
          <w:sz w:val="24"/>
        </w:rPr>
        <w:t>Article 5</w:t>
      </w:r>
      <w:r>
        <w:rPr>
          <w:rFonts w:ascii="Times New Roman" w:hAnsi="Times New Roman"/>
          <w:color w:val="000000"/>
          <w:sz w:val="24"/>
        </w:rPr>
        <w:t xml:space="preserve"> would result in a change of less than one percent (1%) to the Conversion Rate, then, notwithstanding anything to the contrary in this </w:t>
      </w:r>
      <w:r>
        <w:rPr>
          <w:rFonts w:ascii="Times New Roman" w:hAnsi="Times New Roman"/>
          <w:b/>
          <w:color w:val="000000"/>
          <w:sz w:val="24"/>
        </w:rPr>
        <w:t>Article 5</w:t>
      </w:r>
      <w:r>
        <w:rPr>
          <w:rFonts w:ascii="Times New Roman" w:hAnsi="Times New Roman"/>
          <w:color w:val="000000"/>
          <w:sz w:val="24"/>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 (ii) the Conversion Date of, or any VWAP Trading Day of an Observation Period for, any Note; (iii) the date a Fundamental Change or Make-Whole Fundamental Change occurs; (iv) the date the Company calls any Notes for Redemption; and (v) March 1, 2033.</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Adjustments Not Yet Effective</w:t>
      </w:r>
      <w:r>
        <w:rPr>
          <w:rFonts w:ascii="Times New Roman" w:hAnsi="Times New Roman"/>
          <w:color w:val="000000"/>
          <w:sz w:val="24"/>
        </w:rPr>
        <w:t>. Notwithstanding anything to the contrary in this Indenture or the Notes, if:</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 Note is to be Converted pursuant to Physical Settlement or Combination Settlement;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the record date, Effective Date or Expiration Time for any event that requires an adjustment to the Conversion Rate pursuant to </w:t>
      </w:r>
      <w:r>
        <w:rPr>
          <w:rFonts w:ascii="Times New Roman" w:hAnsi="Times New Roman"/>
          <w:b/>
          <w:color w:val="000000"/>
          <w:sz w:val="24"/>
        </w:rPr>
        <w:t>Section 5.05(A)</w:t>
      </w:r>
      <w:r>
        <w:rPr>
          <w:rFonts w:ascii="Times New Roman" w:hAnsi="Times New Roman"/>
          <w:color w:val="000000"/>
          <w:sz w:val="24"/>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Conversion Consideration due upon such Conversion includes any whole Ordinary Shares (in the case of Physical Settlement) or due in respect of such VWAP Trading Day includes any whole or fractional Ordinary Shares (in the case of Combination Settlement);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- 63 -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such shares are not entitled to participate in such event (because they were not held on the related record date or otherwise),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jc w:val="both"/>
        <w:rPr>
          <w:rFonts w:ascii="Times New Roman" w:hAnsi="Times New Roman"/>
          <w:color w:val="000000"/>
          <w:sz w:val="24"/>
        </w:rPr>
      </w:pPr>
      <w:r>
        <w:rPr>
          <w:rFonts w:ascii="Times New Roman" w:hAnsi="Times New Roman"/>
          <w:color w:val="000000"/>
          <w:sz w:val="24"/>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Conversion Rate Adjustments Where Converting Holders Participate in the Relevant Transaction or Event</w:t>
      </w:r>
      <w:r>
        <w:rPr>
          <w:rFonts w:ascii="Times New Roman" w:hAnsi="Times New Roman"/>
          <w:color w:val="000000"/>
          <w:sz w:val="24"/>
        </w:rPr>
        <w:t>. Notwithstanding anything to the contrary in this Indenture or the Notes, if:</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a Conversion Rate adjustment for any dividend or distribution becomes effective on any Ex-Dividend Date pursuant to </w:t>
      </w:r>
      <w:r>
        <w:rPr>
          <w:rFonts w:ascii="Times New Roman" w:hAnsi="Times New Roman"/>
          <w:b/>
          <w:color w:val="000000"/>
          <w:sz w:val="24"/>
        </w:rPr>
        <w:t>Section 5.05(A)</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 Note is to be Converted pursuant to Physical Settlement or Combination Settlement;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Conversion Consideration due upon such Conversion includes any whole Ordinary Shares (in the case of Physical Settlement) or due in respect of such VWAP Trading Day includes any whole or fractional Ordinary Shares (in the case of Combination Settlement), in each case based on a Conversion Rate that is adjusted for such dividend or distribution; and</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such shares would be entitled to participate in such dividend or distribution (including pursuant to </w:t>
      </w:r>
      <w:r>
        <w:rPr>
          <w:rFonts w:ascii="Times New Roman" w:hAnsi="Times New Roman"/>
          <w:b/>
          <w:color w:val="000000"/>
          <w:sz w:val="24"/>
        </w:rPr>
        <w:t>Section 5.02(C)</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then (x) in the case of Physical Settlement, such Conversion Rate adjustment will not be given effect for such Conversion and the Ordinary Shares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Ordinary Shares had such shares been entitled to participate in such dividend or distribution; and (y) in the case of Combination Settlement, the Conversion Rate adjustment relating to such Ex-Dividend Date will be made for such Conversion in respect of such VWAP Trading Day, but the Ordinary Shares issuable with respect to such VWAP Trading Day based on such adjusted Conversion Rate will not be entitled to participate in such dividend or distribution.</w:t>
      </w:r>
    </w:p>
    <w:p>
      <w:pPr>
        <w:pStyle w:val="TextBody"/>
        <w:bidi w:val="0"/>
        <w:spacing w:before="0" w:after="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- 64 -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i/>
          <w:color w:val="000000"/>
          <w:sz w:val="24"/>
        </w:rPr>
        <w:t>Shareholder Rights Plans</w:t>
      </w:r>
      <w:r>
        <w:rPr>
          <w:rFonts w:ascii="Times New Roman" w:hAnsi="Times New Roman"/>
          <w:color w:val="000000"/>
          <w:sz w:val="24"/>
        </w:rPr>
        <w:t xml:space="preserve">. If any Ordinary Shares are to be issued upon Conversion of any Note and, at the time of such Conversion, the Company has in effect any shareholder rights plan, then the Holder of such Note will be entitled to receive, in addition to, and concurrently with the delivery of, the Conversion Consideration otherwise payable under this Indenture upon such Conversion, the rights set forth in such shareholder rights plan, unless such rights have separated from the Ordinary Shares at such time, in which case, and only in such case, the Conversion Rate will be adjusted pursuant to </w:t>
      </w:r>
      <w:r>
        <w:rPr>
          <w:rFonts w:ascii="Times New Roman" w:hAnsi="Times New Roman"/>
          <w:b/>
          <w:color w:val="000000"/>
          <w:sz w:val="24"/>
        </w:rPr>
        <w:t>Section 5.05(A)(iii)(1)</w:t>
      </w:r>
      <w:r>
        <w:rPr>
          <w:rFonts w:ascii="Times New Roman" w:hAnsi="Times New Roman"/>
          <w:color w:val="000000"/>
          <w:sz w:val="24"/>
        </w:rPr>
        <w:t xml:space="preserve"> on account of such separation as if, at the time of such separation, the Company had made a distribution of the type referred to in such Section to all holders of the Ordinary Shares, subject to potential readjustment in accordance with the last paragraph of </w:t>
      </w:r>
      <w:r>
        <w:rPr>
          <w:rFonts w:ascii="Times New Roman" w:hAnsi="Times New Roman"/>
          <w:b/>
          <w:color w:val="000000"/>
          <w:sz w:val="24"/>
        </w:rPr>
        <w:t>Section 5.05(A)(iii)(1)</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i/>
          <w:color w:val="000000"/>
          <w:sz w:val="24"/>
        </w:rPr>
        <w:t>Limitation on Effecting Transactions Resulting in Certain Adjustments</w:t>
      </w:r>
      <w:r>
        <w:rPr>
          <w:rFonts w:ascii="Times New Roman" w:hAnsi="Times New Roman"/>
          <w:color w:val="000000"/>
          <w:sz w:val="24"/>
        </w:rPr>
        <w:t xml:space="preserve">. The Company will not engage in or be a party to any transaction or event that would require the Conversion Rate to be adjusted pursuant to </w:t>
      </w:r>
      <w:r>
        <w:rPr>
          <w:rFonts w:ascii="Times New Roman" w:hAnsi="Times New Roman"/>
          <w:b/>
          <w:color w:val="000000"/>
          <w:sz w:val="24"/>
        </w:rPr>
        <w:t>Section 5.05(A)</w:t>
      </w:r>
      <w:r>
        <w:rPr>
          <w:rFonts w:ascii="Times New Roman" w:hAnsi="Times New Roman"/>
          <w:color w:val="000000"/>
          <w:sz w:val="24"/>
        </w:rPr>
        <w:t xml:space="preserve"> or </w:t>
      </w:r>
      <w:r>
        <w:rPr>
          <w:rFonts w:ascii="Times New Roman" w:hAnsi="Times New Roman"/>
          <w:b/>
          <w:color w:val="000000"/>
          <w:sz w:val="24"/>
        </w:rPr>
        <w:t>Section 5.07</w:t>
      </w:r>
      <w:r>
        <w:rPr>
          <w:rFonts w:ascii="Times New Roman" w:hAnsi="Times New Roman"/>
          <w:color w:val="000000"/>
          <w:sz w:val="24"/>
        </w:rPr>
        <w:t xml:space="preserve"> to an amount that would result in the Conversion Price per Ordinary Share being less than the par value per Ordinary Share.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i/>
          <w:color w:val="000000"/>
          <w:sz w:val="24"/>
        </w:rPr>
        <w:t>Equitable Adjustments to Prices</w:t>
      </w:r>
      <w:r>
        <w:rPr>
          <w:rFonts w:ascii="Times New Roman" w:hAnsi="Times New Roman"/>
          <w:color w:val="000000"/>
          <w:sz w:val="24"/>
        </w:rPr>
        <w:t xml:space="preserve">. Whenever any provision of this Indenture requires the Company to calculate the average of the Last Reported Sale Prices, or any function thereof, over a period of multiple days (including to calculate the Share Price or an adjustment to the Conversion Rate), or to calculate Daily VWAPs over an Observation Period, the Company will make appropriate adjustments, if any, to such calculations to account for any adjustment to the Conversion Rate pursuant to </w:t>
      </w:r>
      <w:r>
        <w:rPr>
          <w:rFonts w:ascii="Times New Roman" w:hAnsi="Times New Roman"/>
          <w:b/>
          <w:color w:val="000000"/>
          <w:sz w:val="24"/>
        </w:rPr>
        <w:t>Section 5.05(A)</w:t>
      </w:r>
      <w:r>
        <w:rPr>
          <w:rFonts w:ascii="Times New Roman" w:hAnsi="Times New Roman"/>
          <w:color w:val="000000"/>
          <w:sz w:val="24"/>
        </w:rPr>
        <w:t xml:space="preserve"> that becomes effective, or any event requiring such an adjustment to the Conversion Rate where the Ex-Dividend Date, Effective Date or Expiration Date, as applicable, of such event occurs, at any time during such period or Observation Period, as applicable.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i/>
          <w:color w:val="000000"/>
          <w:sz w:val="24"/>
        </w:rPr>
        <w:t>Calculation of Number of Outstanding Ordinary Shares</w:t>
      </w:r>
      <w:r>
        <w:rPr>
          <w:rFonts w:ascii="Times New Roman" w:hAnsi="Times New Roman"/>
          <w:color w:val="000000"/>
          <w:sz w:val="24"/>
        </w:rPr>
        <w:t xml:space="preserve">. For purposes of </w:t>
      </w:r>
      <w:r>
        <w:rPr>
          <w:rFonts w:ascii="Times New Roman" w:hAnsi="Times New Roman"/>
          <w:b/>
          <w:color w:val="000000"/>
          <w:sz w:val="24"/>
        </w:rPr>
        <w:t>Section 5.05(A)</w:t>
      </w:r>
      <w:r>
        <w:rPr>
          <w:rFonts w:ascii="Times New Roman" w:hAnsi="Times New Roman"/>
          <w:color w:val="000000"/>
          <w:sz w:val="24"/>
        </w:rPr>
        <w:t>, the number of Ordinary Shares outstanding at any time will (i) include shares issuable in respect of scrip certificates issued in lieu of fractions of Ordinary Shares; and (ii) exclude Ordinary Shares held in the Company’s treasury (unless the Company pays any dividend or makes any distribution on Ordinary Shares held in its treasury).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i/>
          <w:color w:val="000000"/>
          <w:sz w:val="24"/>
        </w:rPr>
        <w:t>Calculations</w:t>
      </w:r>
      <w:r>
        <w:rPr>
          <w:rFonts w:ascii="Times New Roman" w:hAnsi="Times New Roman"/>
          <w:color w:val="000000"/>
          <w:sz w:val="24"/>
        </w:rPr>
        <w:t>. All calculations with respect to the Conversion Rate and adjustments thereto will be made to the nearest 1/10,000th of an Ordinary Share (with 5/100,000ths rounded upward).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Notice of Conversion Rate Adjustments</w:t>
      </w:r>
      <w:r>
        <w:rPr>
          <w:rFonts w:ascii="Times New Roman" w:hAnsi="Times New Roman"/>
          <w:color w:val="000000"/>
          <w:sz w:val="24"/>
        </w:rPr>
        <w:t xml:space="preserve">. Upon the effectiveness of any adjustment to the Conversion Rate pursuant to </w:t>
      </w:r>
      <w:r>
        <w:rPr>
          <w:rFonts w:ascii="Times New Roman" w:hAnsi="Times New Roman"/>
          <w:b/>
          <w:color w:val="000000"/>
          <w:sz w:val="24"/>
        </w:rPr>
        <w:t>Section 5.05(A)</w:t>
      </w:r>
      <w:r>
        <w:rPr>
          <w:rFonts w:ascii="Times New Roman" w:hAnsi="Times New Roman"/>
          <w:color w:val="000000"/>
          <w:sz w:val="24"/>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5.06.  Voluntary Adjustments.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To the extent permitted by law and applicable stock exchange rules, the Company, from time to time, may (but is not required to) increase the Conversion Rate by any amount if (i) the Board of Directors determines that such increase is either (x) in the best interest of the Company; or (y) advisable to avoid or diminish any income tax imposed on holders of Ordinary Shares or rights to purchase Ordinary Shares as a result of any dividend or distribution of Ordinary Shares (or rights to acquire Ordinary Shares) or any similar event; (ii) such increase is in effect for a period of at least twenty (20) Business Days; and (iii) such increase is irrevocable during such period.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- 65 -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Notice of Voluntary Increases</w:t>
      </w:r>
      <w:r>
        <w:rPr>
          <w:rFonts w:ascii="Times New Roman" w:hAnsi="Times New Roman"/>
          <w:color w:val="000000"/>
          <w:sz w:val="24"/>
        </w:rPr>
        <w:t xml:space="preserve">. If the Board of Directors determines to increase the Conversion Rate pursuant to </w:t>
      </w:r>
      <w:r>
        <w:rPr>
          <w:rFonts w:ascii="Times New Roman" w:hAnsi="Times New Roman"/>
          <w:b/>
          <w:color w:val="000000"/>
          <w:sz w:val="24"/>
        </w:rPr>
        <w:t>Section 5.06(A)</w:t>
      </w:r>
      <w:r>
        <w:rPr>
          <w:rFonts w:ascii="Times New Roman" w:hAnsi="Times New Roman"/>
          <w:color w:val="000000"/>
          <w:sz w:val="24"/>
        </w:rPr>
        <w:t xml:space="preserve">, then, no later than the first Business Day of the related twenty (20) Business Day period referred to in </w:t>
      </w:r>
      <w:r>
        <w:rPr>
          <w:rFonts w:ascii="Times New Roman" w:hAnsi="Times New Roman"/>
          <w:b/>
          <w:color w:val="000000"/>
          <w:sz w:val="24"/>
        </w:rPr>
        <w:t>Section 5.06(A)</w:t>
      </w:r>
      <w:r>
        <w:rPr>
          <w:rFonts w:ascii="Times New Roman" w:hAnsi="Times New Roman"/>
          <w:color w:val="000000"/>
          <w:sz w:val="24"/>
        </w:rPr>
        <w:t>, the Company will send notice to each Holder, the Trustee and the Conversion Agent of such increase, the amount thereof and the period during which such increase will be in effect.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5.07.  Adjustments to the Conversion Rate in Connection with a Make-Whole Fundamental Change.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If a Make-Whole Fundamental Change occurs and the Conversion Date for the Conversion of a Note occurs during the related Make-Whole Fundamental Change Conversion Period, then, subject to this </w:t>
      </w:r>
      <w:r>
        <w:rPr>
          <w:rFonts w:ascii="Times New Roman" w:hAnsi="Times New Roman"/>
          <w:b/>
          <w:color w:val="000000"/>
          <w:sz w:val="24"/>
        </w:rPr>
        <w:t>Section 5.07</w:t>
      </w:r>
      <w:r>
        <w:rPr>
          <w:rFonts w:ascii="Times New Roman" w:hAnsi="Times New Roman"/>
          <w:color w:val="000000"/>
          <w:sz w:val="24"/>
        </w:rPr>
        <w:t>, the Conversion Rate applicable to such Conversion will be increased by a number of shares (the “</w:t>
      </w:r>
      <w:r>
        <w:rPr>
          <w:rFonts w:ascii="Times New Roman" w:hAnsi="Times New Roman"/>
          <w:b/>
          <w:color w:val="000000"/>
          <w:sz w:val="24"/>
        </w:rPr>
        <w:t>Additional Shares</w:t>
      </w:r>
      <w:r>
        <w:rPr>
          <w:rFonts w:ascii="Times New Roman" w:hAnsi="Times New Roman"/>
          <w:color w:val="000000"/>
          <w:sz w:val="24"/>
        </w:rPr>
        <w:t>”) set forth in the table below corresponding (after interpolation as provided in, and subject to, the provisions below) to the Make-Whole Fundamental Change Effective Date and the Share Price of such Make-Whole Fundamental Change:</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21" w:name="z558f9ced83a443328da47dd7a3a5a463"/>
      <w:bookmarkStart w:id="222" w:name="z558f9ced83a443328da47dd7a3a5a463"/>
      <w:bookmarkEnd w:id="222"/>
    </w:p>
    <w:tbl>
      <w:tblPr>
        <w:tblW w:w="8675" w:type="dxa"/>
        <w:jc w:val="left"/>
        <w:tblInd w:w="0" w:type="dxa"/>
        <w:tblLayout w:type="fixed"/>
        <w:tblCellMar>
          <w:top w:w="0" w:type="dxa"/>
          <w:left w:w="0" w:type="dxa"/>
          <w:bottom w:w="0" w:type="dxa"/>
          <w:right w:w="0" w:type="dxa"/>
        </w:tblCellMar>
      </w:tblPr>
      <w:tblGrid>
        <w:gridCol w:w="1040"/>
        <w:gridCol w:w="60"/>
        <w:gridCol w:w="60"/>
        <w:gridCol w:w="425"/>
        <w:gridCol w:w="60"/>
        <w:gridCol w:w="60"/>
        <w:gridCol w:w="60"/>
        <w:gridCol w:w="425"/>
        <w:gridCol w:w="60"/>
        <w:gridCol w:w="60"/>
        <w:gridCol w:w="60"/>
        <w:gridCol w:w="425"/>
        <w:gridCol w:w="60"/>
        <w:gridCol w:w="60"/>
        <w:gridCol w:w="60"/>
        <w:gridCol w:w="425"/>
        <w:gridCol w:w="60"/>
        <w:gridCol w:w="60"/>
        <w:gridCol w:w="60"/>
        <w:gridCol w:w="425"/>
        <w:gridCol w:w="60"/>
        <w:gridCol w:w="60"/>
        <w:gridCol w:w="60"/>
        <w:gridCol w:w="425"/>
        <w:gridCol w:w="60"/>
        <w:gridCol w:w="60"/>
        <w:gridCol w:w="60"/>
        <w:gridCol w:w="425"/>
        <w:gridCol w:w="60"/>
        <w:gridCol w:w="60"/>
        <w:gridCol w:w="60"/>
        <w:gridCol w:w="500"/>
        <w:gridCol w:w="60"/>
        <w:gridCol w:w="60"/>
        <w:gridCol w:w="60"/>
        <w:gridCol w:w="500"/>
        <w:gridCol w:w="60"/>
        <w:gridCol w:w="60"/>
        <w:gridCol w:w="60"/>
        <w:gridCol w:w="500"/>
        <w:gridCol w:w="60"/>
        <w:gridCol w:w="60"/>
        <w:gridCol w:w="60"/>
        <w:gridCol w:w="500"/>
        <w:gridCol w:w="60"/>
        <w:gridCol w:w="60"/>
        <w:gridCol w:w="60"/>
        <w:gridCol w:w="500"/>
        <w:gridCol w:w="60"/>
      </w:tblGrid>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15" w:type="dxa"/>
            <w:gridSpan w:val="46"/>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Share Price</w:t>
            </w:r>
          </w:p>
        </w:tc>
        <w:tc>
          <w:tcPr>
            <w:tcW w:w="60" w:type="dxa"/>
            <w:tcBorders/>
            <w:vAlign w:val="bottom"/>
          </w:tcPr>
          <w:p>
            <w:pPr>
              <w:pStyle w:val="TableContents"/>
              <w:bidi w:val="0"/>
              <w:spacing w:before="0" w:after="283"/>
              <w:jc w:val="left"/>
              <w:rPr/>
            </w:pPr>
            <w:r>
              <w:rPr/>
              <w:t> </w:t>
            </w:r>
          </w:p>
        </w:tc>
      </w:tr>
      <w:tr>
        <w:trPr/>
        <w:tc>
          <w:tcPr>
            <w:tcW w:w="1040" w:type="dxa"/>
            <w:tcBorders>
              <w:bottom w:val="single" w:sz="2" w:space="0" w:color="000000"/>
            </w:tcBorders>
            <w:tcMar>
              <w:bottom w:w="28" w:type="dxa"/>
            </w:tcMar>
            <w:vAlign w:val="bottom"/>
          </w:tcPr>
          <w:p>
            <w:pPr>
              <w:pStyle w:val="TableContents"/>
              <w:bidi w:val="0"/>
              <w:spacing w:before="0" w:after="0"/>
              <w:jc w:val="both"/>
              <w:rPr>
                <w:rFonts w:ascii="Times New Roman" w:hAnsi="Times New Roman"/>
                <w:b/>
                <w:sz w:val="14"/>
              </w:rPr>
            </w:pPr>
            <w:r>
              <w:rPr>
                <w:rFonts w:ascii="Times New Roman" w:hAnsi="Times New Roman"/>
                <w:b/>
                <w:sz w:val="14"/>
              </w:rPr>
              <w:t xml:space="preserve">Make-Whole </w:t>
            </w:r>
          </w:p>
          <w:p>
            <w:pPr>
              <w:pStyle w:val="TableContents"/>
              <w:bidi w:val="0"/>
              <w:spacing w:before="0" w:after="0"/>
              <w:jc w:val="both"/>
              <w:rPr>
                <w:rFonts w:ascii="Times New Roman" w:hAnsi="Times New Roman"/>
                <w:b/>
                <w:sz w:val="14"/>
              </w:rPr>
            </w:pPr>
            <w:r>
              <w:rPr>
                <w:rFonts w:ascii="Times New Roman" w:hAnsi="Times New Roman"/>
                <w:b/>
                <w:sz w:val="14"/>
              </w:rPr>
              <w:t xml:space="preserve">Fundamental </w:t>
            </w:r>
          </w:p>
          <w:p>
            <w:pPr>
              <w:pStyle w:val="TableContents"/>
              <w:bidi w:val="0"/>
              <w:spacing w:before="0" w:after="0"/>
              <w:jc w:val="both"/>
              <w:rPr>
                <w:rFonts w:ascii="Times New Roman" w:hAnsi="Times New Roman"/>
                <w:b/>
                <w:sz w:val="14"/>
              </w:rPr>
            </w:pPr>
            <w:r>
              <w:rPr>
                <w:rFonts w:ascii="Times New Roman" w:hAnsi="Times New Roman"/>
                <w:b/>
                <w:sz w:val="14"/>
              </w:rPr>
              <w:t>Change Effective</w:t>
            </w:r>
          </w:p>
          <w:p>
            <w:pPr>
              <w:pStyle w:val="TableContents"/>
              <w:bidi w:val="0"/>
              <w:spacing w:before="0" w:after="0"/>
              <w:jc w:val="both"/>
              <w:rPr>
                <w:rFonts w:ascii="Times New Roman" w:hAnsi="Times New Roman"/>
                <w:b/>
                <w:sz w:val="14"/>
              </w:rPr>
            </w:pPr>
            <w:r>
              <w:rPr>
                <w:rFonts w:ascii="Times New Roman" w:hAnsi="Times New Roman"/>
                <w:b/>
                <w:sz w:val="14"/>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42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$41.12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42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$44.00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425"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14"/>
              </w:rPr>
            </w:pPr>
            <w:r>
              <w:rPr>
                <w:rFonts w:ascii="Times New Roman" w:hAnsi="Times New Roman"/>
                <w:b/>
                <w:sz w:val="14"/>
              </w:rPr>
              <w:t>$48.00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42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$51.40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42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$55.00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42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$66.82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42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50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50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$130.00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50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$175.00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50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50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$300.00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December 8,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4.3132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3.6829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3.2426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2.8507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1.9343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1.3145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0.7754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0.3759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0.1285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0.0296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both"/>
              <w:rPr>
                <w:rFonts w:ascii="Times New Roman" w:hAnsi="Times New Roman"/>
                <w:sz w:val="14"/>
              </w:rPr>
            </w:pPr>
            <w:r>
              <w:rPr>
                <w:rFonts w:ascii="Times New Roman" w:hAnsi="Times New Roman"/>
                <w:sz w:val="14"/>
              </w:rPr>
              <w:t>June 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4.3132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3.6829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3.2426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2.8507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1.9343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1.3145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0.7724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0.3704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0.1245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0.0278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June 1, 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4.3132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3.6829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3.2426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2.8507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1.9343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1.3004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0.7438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0.3452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0.1097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0.0220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both"/>
              <w:rPr>
                <w:rFonts w:ascii="Times New Roman" w:hAnsi="Times New Roman"/>
                <w:sz w:val="14"/>
              </w:rPr>
            </w:pPr>
            <w:r>
              <w:rPr>
                <w:rFonts w:ascii="Times New Roman" w:hAnsi="Times New Roman"/>
                <w:sz w:val="14"/>
              </w:rPr>
              <w:t>June 1, 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4.3132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3.6829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3.2426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2.8507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1.9169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1.2454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0.6895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0.3049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0.0883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June 1, 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4.3132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3.6829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3.2426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2.8507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1.8306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1.1508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0.6076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0.2502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both"/>
              <w:rPr>
                <w:rFonts w:ascii="Times New Roman" w:hAnsi="Times New Roman"/>
                <w:sz w:val="14"/>
              </w:rPr>
            </w:pPr>
            <w:r>
              <w:rPr>
                <w:rFonts w:ascii="Times New Roman" w:hAnsi="Times New Roman"/>
                <w:sz w:val="14"/>
              </w:rPr>
              <w:t>June 1, 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4.3132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3.6829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3.2426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2.7736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1.6631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0.9925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0.4867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0.1796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0.0359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June 1, 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4.3132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3.6665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3.0352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2.5002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1.3764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0.7501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0.3235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both"/>
              <w:rPr>
                <w:rFonts w:ascii="Times New Roman" w:hAnsi="Times New Roman"/>
                <w:sz w:val="14"/>
              </w:rPr>
            </w:pPr>
            <w:r>
              <w:rPr>
                <w:rFonts w:ascii="Times New Roman" w:hAnsi="Times New Roman"/>
                <w:sz w:val="14"/>
              </w:rPr>
              <w:t>June 1, 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4.2300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3.1471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2.4558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1.8978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0.8520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0.3799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0.1259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0.0240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both"/>
              <w:rPr>
                <w:rFonts w:ascii="Times New Roman" w:hAnsi="Times New Roman"/>
                <w:sz w:val="14"/>
              </w:rPr>
            </w:pPr>
            <w:r>
              <w:rPr>
                <w:rFonts w:ascii="Times New Roman" w:hAnsi="Times New Roman"/>
                <w:sz w:val="14"/>
              </w:rPr>
              <w:t>June 1, 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4.8637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3.2720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right"/>
              <w:rPr>
                <w:rFonts w:ascii="Times New Roman" w:hAnsi="Times New Roman"/>
                <w:sz w:val="14"/>
              </w:rPr>
            </w:pPr>
            <w:r>
              <w:rPr>
                <w:rFonts w:ascii="Times New Roman" w:hAnsi="Times New Roman"/>
                <w:sz w:val="14"/>
              </w:rPr>
              <w:t>1.3780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center"/>
              <w:rPr>
                <w:rFonts w:ascii="Times New Roman" w:hAnsi="Times New Roman"/>
                <w:sz w:val="14"/>
              </w:rPr>
            </w:pPr>
            <w:r>
              <w:rPr>
                <w:rFonts w:ascii="Times New Roman" w:hAnsi="Times New Roman"/>
                <w:sz w:val="14"/>
              </w:rPr>
              <w:t>0.0000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such Make-Whole Fundamental Change Effective Date or Share Price is not set forth in the table above, then: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if such Share Price is between two Share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Share Prices in the table above or the earlier and later dates in the table above, based on a 365- or 366-day year, as applicable;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if the Share Price is greater than $300.00 (subject to adjustment in the same manner as the Share Prices set forth in the column headings of the table above are adjusted pursuant to </w:t>
      </w:r>
      <w:r>
        <w:rPr>
          <w:rFonts w:ascii="Times New Roman" w:hAnsi="Times New Roman"/>
          <w:b/>
          <w:color w:val="000000"/>
          <w:sz w:val="24"/>
        </w:rPr>
        <w:t>Section 5.07(B)</w:t>
      </w:r>
      <w:r>
        <w:rPr>
          <w:rFonts w:ascii="Times New Roman" w:hAnsi="Times New Roman"/>
          <w:color w:val="000000"/>
          <w:sz w:val="24"/>
        </w:rPr>
        <w:t>), or less than $41.12 (subject to adjustment in the same manner), per share, then no Additional Shares will be added to the Conversion Rate.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- 66 -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this Indenture or the Notes, in no event will the Conversion Rate be increased to an amount that exceeds 24.3190 Ordinary Shares per $1,000 principal amount of Notes, which amount is subject to adjustment in the same manner as, and at the same time and for the same events for which, the Conversion Rate is required to be adjusted pursuant to </w:t>
      </w:r>
      <w:r>
        <w:rPr>
          <w:rFonts w:ascii="Times New Roman" w:hAnsi="Times New Roman"/>
          <w:b/>
          <w:color w:val="000000"/>
          <w:sz w:val="24"/>
        </w:rPr>
        <w:t>Section 5.05(A)</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avoidance of doubt, but subject to </w:t>
      </w:r>
      <w:r>
        <w:rPr>
          <w:rFonts w:ascii="Times New Roman" w:hAnsi="Times New Roman"/>
          <w:b/>
          <w:color w:val="000000"/>
          <w:sz w:val="24"/>
        </w:rPr>
        <w:t>Section 4.03(K)</w:t>
      </w:r>
      <w:r>
        <w:rPr>
          <w:rFonts w:ascii="Times New Roman" w:hAnsi="Times New Roman"/>
          <w:color w:val="000000"/>
          <w:sz w:val="24"/>
        </w:rPr>
        <w:t xml:space="preserve">, (x) the sending of a Redemption Notice for a Provisional Redemption will constitute a Make-Whole Fundamental Change only with respect to the Notes called for Provisional Redemption pursuant to such Redemption Notice, and not with respect to any other Notes; and (y) the Conversion Rate applicable to the Notes not so called for Provisional Redemption will not be subject to increase pursuant to this </w:t>
      </w:r>
      <w:r>
        <w:rPr>
          <w:rFonts w:ascii="Times New Roman" w:hAnsi="Times New Roman"/>
          <w:b/>
          <w:color w:val="000000"/>
          <w:sz w:val="24"/>
        </w:rPr>
        <w:t>Section 5.07</w:t>
      </w:r>
      <w:r>
        <w:rPr>
          <w:rFonts w:ascii="Times New Roman" w:hAnsi="Times New Roman"/>
          <w:color w:val="000000"/>
          <w:sz w:val="24"/>
        </w:rPr>
        <w:t xml:space="preserve"> on account of such Redemption Notice.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Adjustment of Share Prices and Number of Additional Shares</w:t>
      </w:r>
      <w:r>
        <w:rPr>
          <w:rFonts w:ascii="Times New Roman" w:hAnsi="Times New Roman"/>
          <w:color w:val="000000"/>
          <w:sz w:val="24"/>
        </w:rPr>
        <w:t>. The Share Prices in the first row (</w:t>
      </w:r>
      <w:r>
        <w:rPr>
          <w:rFonts w:ascii="Times New Roman" w:hAnsi="Times New Roman"/>
          <w:i/>
          <w:color w:val="000000"/>
          <w:sz w:val="24"/>
        </w:rPr>
        <w:t>i.e.</w:t>
      </w:r>
      <w:r>
        <w:rPr>
          <w:rFonts w:ascii="Times New Roman" w:hAnsi="Times New Roman"/>
          <w:color w:val="000000"/>
          <w:sz w:val="24"/>
        </w:rPr>
        <w:t xml:space="preserve">, the column headers) of the table set forth in </w:t>
      </w:r>
      <w:r>
        <w:rPr>
          <w:rFonts w:ascii="Times New Roman" w:hAnsi="Times New Roman"/>
          <w:b/>
          <w:color w:val="000000"/>
          <w:sz w:val="24"/>
        </w:rPr>
        <w:t>Section 5.07(A)</w:t>
      </w:r>
      <w:r>
        <w:rPr>
          <w:rFonts w:ascii="Times New Roman" w:hAnsi="Times New Roman"/>
          <w:color w:val="000000"/>
          <w:sz w:val="24"/>
        </w:rPr>
        <w:t xml:space="preserve"> will be adjusted in the same manner as, and at the same time and for the same events for which, the Conversion Price is adjusted as a result of the operation of </w:t>
      </w:r>
      <w:r>
        <w:rPr>
          <w:rFonts w:ascii="Times New Roman" w:hAnsi="Times New Roman"/>
          <w:b/>
          <w:color w:val="000000"/>
          <w:sz w:val="24"/>
        </w:rPr>
        <w:t>Section 5.05(A)</w:t>
      </w:r>
      <w:r>
        <w:rPr>
          <w:rFonts w:ascii="Times New Roman" w:hAnsi="Times New Roman"/>
          <w:color w:val="000000"/>
          <w:sz w:val="24"/>
        </w:rPr>
        <w:t xml:space="preserve">. The numbers of Additional Shares in the table set forth in </w:t>
      </w:r>
      <w:r>
        <w:rPr>
          <w:rFonts w:ascii="Times New Roman" w:hAnsi="Times New Roman"/>
          <w:b/>
          <w:color w:val="000000"/>
          <w:sz w:val="24"/>
        </w:rPr>
        <w:t>Section 5.07(A)</w:t>
      </w:r>
      <w:r>
        <w:rPr>
          <w:rFonts w:ascii="Times New Roman" w:hAnsi="Times New Roman"/>
          <w:color w:val="000000"/>
          <w:sz w:val="24"/>
        </w:rPr>
        <w:t xml:space="preserve"> will be adjusted in the same manner as, and at the same time and for the same events for which, the Conversion Rate is adjusted pursuant to </w:t>
      </w:r>
      <w:r>
        <w:rPr>
          <w:rFonts w:ascii="Times New Roman" w:hAnsi="Times New Roman"/>
          <w:b/>
          <w:color w:val="000000"/>
          <w:sz w:val="24"/>
        </w:rPr>
        <w:t>Section 5.05(A)</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Notice of the Occurrence of a Make-Whole Fundamental Change</w:t>
      </w:r>
      <w:r>
        <w:rPr>
          <w:rFonts w:ascii="Times New Roman" w:hAnsi="Times New Roman"/>
          <w:color w:val="000000"/>
          <w:sz w:val="24"/>
        </w:rPr>
        <w:t xml:space="preserve">. The Company will notify the Holders, the Trustee and the Conversion Agent of each Make-Whole Fundamental Change (i) occurring pursuant to </w:t>
      </w:r>
      <w:r>
        <w:rPr>
          <w:rFonts w:ascii="Times New Roman" w:hAnsi="Times New Roman"/>
          <w:b/>
          <w:color w:val="000000"/>
          <w:sz w:val="24"/>
        </w:rPr>
        <w:t>clause (A)</w:t>
      </w:r>
      <w:r>
        <w:rPr>
          <w:rFonts w:ascii="Times New Roman" w:hAnsi="Times New Roman"/>
          <w:color w:val="000000"/>
          <w:sz w:val="24"/>
        </w:rPr>
        <w:t xml:space="preserve"> of the definition thereof in accordance with </w:t>
      </w:r>
      <w:r>
        <w:rPr>
          <w:rFonts w:ascii="Times New Roman" w:hAnsi="Times New Roman"/>
          <w:b/>
          <w:color w:val="000000"/>
          <w:sz w:val="24"/>
        </w:rPr>
        <w:t>Section 5.01(C)(i)(3)(b)</w:t>
      </w:r>
      <w:r>
        <w:rPr>
          <w:rFonts w:ascii="Times New Roman" w:hAnsi="Times New Roman"/>
          <w:color w:val="000000"/>
          <w:sz w:val="24"/>
        </w:rPr>
        <w:t xml:space="preserve">; and (ii) occurring pursuant to </w:t>
      </w:r>
      <w:r>
        <w:rPr>
          <w:rFonts w:ascii="Times New Roman" w:hAnsi="Times New Roman"/>
          <w:b/>
          <w:color w:val="000000"/>
          <w:sz w:val="24"/>
        </w:rPr>
        <w:t>clause (B)</w:t>
      </w:r>
      <w:r>
        <w:rPr>
          <w:rFonts w:ascii="Times New Roman" w:hAnsi="Times New Roman"/>
          <w:color w:val="000000"/>
          <w:sz w:val="24"/>
        </w:rPr>
        <w:t xml:space="preserve"> of the definition thereof in accordance with </w:t>
      </w:r>
      <w:r>
        <w:rPr>
          <w:rFonts w:ascii="Times New Roman" w:hAnsi="Times New Roman"/>
          <w:b/>
          <w:color w:val="000000"/>
          <w:sz w:val="24"/>
        </w:rPr>
        <w:t>Section 4.03(G)</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5.08.  Exchange in Lieu of Conversion.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this </w:t>
      </w:r>
      <w:r>
        <w:rPr>
          <w:rFonts w:ascii="Times New Roman" w:hAnsi="Times New Roman"/>
          <w:b/>
          <w:color w:val="000000"/>
          <w:sz w:val="24"/>
        </w:rPr>
        <w:t>Article 5</w:t>
      </w:r>
      <w:r>
        <w:rPr>
          <w:rFonts w:ascii="Times New Roman" w:hAnsi="Times New Roman"/>
          <w:color w:val="000000"/>
          <w:sz w:val="24"/>
        </w:rPr>
        <w:t xml:space="preserve">, and subject to the terms of this </w:t>
      </w:r>
      <w:r>
        <w:rPr>
          <w:rFonts w:ascii="Times New Roman" w:hAnsi="Times New Roman"/>
          <w:b/>
          <w:color w:val="000000"/>
          <w:sz w:val="24"/>
        </w:rPr>
        <w:t>Section 5.08</w:t>
      </w:r>
      <w:r>
        <w:rPr>
          <w:rFonts w:ascii="Times New Roman" w:hAnsi="Times New Roman"/>
          <w:color w:val="000000"/>
          <w:sz w:val="24"/>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hAnsi="Times New Roman"/>
          <w:b/>
          <w:color w:val="000000"/>
          <w:sz w:val="24"/>
        </w:rPr>
        <w:t>Article 5</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- 67 -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such Note will not cease to be outstanding by reason of such exchange in lieu of Conversion;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such financial institution does not accept such Note or fails to timely deliver such Conversion Consideration, then the Company will be responsible for delivering such Conversion Consideration in the manner and at the time provided in this </w:t>
      </w:r>
      <w:r>
        <w:rPr>
          <w:rFonts w:ascii="Times New Roman" w:hAnsi="Times New Roman"/>
          <w:b/>
          <w:color w:val="000000"/>
          <w:sz w:val="24"/>
        </w:rPr>
        <w:t>Article 5</w:t>
      </w:r>
      <w:r>
        <w:rPr>
          <w:rFonts w:ascii="Times New Roman" w:hAnsi="Times New Roman"/>
          <w:color w:val="000000"/>
          <w:sz w:val="24"/>
        </w:rPr>
        <w:t xml:space="preserve"> as if the Company had not elected to make an exchange in lieu of Conversion.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5.09.  Effect of Ordinary Share Change Event.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If there occurs any: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recapitalization, reclassification or change of the Ordinary Shares (other than (x) changes solely resulting from a subdivision or combination of the Ordinary Shares, (y) a change only in par value or from par value to no par value or no par value to par value and (z) share splits and share combinations that do not involve the issuance of any other series or class of securities);</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consolidation, merger, combination or binding or statutory share exchange involving the Company;</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sale, lease or other transfer of all or substantially all of the assets of the Company and its Subsidiaries, taken as a whole, to any Person; or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other similar event,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and, as a result of which, the Ordinary Shares are converted into, or are exchanged for, or represent solely the right to receive, other securities, cash or other property, or any combination of the foregoing (such an event, an “</w:t>
      </w:r>
      <w:r>
        <w:rPr>
          <w:rFonts w:ascii="Times New Roman" w:hAnsi="Times New Roman"/>
          <w:b/>
          <w:color w:val="000000"/>
          <w:sz w:val="24"/>
        </w:rPr>
        <w:t>Ordinary Share Change Event</w:t>
      </w:r>
      <w:r>
        <w:rPr>
          <w:rFonts w:ascii="Times New Roman" w:hAnsi="Times New Roman"/>
          <w:color w:val="000000"/>
          <w:sz w:val="24"/>
        </w:rPr>
        <w:t>,” and such other securities, cash or property, the “</w:t>
      </w:r>
      <w:r>
        <w:rPr>
          <w:rFonts w:ascii="Times New Roman" w:hAnsi="Times New Roman"/>
          <w:b/>
          <w:color w:val="000000"/>
          <w:sz w:val="24"/>
        </w:rPr>
        <w:t>Reference Property</w:t>
      </w:r>
      <w:r>
        <w:rPr>
          <w:rFonts w:ascii="Times New Roman" w:hAnsi="Times New Roman"/>
          <w:color w:val="000000"/>
          <w:sz w:val="24"/>
        </w:rPr>
        <w:t>,” and the amount and kind of Reference Property that a holder of one (1) Ordinary Share would be entitled to receive on account of such Ordinary Share Change Event (without giving effect to any arrangement not to issue or deliver a fractional portion of any security or other property), a “</w:t>
      </w:r>
      <w:r>
        <w:rPr>
          <w:rFonts w:ascii="Times New Roman" w:hAnsi="Times New Roman"/>
          <w:b/>
          <w:color w:val="000000"/>
          <w:sz w:val="24"/>
        </w:rPr>
        <w:t>Reference Property Unit</w:t>
      </w:r>
      <w:r>
        <w:rPr>
          <w:rFonts w:ascii="Times New Roman" w:hAnsi="Times New Roman"/>
          <w:color w:val="000000"/>
          <w:sz w:val="24"/>
        </w:rPr>
        <w:t>”), then, notwithstanding anything to the contrary in this Indenture or the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 xml:space="preserve">from and after the effective time of such Ordinary Share Change Event, (I) the Conversion Consideration due upon Conversion of any Note, and the conditions to any such Conversion, will be determined in the same manner as if each reference to any number of Ordinary Shares in this </w:t>
      </w:r>
      <w:r>
        <w:rPr>
          <w:rFonts w:ascii="Times New Roman" w:hAnsi="Times New Roman"/>
          <w:b/>
          <w:color w:val="000000"/>
          <w:sz w:val="24"/>
        </w:rPr>
        <w:t>Article 5</w:t>
      </w:r>
      <w:r>
        <w:rPr>
          <w:rFonts w:ascii="Times New Roman" w:hAnsi="Times New Roman"/>
          <w:color w:val="000000"/>
          <w:sz w:val="24"/>
        </w:rPr>
        <w:t xml:space="preserve"> (or in any related definitions) were instead a reference to the same number of Reference Property Units; (II) for purposes of </w:t>
      </w:r>
      <w:r>
        <w:rPr>
          <w:rFonts w:ascii="Times New Roman" w:hAnsi="Times New Roman"/>
          <w:b/>
          <w:color w:val="000000"/>
          <w:sz w:val="24"/>
        </w:rPr>
        <w:t>Section 4.03(B)</w:t>
      </w:r>
      <w:r>
        <w:rPr>
          <w:rFonts w:ascii="Times New Roman" w:hAnsi="Times New Roman"/>
          <w:color w:val="000000"/>
          <w:sz w:val="24"/>
        </w:rPr>
        <w:t>, each reference to any number of Ordinary Shares in such Section (or in any related definitions) will instead be deemed to be a reference to the same number of Reference Property Units; and (III) for purposes of the definitions of “Fundamental Change” and “Make-Whole Fundamental Change,” references to “Ordinary Shares” and the Company’s “Common Equity” will be deemed to refer to the Common Equity (including depositary receipts representing Common Equity), if any, forming part of such Reference Property;</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- 68 -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 xml:space="preserve">if such Reference Property Unit consists entirely of cash, then (I) each Conversion of any Note with a Conversion Date that occurs on or after the effective date of such Ordinary Share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hAnsi="Times New Roman"/>
          <w:b/>
          <w:color w:val="000000"/>
          <w:sz w:val="24"/>
        </w:rPr>
        <w:t>Section 5.07</w:t>
      </w:r>
      <w:r>
        <w:rPr>
          <w:rFonts w:ascii="Times New Roman" w:hAnsi="Times New Roman"/>
          <w:color w:val="000000"/>
          <w:sz w:val="24"/>
        </w:rPr>
        <w:t>, if applicable); and (y) the amount of cash constituting such Reference Property Unit; and (II) the Company will settle each such Conversion no later than the fifth (5th) Business Day after the relevant Conversion Date;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the Reference Property consists of more than a single type of consideration to be determined based in part upon any form of shareholder election, then the composition of the Reference Property Unit will be deemed to be the weighted average of the types and amounts of consideration actually received, per Ordinary Share, by the holders of Ordinary Shares. The Company will notify Holders, the Trustee and the Conversion Agent of such weighted average as soon as practicable after such determination is made.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At or before the effective time of such Ordinary Share Change Event, the Company and the resulting, surviving or transferee Person (if not the Company) of such Ordinary Share Change Event (the “</w:t>
      </w:r>
      <w:r>
        <w:rPr>
          <w:rFonts w:ascii="Times New Roman" w:hAnsi="Times New Roman"/>
          <w:b/>
          <w:color w:val="000000"/>
          <w:sz w:val="24"/>
        </w:rPr>
        <w:t>Successor Person</w:t>
      </w:r>
      <w:r>
        <w:rPr>
          <w:rFonts w:ascii="Times New Roman" w:hAnsi="Times New Roman"/>
          <w:color w:val="000000"/>
          <w:sz w:val="24"/>
        </w:rPr>
        <w:t xml:space="preserve">”) will execute and deliver to the Trustee a supplemental indenture pursuant to </w:t>
      </w:r>
      <w:r>
        <w:rPr>
          <w:rFonts w:ascii="Times New Roman" w:hAnsi="Times New Roman"/>
          <w:b/>
          <w:color w:val="000000"/>
          <w:sz w:val="24"/>
        </w:rPr>
        <w:t>Section 8.01(F)</w:t>
      </w:r>
      <w:r>
        <w:rPr>
          <w:rFonts w:ascii="Times New Roman" w:hAnsi="Times New Roman"/>
          <w:color w:val="000000"/>
          <w:sz w:val="24"/>
        </w:rPr>
        <w:t xml:space="preserve">, which supplemental indenture will (x) provide for subsequent Conversions of Notes in the manner set forth in this </w:t>
      </w:r>
      <w:r>
        <w:rPr>
          <w:rFonts w:ascii="Times New Roman" w:hAnsi="Times New Roman"/>
          <w:b/>
          <w:color w:val="000000"/>
          <w:sz w:val="24"/>
        </w:rPr>
        <w:t>Section 5.09</w:t>
      </w:r>
      <w:r>
        <w:rPr>
          <w:rFonts w:ascii="Times New Roman" w:hAnsi="Times New Roman"/>
          <w:color w:val="000000"/>
          <w:sz w:val="24"/>
        </w:rPr>
        <w:t xml:space="preserve">; (y) provide for subsequent adjustments to the Conversion Rate pursuant to </w:t>
      </w:r>
      <w:r>
        <w:rPr>
          <w:rFonts w:ascii="Times New Roman" w:hAnsi="Times New Roman"/>
          <w:b/>
          <w:color w:val="000000"/>
          <w:sz w:val="24"/>
        </w:rPr>
        <w:t>Section 5.05(A)</w:t>
      </w:r>
      <w:r>
        <w:rPr>
          <w:rFonts w:ascii="Times New Roman" w:hAnsi="Times New Roman"/>
          <w:color w:val="000000"/>
          <w:sz w:val="24"/>
        </w:rPr>
        <w:t xml:space="preserve"> in a manner consistent with this </w:t>
      </w:r>
      <w:r>
        <w:rPr>
          <w:rFonts w:ascii="Times New Roman" w:hAnsi="Times New Roman"/>
          <w:b/>
          <w:color w:val="000000"/>
          <w:sz w:val="24"/>
        </w:rPr>
        <w:t>Section 5.09</w:t>
      </w:r>
      <w:r>
        <w:rPr>
          <w:rFonts w:ascii="Times New Roman" w:hAnsi="Times New Roman"/>
          <w:color w:val="000000"/>
          <w:sz w:val="24"/>
        </w:rPr>
        <w:t xml:space="preserve">; and (z) contain such other provisions, if any, that the Company reasonably determines are appropriate to preserve the economic interests of the Holders and to give effect to the provisions of this </w:t>
      </w:r>
      <w:r>
        <w:rPr>
          <w:rFonts w:ascii="Times New Roman" w:hAnsi="Times New Roman"/>
          <w:b/>
          <w:color w:val="000000"/>
          <w:sz w:val="24"/>
        </w:rPr>
        <w:t>Section 5.09(A)</w:t>
      </w:r>
      <w:r>
        <w:rPr>
          <w:rFonts w:ascii="Times New Roman" w:hAnsi="Times New Roman"/>
          <w:color w:val="000000"/>
          <w:sz w:val="24"/>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For the avoidance of doubt, the conversion of any or all of the Company’s B Class shares into Ordinary Shares in one or more transactions will not constitute an Ordinary Share Change Event.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Notice of Ordinary Share Change Events</w:t>
      </w:r>
      <w:r>
        <w:rPr>
          <w:rFonts w:ascii="Times New Roman" w:hAnsi="Times New Roman"/>
          <w:color w:val="000000"/>
          <w:sz w:val="24"/>
        </w:rPr>
        <w:t>. The Company will provide notice of each Ordinary Share Change Event to Holders, the Trustee and the Conversion Agent no later than the Business Day after the effective date of such Ordinary Share Change Event.</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- 69 -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Compliance Covenant</w:t>
      </w:r>
      <w:r>
        <w:rPr>
          <w:rFonts w:ascii="Times New Roman" w:hAnsi="Times New Roman"/>
          <w:color w:val="000000"/>
          <w:sz w:val="24"/>
        </w:rPr>
        <w:t xml:space="preserve">. The Company will not become a party to any Ordinary Share Change Event unless its terms are consistent with this </w:t>
      </w:r>
      <w:r>
        <w:rPr>
          <w:rFonts w:ascii="Times New Roman" w:hAnsi="Times New Roman"/>
          <w:b/>
          <w:color w:val="000000"/>
          <w:sz w:val="24"/>
        </w:rPr>
        <w:t>Section 5.09</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6.  SUCCESSORS</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6.01.  When the Company May Merge, Etc.</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 w:hAnsi="Times New Roman"/>
          <w:b/>
          <w:color w:val="000000"/>
          <w:sz w:val="24"/>
        </w:rPr>
        <w:t>Business Combination Event</w:t>
      </w:r>
      <w:r>
        <w:rPr>
          <w:rFonts w:ascii="Times New Roman" w:hAnsi="Times New Roman"/>
          <w:color w:val="000000"/>
          <w:sz w:val="24"/>
        </w:rPr>
        <w:t>”), unless: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resulting, surviving or transferee Person either (x) is the Company or (y) if not the Company, is a Qualified Successor Entity (such Qualified Successor Entity, the “</w:t>
      </w:r>
      <w:r>
        <w:rPr>
          <w:rFonts w:ascii="Times New Roman" w:hAnsi="Times New Roman"/>
          <w:b/>
          <w:color w:val="000000"/>
          <w:sz w:val="24"/>
        </w:rPr>
        <w:t>Successor Entity</w:t>
      </w:r>
      <w:r>
        <w:rPr>
          <w:rFonts w:ascii="Times New Roman" w:hAnsi="Times New Roman"/>
          <w:color w:val="000000"/>
          <w:sz w:val="24"/>
        </w:rPr>
        <w:t xml:space="preserve">”) duly organized or incorporated and existing under the laws of Australia,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hAnsi="Times New Roman"/>
          <w:b/>
          <w:color w:val="000000"/>
          <w:sz w:val="24"/>
        </w:rPr>
        <w:t>Section 8.01(E)</w:t>
      </w:r>
      <w:r>
        <w:rPr>
          <w:rFonts w:ascii="Times New Roman" w:hAnsi="Times New Roman"/>
          <w:color w:val="000000"/>
          <w:sz w:val="24"/>
        </w:rPr>
        <w:t xml:space="preserve">) all of the Company’s obligations under this Indenture and the Notes (including, for the avoidance of doubt and without limiting any other provisions of this Indenture, if applicable, the obligation to pay Additional Amounts pursuant to </w:t>
      </w:r>
      <w:r>
        <w:rPr>
          <w:rFonts w:ascii="Times New Roman" w:hAnsi="Times New Roman"/>
          <w:b/>
          <w:color w:val="000000"/>
          <w:sz w:val="24"/>
        </w:rPr>
        <w:t>Section 3.05</w:t>
      </w:r>
      <w:r>
        <w:rPr>
          <w:rFonts w:ascii="Times New Roman" w:hAnsi="Times New Roman"/>
          <w:color w:val="000000"/>
          <w:sz w:val="24"/>
        </w:rPr>
        <w:t xml:space="preserve"> subject to the limitations therein);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immediately after giving effect to such Business Combination Event, no Default or Event of Default will have occurred and be continuing.</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Delivery of Officer’s Certificate and Opinion of Counsel to the Trustee</w:t>
      </w:r>
      <w:r>
        <w:rPr>
          <w:rFonts w:ascii="Times New Roman" w:hAnsi="Times New Roman"/>
          <w:color w:val="000000"/>
          <w:sz w:val="24"/>
        </w:rPr>
        <w:t xml:space="preserve">. At or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 w:hAnsi="Times New Roman"/>
          <w:b/>
          <w:color w:val="000000"/>
          <w:sz w:val="24"/>
        </w:rPr>
        <w:t>Section 6.01(A)</w:t>
      </w:r>
      <w:r>
        <w:rPr>
          <w:rFonts w:ascii="Times New Roman" w:hAnsi="Times New Roman"/>
          <w:color w:val="000000"/>
          <w:sz w:val="24"/>
        </w:rPr>
        <w:t>; and (ii) all conditions precedent to such Business Combination Event provided in this Indenture have been satisfied.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6.02.  Successor Entity Substituted.</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At the effective time of any Business Combination Event that complies with </w:t>
      </w:r>
      <w:r>
        <w:rPr>
          <w:rFonts w:ascii="Times New Roman" w:hAnsi="Times New Roman"/>
          <w:b/>
          <w:color w:val="000000"/>
          <w:sz w:val="24"/>
        </w:rPr>
        <w:t>Section 6.01</w:t>
      </w:r>
      <w:r>
        <w:rPr>
          <w:rFonts w:ascii="Times New Roman" w:hAnsi="Times New Roman"/>
          <w:color w:val="000000"/>
          <w:sz w:val="24"/>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6.03.  Exclusion for Asset Transfers with Wholly Owned Subsidiaries.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this </w:t>
      </w:r>
      <w:r>
        <w:rPr>
          <w:rFonts w:ascii="Times New Roman" w:hAnsi="Times New Roman"/>
          <w:b/>
          <w:color w:val="000000"/>
          <w:sz w:val="24"/>
        </w:rPr>
        <w:t>Article 6</w:t>
      </w:r>
      <w:r>
        <w:rPr>
          <w:rFonts w:ascii="Times New Roman" w:hAnsi="Times New Roman"/>
          <w:color w:val="000000"/>
          <w:sz w:val="24"/>
        </w:rPr>
        <w:t xml:space="preserve">, this </w:t>
      </w:r>
      <w:r>
        <w:rPr>
          <w:rFonts w:ascii="Times New Roman" w:hAnsi="Times New Roman"/>
          <w:b/>
          <w:color w:val="000000"/>
          <w:sz w:val="24"/>
        </w:rPr>
        <w:t>Article 6</w:t>
      </w:r>
      <w:r>
        <w:rPr>
          <w:rFonts w:ascii="Times New Roman" w:hAnsi="Times New Roman"/>
          <w:color w:val="000000"/>
          <w:sz w:val="24"/>
        </w:rPr>
        <w:t xml:space="preserve"> will not apply to any transfer of assets (other than by merger or consolidation) between or among the Company and any one or more of its Wholly Owned Subsidiaries.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- 70 -</w:t>
      </w:r>
    </w:p>
    <w:p>
      <w:pPr>
        <w:pStyle w:val="HorizontalLine"/>
        <w:pBdr>
          <w:bottom w:val="single" w:sz="12" w:space="0" w:color="808080"/>
        </w:pBdr>
        <w:bidi w:val="0"/>
        <w:spacing w:before="180" w:after="180"/>
        <w:jc w:val="left"/>
        <w:rPr/>
      </w:pPr>
      <w:r>
        <w:rPr/>
      </w:r>
    </w:p>
    <w:p>
      <w:pPr>
        <w:pStyle w:val="TextBody"/>
        <w:bidi w:val="0"/>
        <w:ind w:left="0" w:right="0" w:hanging="0"/>
        <w:jc w:val="center"/>
        <w:rPr>
          <w:rFonts w:ascii="Times New Roman" w:hAnsi="Times New Roman"/>
          <w:b/>
          <w:color w:val="000000"/>
          <w:sz w:val="24"/>
        </w:rPr>
      </w:pPr>
      <w:r>
        <w:rPr>
          <w:rFonts w:ascii="Times New Roman" w:hAnsi="Times New Roman"/>
          <w:b/>
          <w:color w:val="000000"/>
          <w:sz w:val="24"/>
        </w:rPr>
        <w:t>Article 7.  DEFAULTS AND REMEDIES</w:t>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7.01.  Events of Default.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Definition of Events of Default</w:t>
      </w:r>
      <w:r>
        <w:rPr>
          <w:rFonts w:ascii="Times New Roman" w:hAnsi="Times New Roman"/>
          <w:color w:val="000000"/>
          <w:sz w:val="24"/>
        </w:rPr>
        <w:t>. “</w:t>
      </w:r>
      <w:r>
        <w:rPr>
          <w:rFonts w:ascii="Times New Roman" w:hAnsi="Times New Roman"/>
          <w:b/>
          <w:color w:val="000000"/>
          <w:sz w:val="24"/>
        </w:rPr>
        <w:t>Event of Default</w:t>
      </w:r>
      <w:r>
        <w:rPr>
          <w:rFonts w:ascii="Times New Roman" w:hAnsi="Times New Roman"/>
          <w:color w:val="000000"/>
          <w:sz w:val="24"/>
        </w:rPr>
        <w:t>” means the occurrence of any of the following:</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 default in the payment when due (whether at maturity, upon Redemption or Repurchase Upon Fundamental Change or otherwise) of the principal of, or the Redemption Price or Fundamental Change Repurchase Price for, any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 default for thirty (30) consecutive days in the payment when due of interest on any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Company’s failure to deliver, when required by this Indenture, a Fundamental Change Notice, or a notice pursuant to </w:t>
      </w:r>
      <w:r>
        <w:rPr>
          <w:rFonts w:ascii="Times New Roman" w:hAnsi="Times New Roman"/>
          <w:b/>
          <w:color w:val="000000"/>
          <w:sz w:val="24"/>
        </w:rPr>
        <w:t>Section 5.01(C)(i)(3)</w:t>
      </w:r>
      <w:r>
        <w:rPr>
          <w:rFonts w:ascii="Times New Roman" w:hAnsi="Times New Roman"/>
          <w:color w:val="000000"/>
          <w:sz w:val="24"/>
        </w:rPr>
        <w:t xml:space="preserve">, if (in the case of any notice other than a notice pursuant to </w:t>
      </w:r>
      <w:r>
        <w:rPr>
          <w:rFonts w:ascii="Times New Roman" w:hAnsi="Times New Roman"/>
          <w:b/>
          <w:color w:val="000000"/>
          <w:sz w:val="24"/>
        </w:rPr>
        <w:t>Section 5.01(C)(i)(3)</w:t>
      </w:r>
      <w:r>
        <w:rPr>
          <w:rFonts w:ascii="Times New Roman" w:hAnsi="Times New Roman"/>
          <w:color w:val="000000"/>
          <w:sz w:val="24"/>
        </w:rPr>
        <w:t>) such failure is not cured within five (5) days after its occurrence;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 xml:space="preserve">a default in the Company’s obligation to Convert a Note in accordance with </w:t>
      </w:r>
      <w:r>
        <w:rPr>
          <w:rFonts w:ascii="Times New Roman" w:hAnsi="Times New Roman"/>
          <w:b/>
          <w:color w:val="000000"/>
          <w:sz w:val="24"/>
        </w:rPr>
        <w:t>Article 5</w:t>
      </w:r>
      <w:r>
        <w:rPr>
          <w:rFonts w:ascii="Times New Roman" w:hAnsi="Times New Roman"/>
          <w:color w:val="000000"/>
          <w:sz w:val="24"/>
        </w:rPr>
        <w:t xml:space="preserve"> upon the exercise of the Conversion right with respect thereto, if such default is not cured within five (5) Business Days after its occurrence;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a default in the Company’s obligations under </w:t>
      </w:r>
      <w:r>
        <w:rPr>
          <w:rFonts w:ascii="Times New Roman" w:hAnsi="Times New Roman"/>
          <w:b/>
          <w:color w:val="000000"/>
          <w:sz w:val="24"/>
        </w:rPr>
        <w:t>Article 6</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 xml:space="preserve">a default in any of the Company’s obligations or agreements under this Indenture or the Notes (other than a default set forth in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w:t>
      </w:r>
      <w:r>
        <w:rPr>
          <w:rFonts w:ascii="Times New Roman" w:hAnsi="Times New Roman"/>
          <w:b/>
          <w:color w:val="000000"/>
          <w:sz w:val="24"/>
        </w:rPr>
        <w:t>(ii)</w:t>
      </w:r>
      <w:r>
        <w:rPr>
          <w:rFonts w:ascii="Times New Roman" w:hAnsi="Times New Roman"/>
          <w:color w:val="000000"/>
          <w:sz w:val="24"/>
        </w:rPr>
        <w:t xml:space="preserve">, </w:t>
      </w:r>
      <w:r>
        <w:rPr>
          <w:rFonts w:ascii="Times New Roman" w:hAnsi="Times New Roman"/>
          <w:b/>
          <w:color w:val="000000"/>
          <w:sz w:val="24"/>
        </w:rPr>
        <w:t>(iii)</w:t>
      </w:r>
      <w:r>
        <w:rPr>
          <w:rFonts w:ascii="Times New Roman" w:hAnsi="Times New Roman"/>
          <w:color w:val="000000"/>
          <w:sz w:val="24"/>
        </w:rPr>
        <w:t xml:space="preserve">, </w:t>
      </w:r>
      <w:r>
        <w:rPr>
          <w:rFonts w:ascii="Times New Roman" w:hAnsi="Times New Roman"/>
          <w:b/>
          <w:color w:val="000000"/>
          <w:sz w:val="24"/>
        </w:rPr>
        <w:t>(iv)</w:t>
      </w:r>
      <w:r>
        <w:rPr>
          <w:rFonts w:ascii="Times New Roman" w:hAnsi="Times New Roman"/>
          <w:color w:val="000000"/>
          <w:sz w:val="24"/>
        </w:rPr>
        <w:t xml:space="preserve"> or </w:t>
      </w:r>
      <w:r>
        <w:rPr>
          <w:rFonts w:ascii="Times New Roman" w:hAnsi="Times New Roman"/>
          <w:b/>
          <w:color w:val="000000"/>
          <w:sz w:val="24"/>
        </w:rPr>
        <w:t>(v)</w:t>
      </w:r>
      <w:r>
        <w:rPr>
          <w:rFonts w:ascii="Times New Roman" w:hAnsi="Times New Roman"/>
          <w:color w:val="000000"/>
          <w:sz w:val="24"/>
        </w:rPr>
        <w:t xml:space="preserve"> of this </w:t>
      </w:r>
      <w:r>
        <w:rPr>
          <w:rFonts w:ascii="Times New Roman" w:hAnsi="Times New Roman"/>
          <w:b/>
          <w:color w:val="000000"/>
          <w:sz w:val="24"/>
        </w:rPr>
        <w:t>Section 7.01(A)</w:t>
      </w:r>
      <w:r>
        <w:rPr>
          <w:rFonts w:ascii="Times New Roman" w:hAnsi="Times New Roman"/>
          <w:color w:val="000000"/>
          <w:sz w:val="24"/>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a default by the Company or any of the Company’s Significant Subsidiaries with respect to any one or more mortgages, agreements or other instruments under which there is outstanding, or by which there is secured or evidenced, any indebtedness for borrowed money (other than (1) any non-recourse indebtedness for borrowed money (it being understood and agreed that limited recourse provisions in respect of the applicable financing assets or that otherwise are customary in transactions in which the primary recourse is to financing assets will not cause indebtedness that is otherwise non-recourse to constitute recourse indebtedness) or (2) indebtedness for money borrowed of the Company’s Subsidiaries if such Subsidiary is a special purpose entity that serves as a vehicle to obtain financing that is otherwise non-recourse to the Company and its other Subsidiaries (it being understood and agreed that limited recourse provisions in respect of the applicable financing assets or that otherwise are customary in transactions in which the primary recourse is to financing assets will not cause indebtedness that is otherwise non-recourse to constitute recourse indebtedness)) of at least one hundred million dollars ($100,000,000) (or its foreign currency equivalent) in the aggregate of the Company or any of the Company’s Significant Subsidiaries, whether such indebtedness exists as of the Issue Date or is thereafter created, where such default: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- 71 -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constitutes a failure to pay the principal of such indebtedness when due and payable at its stated maturity, upon required repurchase, upon declaration of acceleration or otherwise, in each case after the expiration of any applicable grace period;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results in such indebtedness becoming or being declared due and payable before its stated maturity,</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in each case where such default is not cured or waived within thirty (30) days after written notice to the Company by the Trustee or to the Company and the Trustee by Holders of at least twenty five percent (25%) of the aggregate principal amount of Notes then outstanding;</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the Company or any of its Significant Subsidiaries, pursuant to or within the meaning of any Bankruptcy Law, either: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commences a voluntary case or proceeding;</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consents to the entry of an order for relief against it in an involuntary case or proceeding;</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consents to the appointment of a custodian of it or for any substantial part of its property;</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makes a general assignment for the benefit of its creditors;</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takes any comparable action under any foreign Bankruptcy Law;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generally is not paying its debts as they become due;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a court of competent jurisdiction enters an order or decree under any Bankruptcy Law that either: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is for relief against the Company or any of its Significant Subsidiaries in an involuntary case or proceeding;</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appoints a custodian of the Company or any of its Significant Subsidiaries, or for any substantial part of the property of the Company or any of its Significant Subsidiaries;</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orders the winding up or liquidation of the Company or any of its Significant Subsidiaries; or</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- 72 -</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grants any similar relief under any foreign Bankruptcy Law,</w:t>
      </w:r>
    </w:p>
    <w:p>
      <w:pPr>
        <w:pStyle w:val="TextBody"/>
        <w:bidi w:val="0"/>
        <w:spacing w:before="0" w:after="0"/>
        <w:ind w:left="144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 xml:space="preserve">and, in each case under this </w:t>
      </w:r>
      <w:r>
        <w:rPr>
          <w:rFonts w:ascii="Times New Roman" w:hAnsi="Times New Roman"/>
          <w:b/>
          <w:color w:val="000000"/>
          <w:sz w:val="24"/>
        </w:rPr>
        <w:t>Section 7.01(A)(ix)</w:t>
      </w:r>
      <w:r>
        <w:rPr>
          <w:rFonts w:ascii="Times New Roman" w:hAnsi="Times New Roman"/>
          <w:color w:val="000000"/>
          <w:sz w:val="24"/>
        </w:rPr>
        <w:t>, such order or decree remains unstayed and in effect for at least sixty (60) days.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Cause Irrelevant</w:t>
      </w:r>
      <w:r>
        <w:rPr>
          <w:rFonts w:ascii="Times New Roman" w:hAnsi="Times New Roman"/>
          <w:color w:val="000000"/>
          <w:sz w:val="24"/>
        </w:rPr>
        <w:t xml:space="preserve">. Each of the events set forth in </w:t>
      </w:r>
      <w:r>
        <w:rPr>
          <w:rFonts w:ascii="Times New Roman" w:hAnsi="Times New Roman"/>
          <w:b/>
          <w:color w:val="000000"/>
          <w:sz w:val="24"/>
        </w:rPr>
        <w:t>Section 7.01(A)</w:t>
      </w:r>
      <w:r>
        <w:rPr>
          <w:rFonts w:ascii="Times New Roman" w:hAnsi="Times New Roman"/>
          <w:color w:val="000000"/>
          <w:sz w:val="24"/>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7.02.  Acceleration.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Automatic Acceleration in Certain Circumstances</w:t>
      </w:r>
      <w:r>
        <w:rPr>
          <w:rFonts w:ascii="Times New Roman" w:hAnsi="Times New Roman"/>
          <w:color w:val="000000"/>
          <w:sz w:val="24"/>
        </w:rPr>
        <w:t xml:space="preserve">. If an Event of Default set forth in </w:t>
      </w:r>
      <w:r>
        <w:rPr>
          <w:rFonts w:ascii="Times New Roman" w:hAnsi="Times New Roman"/>
          <w:b/>
          <w:color w:val="000000"/>
          <w:sz w:val="24"/>
        </w:rPr>
        <w:t>Section 7.01(A)(viii)</w:t>
      </w:r>
      <w:r>
        <w:rPr>
          <w:rFonts w:ascii="Times New Roman" w:hAnsi="Times New Roman"/>
          <w:color w:val="000000"/>
          <w:sz w:val="24"/>
        </w:rPr>
        <w:t xml:space="preserve"> or </w:t>
      </w:r>
      <w:r>
        <w:rPr>
          <w:rFonts w:ascii="Times New Roman" w:hAnsi="Times New Roman"/>
          <w:b/>
          <w:color w:val="000000"/>
          <w:sz w:val="24"/>
        </w:rPr>
        <w:t>7.01(A)(ix)</w:t>
      </w:r>
      <w:r>
        <w:rPr>
          <w:rFonts w:ascii="Times New Roman" w:hAnsi="Times New Roman"/>
          <w:color w:val="000000"/>
          <w:sz w:val="24"/>
        </w:rPr>
        <w:t xml:space="preserve"> occurs with 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Optional Acceleration</w:t>
      </w:r>
      <w:r>
        <w:rPr>
          <w:rFonts w:ascii="Times New Roman" w:hAnsi="Times New Roman"/>
          <w:color w:val="000000"/>
          <w:sz w:val="24"/>
        </w:rPr>
        <w:t xml:space="preserve">. Subject to </w:t>
      </w:r>
      <w:r>
        <w:rPr>
          <w:rFonts w:ascii="Times New Roman" w:hAnsi="Times New Roman"/>
          <w:b/>
          <w:color w:val="000000"/>
          <w:sz w:val="24"/>
        </w:rPr>
        <w:t>Section 7.03</w:t>
      </w:r>
      <w:r>
        <w:rPr>
          <w:rFonts w:ascii="Times New Roman" w:hAnsi="Times New Roman"/>
          <w:color w:val="000000"/>
          <w:sz w:val="24"/>
        </w:rPr>
        <w:t xml:space="preserve">, if an Event of Default (other than an Event of Default set forth in </w:t>
      </w:r>
      <w:r>
        <w:rPr>
          <w:rFonts w:ascii="Times New Roman" w:hAnsi="Times New Roman"/>
          <w:b/>
          <w:color w:val="000000"/>
          <w:sz w:val="24"/>
        </w:rPr>
        <w:t>Section 7.01(A)(viii)</w:t>
      </w:r>
      <w:r>
        <w:rPr>
          <w:rFonts w:ascii="Times New Roman" w:hAnsi="Times New Roman"/>
          <w:color w:val="000000"/>
          <w:sz w:val="24"/>
        </w:rPr>
        <w:t xml:space="preserve"> or </w:t>
      </w:r>
      <w:r>
        <w:rPr>
          <w:rFonts w:ascii="Times New Roman" w:hAnsi="Times New Roman"/>
          <w:b/>
          <w:color w:val="000000"/>
          <w:sz w:val="24"/>
        </w:rPr>
        <w:t>7.01(A)(ix)</w:t>
      </w:r>
      <w:r>
        <w:rPr>
          <w:rFonts w:ascii="Times New Roman" w:hAnsi="Times New Roman"/>
          <w:color w:val="000000"/>
          <w:sz w:val="24"/>
        </w:rPr>
        <w:t xml:space="preserve">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avoidance of doubt, any failure by the Company to provide any notice under this Indenture other than as set forth in </w:t>
      </w:r>
      <w:r>
        <w:rPr>
          <w:rFonts w:ascii="Times New Roman" w:hAnsi="Times New Roman"/>
          <w:b/>
          <w:color w:val="000000"/>
          <w:sz w:val="24"/>
        </w:rPr>
        <w:t>Section 7.01(A)(iii)</w:t>
      </w:r>
      <w:r>
        <w:rPr>
          <w:rFonts w:ascii="Times New Roman" w:hAnsi="Times New Roman"/>
          <w:color w:val="000000"/>
          <w:sz w:val="24"/>
        </w:rPr>
        <w:t xml:space="preserve"> shall be subject to </w:t>
      </w:r>
      <w:r>
        <w:rPr>
          <w:rFonts w:ascii="Times New Roman" w:hAnsi="Times New Roman"/>
          <w:b/>
          <w:color w:val="000000"/>
          <w:sz w:val="24"/>
        </w:rPr>
        <w:t>Section 7.01(A)(vi)</w:t>
      </w:r>
      <w:r>
        <w:rPr>
          <w:rFonts w:ascii="Times New Roman" w:hAnsi="Times New Roman"/>
          <w:color w:val="000000"/>
          <w:sz w:val="24"/>
        </w:rPr>
        <w:t xml:space="preserve"> (including the sixty (60)-day cure period contained therein), and any related Default or Event of Default shall be deemed cured upon delivery of such notice to the applicable recipient prior to (i) the expiration of such sixty (60)-day period; or (ii) if later, the delivery of a notice of acceleration with respect to such Default or Event of Default, in each case whether or not the events or circumstances that are the subject of such notice have already occurred at the time such notice is given.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Rescission of Acceleration</w:t>
      </w:r>
      <w:r>
        <w:rPr>
          <w:rFonts w:ascii="Times New Roman" w:hAnsi="Times New Roman"/>
          <w:color w:val="000000"/>
          <w:sz w:val="24"/>
        </w:rPr>
        <w:t>. Notwithstanding anything to the contrary in this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- 73 -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7.03.  Sole Remedy for a Failure to Report.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Notwithstanding anything to the contrary in this Indenture or the Notes, the Company may elect that the sole remedy for any Event of Default (a “</w:t>
      </w:r>
      <w:r>
        <w:rPr>
          <w:rFonts w:ascii="Times New Roman" w:hAnsi="Times New Roman"/>
          <w:b/>
          <w:color w:val="000000"/>
          <w:sz w:val="24"/>
        </w:rPr>
        <w:t>Reporting Event of Default</w:t>
      </w:r>
      <w:r>
        <w:rPr>
          <w:rFonts w:ascii="Times New Roman" w:hAnsi="Times New Roman"/>
          <w:color w:val="000000"/>
          <w:sz w:val="24"/>
        </w:rPr>
        <w:t xml:space="preserve">”) pursuant to </w:t>
      </w:r>
      <w:r>
        <w:rPr>
          <w:rFonts w:ascii="Times New Roman" w:hAnsi="Times New Roman"/>
          <w:b/>
          <w:color w:val="000000"/>
          <w:sz w:val="24"/>
        </w:rPr>
        <w:t>Section 7.01(A)(vi)</w:t>
      </w:r>
      <w:r>
        <w:rPr>
          <w:rFonts w:ascii="Times New Roman" w:hAnsi="Times New Roman"/>
          <w:color w:val="000000"/>
          <w:sz w:val="24"/>
        </w:rPr>
        <w:t xml:space="preserve"> arising from the Company’s failure to comply with </w:t>
      </w:r>
      <w:r>
        <w:rPr>
          <w:rFonts w:ascii="Times New Roman" w:hAnsi="Times New Roman"/>
          <w:b/>
          <w:color w:val="000000"/>
          <w:sz w:val="24"/>
        </w:rPr>
        <w:t>Section 3.02</w:t>
      </w:r>
      <w:r>
        <w:rPr>
          <w:rFonts w:ascii="Times New Roman" w:hAnsi="Times New Roman"/>
          <w:color w:val="000000"/>
          <w:sz w:val="24"/>
        </w:rPr>
        <w:t xml:space="preserve"> will, for each of the first three hundred sixty (360)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hAnsi="Times New Roman"/>
          <w:b/>
          <w:color w:val="000000"/>
          <w:sz w:val="24"/>
        </w:rPr>
        <w:t>Section 7.02</w:t>
      </w:r>
      <w:r>
        <w:rPr>
          <w:rFonts w:ascii="Times New Roman" w:hAnsi="Times New Roman"/>
          <w:color w:val="000000"/>
          <w:sz w:val="24"/>
        </w:rPr>
        <w:t xml:space="preserve"> on account of the relevant Reporting Event of Default from, and including, the three hundred sixty first (361st) calendar day on which a Reporting Event of Default has occurred and is continuing or if the Company fails to pay any accrued and unpaid Special Interest when due; and (ii) Special Interest will cease to accrue on any Notes from, and including, such three hundred sixty first (361st) calendar day (it being understood that interest on any defaulted Special Interest will nonetheless accrue pursuant to </w:t>
      </w:r>
      <w:r>
        <w:rPr>
          <w:rFonts w:ascii="Times New Roman" w:hAnsi="Times New Roman"/>
          <w:b/>
          <w:color w:val="000000"/>
          <w:sz w:val="24"/>
        </w:rPr>
        <w:t>Section 2.05(B)</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Amount and Payment of Special Interest</w:t>
      </w:r>
      <w:r>
        <w:rPr>
          <w:rFonts w:ascii="Times New Roman" w:hAnsi="Times New Roman"/>
          <w:color w:val="000000"/>
          <w:sz w:val="24"/>
        </w:rPr>
        <w:t xml:space="preserve">. Any Special Interest that accrues on a Note pursuant to </w:t>
      </w:r>
      <w:r>
        <w:rPr>
          <w:rFonts w:ascii="Times New Roman" w:hAnsi="Times New Roman"/>
          <w:b/>
          <w:color w:val="000000"/>
          <w:sz w:val="24"/>
        </w:rPr>
        <w:t>Section 7.03(A)</w:t>
      </w:r>
      <w:r>
        <w:rPr>
          <w:rFonts w:ascii="Times New Roman" w:hAnsi="Times New Roman"/>
          <w:color w:val="000000"/>
          <w:sz w:val="24"/>
        </w:rPr>
        <w:t xml:space="preserve"> will be payable on the same dates and in the same manner as the Stated Interest on such Note and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in no event will Special Interest, together with any Additional Interest (excluding any interest that accrues on any Deferred Additional Interest pursuant to </w:t>
      </w:r>
      <w:r>
        <w:rPr>
          <w:rFonts w:ascii="Times New Roman" w:hAnsi="Times New Roman"/>
          <w:b/>
          <w:color w:val="000000"/>
          <w:sz w:val="24"/>
        </w:rPr>
        <w:t>Section 3.04(C)</w:t>
      </w:r>
      <w:r>
        <w:rPr>
          <w:rFonts w:ascii="Times New Roman" w:hAnsi="Times New Roman"/>
          <w:color w:val="000000"/>
          <w:sz w:val="24"/>
        </w:rPr>
        <w: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a Reporting Event of Default giving rise to the Company’s obligation to pay Special Interest pursuant to </w:t>
      </w:r>
      <w:r>
        <w:rPr>
          <w:rFonts w:ascii="Times New Roman" w:hAnsi="Times New Roman"/>
          <w:b/>
          <w:color w:val="000000"/>
          <w:sz w:val="24"/>
        </w:rPr>
        <w:t>Section 7.03(A)</w:t>
      </w:r>
      <w:r>
        <w:rPr>
          <w:rFonts w:ascii="Times New Roman" w:hAnsi="Times New Roman"/>
          <w:color w:val="000000"/>
          <w:sz w:val="24"/>
        </w:rPr>
        <w:t xml:space="preserve"> initially occurs at or after the Close of Business on a Regular Record Date and prior to the Open of Business on the corresponding Interest Payment Date, the Special Interest that accrues during such period will be due on the Interest Payment Date next succeeding such corresponding Interest Payment Date, and no interest shall accrue in respect of such delay.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Notice of Election</w:t>
      </w:r>
      <w:r>
        <w:rPr>
          <w:rFonts w:ascii="Times New Roman" w:hAnsi="Times New Roman"/>
          <w:color w:val="000000"/>
          <w:sz w:val="24"/>
        </w:rPr>
        <w:t xml:space="preserve">. To make the election set forth in </w:t>
      </w:r>
      <w:r>
        <w:rPr>
          <w:rFonts w:ascii="Times New Roman" w:hAnsi="Times New Roman"/>
          <w:b/>
          <w:color w:val="000000"/>
          <w:sz w:val="24"/>
        </w:rPr>
        <w:t>Section 7.03(A)</w:t>
      </w:r>
      <w:r>
        <w:rPr>
          <w:rFonts w:ascii="Times New Roman" w:hAnsi="Times New Roman"/>
          <w:color w:val="000000"/>
          <w:sz w:val="24"/>
        </w:rPr>
        <w:t>, the Company must send to the Holders, the Trustee and the Paying 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avoidance of doubt, if (x) the Company timely elects to pay Special Interest as the sole remedy during the first three hundred sixty (360) days on which a Reporting Event of Default has occurred and is continuing; (y) the Company pays such Special Interest in accordance with this Indenture; and (z) the Company files the delinquent reports that were required to be filed and gave rise to the relevant Reporting Event of Default (in each case in this </w:t>
      </w:r>
      <w:r>
        <w:rPr>
          <w:rFonts w:ascii="Times New Roman" w:hAnsi="Times New Roman"/>
          <w:b/>
          <w:color w:val="000000"/>
          <w:sz w:val="24"/>
        </w:rPr>
        <w:t>clause (z)</w:t>
      </w:r>
      <w:r>
        <w:rPr>
          <w:rFonts w:ascii="Times New Roman" w:hAnsi="Times New Roman"/>
          <w:color w:val="000000"/>
          <w:sz w:val="24"/>
        </w:rPr>
        <w:t xml:space="preserve"> pursuant to the provisions set forth in </w:t>
      </w:r>
      <w:r>
        <w:rPr>
          <w:rFonts w:ascii="Times New Roman" w:hAnsi="Times New Roman"/>
          <w:b/>
          <w:color w:val="000000"/>
          <w:sz w:val="24"/>
        </w:rPr>
        <w:t>Section 3.02</w:t>
      </w:r>
      <w:r>
        <w:rPr>
          <w:rFonts w:ascii="Times New Roman" w:hAnsi="Times New Roman"/>
          <w:color w:val="000000"/>
          <w:sz w:val="24"/>
        </w:rPr>
        <w:t xml:space="preserve">) prior to the three hundred sixty first (361st) day on which such Reporting Event of Default has occurred and is continuing (or prior to the delivery of any related notice of acceleration on or after such three hundred sixty first (361st) day), such Reporting Event of Default will be deemed cured and the Notes will not be subject to acceleration as a result of the initial failure to comply with the Company’s reporting obligations set forth in </w:t>
      </w:r>
      <w:r>
        <w:rPr>
          <w:rFonts w:ascii="Times New Roman" w:hAnsi="Times New Roman"/>
          <w:b/>
          <w:color w:val="000000"/>
          <w:sz w:val="24"/>
        </w:rPr>
        <w:t>Section 3.02</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- 74 -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Notice to Trustee and Paying Agent; Trustee’s Disclaimer</w:t>
      </w:r>
      <w:r>
        <w:rPr>
          <w:rFonts w:ascii="Times New Roman" w:hAnsi="Times New Roman"/>
          <w:color w:val="000000"/>
          <w:sz w:val="24"/>
        </w:rPr>
        <w:t>.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No Effect on Other Events of Default</w:t>
      </w:r>
      <w:r>
        <w:rPr>
          <w:rFonts w:ascii="Times New Roman" w:hAnsi="Times New Roman"/>
          <w:color w:val="000000"/>
          <w:sz w:val="24"/>
        </w:rPr>
        <w:t xml:space="preserve">. No election pursuant to this </w:t>
      </w:r>
      <w:r>
        <w:rPr>
          <w:rFonts w:ascii="Times New Roman" w:hAnsi="Times New Roman"/>
          <w:b/>
          <w:color w:val="000000"/>
          <w:sz w:val="24"/>
        </w:rPr>
        <w:t>Section 7.03</w:t>
      </w:r>
      <w:r>
        <w:rPr>
          <w:rFonts w:ascii="Times New Roman" w:hAnsi="Times New Roman"/>
          <w:color w:val="000000"/>
          <w:sz w:val="24"/>
        </w:rPr>
        <w:t xml:space="preserve"> with respect to a Reporting Event of Default will affect the rights of any Holder with respect to any other Event of Default, including with respect to any other Reporting Event of Default.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7.04.  Other Remedies.</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Trustee May Pursue All Remedies</w:t>
      </w:r>
      <w:r>
        <w:rPr>
          <w:rFonts w:ascii="Times New Roman" w:hAnsi="Times New Roman"/>
          <w:color w:val="000000"/>
          <w:sz w:val="24"/>
        </w:rPr>
        <w:t>. If an Event of Default occurs and is continuing, then the Trustee may pursue any available remedy to collect the payment of any amounts due with respect to the Notes or to enforce the performance of any provision of this Indenture or the Notes.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Procedural Matters</w:t>
      </w:r>
      <w:r>
        <w:rPr>
          <w:rFonts w:ascii="Times New Roman" w:hAnsi="Times New Roman"/>
          <w:color w:val="000000"/>
          <w:sz w:val="24"/>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7.05.  Waiver of Past Defaults.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An Event of Default pursuant to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w:t>
      </w:r>
      <w:r>
        <w:rPr>
          <w:rFonts w:ascii="Times New Roman" w:hAnsi="Times New Roman"/>
          <w:b/>
          <w:color w:val="000000"/>
          <w:sz w:val="24"/>
        </w:rPr>
        <w:t>(ii)</w:t>
      </w:r>
      <w:r>
        <w:rPr>
          <w:rFonts w:ascii="Times New Roman" w:hAnsi="Times New Roman"/>
          <w:color w:val="000000"/>
          <w:sz w:val="24"/>
        </w:rPr>
        <w:t xml:space="preserve">, </w:t>
      </w:r>
      <w:r>
        <w:rPr>
          <w:rFonts w:ascii="Times New Roman" w:hAnsi="Times New Roman"/>
          <w:b/>
          <w:color w:val="000000"/>
          <w:sz w:val="24"/>
        </w:rPr>
        <w:t>(iv)</w:t>
      </w:r>
      <w:r>
        <w:rPr>
          <w:rFonts w:ascii="Times New Roman" w:hAnsi="Times New Roman"/>
          <w:color w:val="000000"/>
          <w:sz w:val="24"/>
        </w:rPr>
        <w:t xml:space="preserve"> or </w:t>
      </w:r>
      <w:r>
        <w:rPr>
          <w:rFonts w:ascii="Times New Roman" w:hAnsi="Times New Roman"/>
          <w:b/>
          <w:color w:val="000000"/>
          <w:sz w:val="24"/>
        </w:rPr>
        <w:t>(vi)</w:t>
      </w:r>
      <w:r>
        <w:rPr>
          <w:rFonts w:ascii="Times New Roman" w:hAnsi="Times New Roman"/>
          <w:color w:val="000000"/>
          <w:sz w:val="24"/>
        </w:rPr>
        <w:t xml:space="preserve"> of </w:t>
      </w:r>
      <w:r>
        <w:rPr>
          <w:rFonts w:ascii="Times New Roman" w:hAnsi="Times New Roman"/>
          <w:b/>
          <w:color w:val="000000"/>
          <w:sz w:val="24"/>
        </w:rPr>
        <w:t>Section 7.01(A)</w:t>
      </w:r>
      <w:r>
        <w:rPr>
          <w:rFonts w:ascii="Times New Roman" w:hAnsi="Times New Roman"/>
          <w:color w:val="000000"/>
          <w:sz w:val="24"/>
        </w:rPr>
        <w:t xml:space="preserve"> (that, in the case of </w:t>
      </w:r>
      <w:r>
        <w:rPr>
          <w:rFonts w:ascii="Times New Roman" w:hAnsi="Times New Roman"/>
          <w:b/>
          <w:color w:val="000000"/>
          <w:sz w:val="24"/>
        </w:rPr>
        <w:t>clause (vi)</w:t>
      </w:r>
      <w:r>
        <w:rPr>
          <w:rFonts w:ascii="Times New Roman" w:hAnsi="Times New Roman"/>
          <w:color w:val="000000"/>
          <w:sz w:val="24"/>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7.06.  Control by Majority.</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hAnsi="Times New Roman"/>
          <w:b/>
          <w:color w:val="000000"/>
          <w:sz w:val="24"/>
        </w:rPr>
        <w:t>Section 10.01</w:t>
      </w:r>
      <w:r>
        <w:rPr>
          <w:rFonts w:ascii="Times New Roman" w:hAnsi="Times New Roman"/>
          <w:color w:val="000000"/>
          <w:sz w:val="24"/>
        </w:rPr>
        <w:t>,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- 75 -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7.07.  Limitation on Suits.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 Holder may pursue any remedy with respect to this Indenture or the Notes (except to enforce (x) its rights to receive the principal of, or the Fundamental Change Repurchase Price or Redemption Price for, or any interest on, any Notes; or (y) the Company’s obligations to Convert any Notes pursuant to </w:t>
      </w:r>
      <w:r>
        <w:rPr>
          <w:rFonts w:ascii="Times New Roman" w:hAnsi="Times New Roman"/>
          <w:b/>
          <w:color w:val="000000"/>
          <w:sz w:val="24"/>
        </w:rPr>
        <w:t>Article 5</w:t>
      </w:r>
      <w:r>
        <w:rPr>
          <w:rFonts w:ascii="Times New Roman" w:hAnsi="Times New Roman"/>
          <w:color w:val="000000"/>
          <w:sz w:val="24"/>
        </w:rPr>
        <w:t>), unless: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such Holder has previously delivered to the Trustee notice that an Event of Default is continuing;</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Holders of at least twenty five percent (25%) in aggregate principal amount of the Notes then outstanding deliver a request to the Trustee to pursue such remedy;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such Holder or Holders offer and, if requested, provide to the Trustee security and indemnity satisfactory to the Trustee against any loss, liability or expense to the Trustee that may result from the Trustee’s following such request;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Trustee does not comply with such request within sixty (60) calendar days after its receipt of such request and such offer of security or indemnity; and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during such sixty (60) calendar day period, Holders of a majority in aggregate principal amount of the Notes then outstanding do not deliver to the Trustee a direction that is inconsistent with such request.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7.08.  Absolute Right of Holders to Institute Suit for the Enforcement of the Right to Receive Payment and Conversion Consideration.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this Indenture or the Notes (but without limiting </w:t>
      </w:r>
      <w:r>
        <w:rPr>
          <w:rFonts w:ascii="Times New Roman" w:hAnsi="Times New Roman"/>
          <w:b/>
          <w:color w:val="000000"/>
          <w:sz w:val="24"/>
        </w:rPr>
        <w:t>Section 8.01</w:t>
      </w:r>
      <w:r>
        <w:rPr>
          <w:rFonts w:ascii="Times New Roman" w:hAnsi="Times New Roman"/>
          <w:color w:val="000000"/>
          <w:sz w:val="24"/>
        </w:rPr>
        <w:t xml:space="preserve">),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 w:hAnsi="Times New Roman"/>
          <w:b/>
          <w:color w:val="000000"/>
          <w:sz w:val="24"/>
        </w:rPr>
        <w:t>Article 5</w:t>
      </w:r>
      <w:r>
        <w:rPr>
          <w:rFonts w:ascii="Times New Roman" w:hAnsi="Times New Roman"/>
          <w:color w:val="000000"/>
          <w:sz w:val="24"/>
        </w:rPr>
        <w:t xml:space="preserve"> upon Conversion of, such Note on or after the respective due dates therefor provided in this Indenture and the Notes, will not be impaired or affected without the consent of such Holder.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- 76 -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7.09.  Collection Suit by Trustee.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will have the right, upon the occurrence and continuance of an Event of Default pursuant to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w:t>
      </w:r>
      <w:r>
        <w:rPr>
          <w:rFonts w:ascii="Times New Roman" w:hAnsi="Times New Roman"/>
          <w:b/>
          <w:color w:val="000000"/>
          <w:sz w:val="24"/>
        </w:rPr>
        <w:t>(ii)</w:t>
      </w:r>
      <w:r>
        <w:rPr>
          <w:rFonts w:ascii="Times New Roman" w:hAnsi="Times New Roman"/>
          <w:color w:val="000000"/>
          <w:sz w:val="24"/>
        </w:rPr>
        <w:t xml:space="preserve"> or </w:t>
      </w:r>
      <w:r>
        <w:rPr>
          <w:rFonts w:ascii="Times New Roman" w:hAnsi="Times New Roman"/>
          <w:b/>
          <w:color w:val="000000"/>
          <w:sz w:val="24"/>
        </w:rPr>
        <w:t>(iv)</w:t>
      </w:r>
      <w:r>
        <w:rPr>
          <w:rFonts w:ascii="Times New Roman" w:hAnsi="Times New Roman"/>
          <w:color w:val="000000"/>
          <w:sz w:val="24"/>
        </w:rPr>
        <w:t xml:space="preserve"> of </w:t>
      </w:r>
      <w:r>
        <w:rPr>
          <w:rFonts w:ascii="Times New Roman" w:hAnsi="Times New Roman"/>
          <w:b/>
          <w:color w:val="000000"/>
          <w:sz w:val="24"/>
        </w:rPr>
        <w:t>Section 7.01(A)</w:t>
      </w:r>
      <w:r>
        <w:rPr>
          <w:rFonts w:ascii="Times New Roman" w:hAnsi="Times New Roman"/>
          <w:color w:val="000000"/>
          <w:sz w:val="24"/>
        </w:rPr>
        <w:t xml:space="preserve">,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 w:hAnsi="Times New Roman"/>
          <w:b/>
          <w:color w:val="000000"/>
          <w:sz w:val="24"/>
        </w:rPr>
        <w:t>Article 5</w:t>
      </w:r>
      <w:r>
        <w:rPr>
          <w:rFonts w:ascii="Times New Roman" w:hAnsi="Times New Roman"/>
          <w:color w:val="000000"/>
          <w:sz w:val="24"/>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hAnsi="Times New Roman"/>
          <w:b/>
          <w:color w:val="000000"/>
          <w:sz w:val="24"/>
        </w:rPr>
        <w:t>Section 10.06</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7.10.  Trustee May File Proofs of Claim.</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hAnsi="Times New Roman"/>
          <w:b/>
          <w:color w:val="000000"/>
          <w:sz w:val="24"/>
        </w:rPr>
        <w:t>Section 10.06</w:t>
      </w:r>
      <w:r>
        <w:rPr>
          <w:rFonts w:ascii="Times New Roman" w:hAnsi="Times New Roman"/>
          <w:color w:val="000000"/>
          <w:sz w:val="24"/>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7.11.  Priorities.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will pay or deliver in the following order any money or other property that it collects pursuant to this </w:t>
      </w:r>
      <w:r>
        <w:rPr>
          <w:rFonts w:ascii="Times New Roman" w:hAnsi="Times New Roman"/>
          <w:b/>
          <w:color w:val="000000"/>
          <w:sz w:val="24"/>
        </w:rPr>
        <w:t>Article 7</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4"/>
        </w:rPr>
        <w:t>First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to the Trustee and its agents and attorneys for amounts due under </w:t>
      </w:r>
      <w:r>
        <w:rPr>
          <w:rFonts w:ascii="Times New Roman" w:hAnsi="Times New Roman"/>
          <w:b/>
          <w:color w:val="000000"/>
          <w:sz w:val="24"/>
        </w:rPr>
        <w:t>Section 10.06</w:t>
      </w:r>
      <w:r>
        <w:rPr>
          <w:rFonts w:ascii="Times New Roman" w:hAnsi="Times New Roman"/>
          <w:color w:val="000000"/>
          <w:sz w:val="24"/>
        </w:rPr>
        <w:t>, including payment of all fees and compensation of, and all expenses and liabilities incurred, and all advances made, by, the Trustee (in each of its capacities under this Indenture, including as Note Agent) and the costs and expenses of collection;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4"/>
        </w:rPr>
        <w:t>Second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Holders for unpaid amounts or other property due on the Notes, including the principal of, or the 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4"/>
        </w:rPr>
        <w:t>Third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the Company or such other Person as a court of competent jurisdiction directs.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- 77 -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may fix a record date and payment date for any payment or delivery to the Holders pursuant to this </w:t>
      </w:r>
      <w:r>
        <w:rPr>
          <w:rFonts w:ascii="Times New Roman" w:hAnsi="Times New Roman"/>
          <w:b/>
          <w:color w:val="000000"/>
          <w:sz w:val="24"/>
        </w:rPr>
        <w:t>Section 7.11</w:t>
      </w:r>
      <w:r>
        <w:rPr>
          <w:rFonts w:ascii="Times New Roman" w:hAnsi="Times New Roman"/>
          <w:color w:val="000000"/>
          <w:sz w:val="24"/>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7.12.  Undertaking for Costs.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this </w:t>
      </w:r>
      <w:r>
        <w:rPr>
          <w:rFonts w:ascii="Times New Roman" w:hAnsi="Times New Roman"/>
          <w:b/>
          <w:color w:val="000000"/>
          <w:sz w:val="24"/>
        </w:rPr>
        <w:t>Section 7.12</w:t>
      </w:r>
      <w:r>
        <w:rPr>
          <w:rFonts w:ascii="Times New Roman" w:hAnsi="Times New Roman"/>
          <w:color w:val="000000"/>
          <w:sz w:val="24"/>
        </w:rPr>
        <w:t xml:space="preserve"> does not apply to any suit by the Trustee, any suit by a Holder pursuant to </w:t>
      </w:r>
      <w:r>
        <w:rPr>
          <w:rFonts w:ascii="Times New Roman" w:hAnsi="Times New Roman"/>
          <w:b/>
          <w:color w:val="000000"/>
          <w:sz w:val="24"/>
        </w:rPr>
        <w:t>Section 7.08</w:t>
      </w:r>
      <w:r>
        <w:rPr>
          <w:rFonts w:ascii="Times New Roman" w:hAnsi="Times New Roman"/>
          <w:color w:val="000000"/>
          <w:sz w:val="24"/>
        </w:rPr>
        <w:t xml:space="preserve"> or any suit by one or more Holders of more than ten percent (10%) in aggregate principal amount of the Notes then outstanding.</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8.  AMENDMENTS, SUPPLEMENTS AND WAIVERS</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8.01.  Without the Consent of Holders.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w:t>
      </w:r>
      <w:r>
        <w:rPr>
          <w:rFonts w:ascii="Times New Roman" w:hAnsi="Times New Roman"/>
          <w:b/>
          <w:color w:val="000000"/>
          <w:sz w:val="24"/>
        </w:rPr>
        <w:t>Section 8.02</w:t>
      </w:r>
      <w:r>
        <w:rPr>
          <w:rFonts w:ascii="Times New Roman" w:hAnsi="Times New Roman"/>
          <w:color w:val="000000"/>
          <w:sz w:val="24"/>
        </w:rPr>
        <w:t>, the Company and the Trustee may amend or supplement this Indenture or the Notes without the consent of any Holder to:</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cure any ambiguity or correct any omission, defect or inconsistency in this Indenture or the Notes;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add guarantees with respect to the Company’s obligations under this Indenture or the Notes;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secure the Notes;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add to the Company’s covenants or Events of Default for the benefit of the Holders or surrender any right or power conferred on the Company;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provide for the assumption of the Company’s obligations under this Indenture and the Notes pursuant to, and in compliance with, </w:t>
      </w:r>
      <w:r>
        <w:rPr>
          <w:rFonts w:ascii="Times New Roman" w:hAnsi="Times New Roman"/>
          <w:b/>
          <w:color w:val="000000"/>
          <w:sz w:val="24"/>
        </w:rPr>
        <w:t>Article 6</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 xml:space="preserve">enter into supplemental indentures pursuant to, and in accordance with, </w:t>
      </w:r>
      <w:r>
        <w:rPr>
          <w:rFonts w:ascii="Times New Roman" w:hAnsi="Times New Roman"/>
          <w:b/>
          <w:color w:val="000000"/>
          <w:sz w:val="24"/>
        </w:rPr>
        <w:t>Section 5.09</w:t>
      </w:r>
      <w:r>
        <w:rPr>
          <w:rFonts w:ascii="Times New Roman" w:hAnsi="Times New Roman"/>
          <w:color w:val="000000"/>
          <w:sz w:val="24"/>
        </w:rPr>
        <w:t xml:space="preserve"> in connection with an Ordinary Share Change Event;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 xml:space="preserve">irrevocably elect or eliminate any Settlement Method or Specified Dollar Amount;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no such election or elimination will affect any Settlement Method theretofore elected (or deemed to be elected) with respect to any Note pursuant to </w:t>
      </w:r>
      <w:r>
        <w:rPr>
          <w:rFonts w:ascii="Times New Roman" w:hAnsi="Times New Roman"/>
          <w:b/>
          <w:color w:val="000000"/>
          <w:sz w:val="24"/>
        </w:rPr>
        <w:t>Section 5.03(A)</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ind w:left="0" w:right="0" w:hanging="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evidence or provide for the acceptance of the appointment, under this Indenture, of a successor Trustee;</w:t>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- 78 -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conform the provisions of this Indenture and the Notes to the “Description of Notes” section of the Company’s preliminary offering memorandum, dated December 1, 2025, as supplemented by the related pricing term sheet, dated December 2, 2025;</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 xml:space="preserve">provide for or confirm the issuance of additional Notes pursuant to </w:t>
      </w:r>
      <w:r>
        <w:rPr>
          <w:rFonts w:ascii="Times New Roman" w:hAnsi="Times New Roman"/>
          <w:b/>
          <w:color w:val="000000"/>
          <w:sz w:val="24"/>
        </w:rPr>
        <w:t>Section 2.03(B)</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comply with any requirement of the SEC in connection with any qualification of this Indenture, or any related supplemental indenture, under the Trust Indenture Act, as then in effect; or</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make any other change to this Indenture or the Notes that does not, individually or in the aggregate with all other such changes, adversely affect the rights of the Holders, as such, in any material respect, as determined by the Company in good faith.</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At the written request of any Holder of a Note or owner of a beneficial interest in a Global Note, the Company will provide a copy of the “Description of Notes” section and pricing term sheet referred to in </w:t>
      </w:r>
      <w:r>
        <w:rPr>
          <w:rFonts w:ascii="Times New Roman" w:hAnsi="Times New Roman"/>
          <w:b/>
          <w:color w:val="000000"/>
          <w:sz w:val="24"/>
        </w:rPr>
        <w:t>Section 8.01(I)</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8.02.  With the Consent of Holders.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4"/>
        </w:rPr>
        <w:t xml:space="preserve">. Subject to </w:t>
      </w:r>
      <w:r>
        <w:rPr>
          <w:rFonts w:ascii="Times New Roman" w:hAnsi="Times New Roman"/>
          <w:b/>
          <w:color w:val="000000"/>
          <w:sz w:val="24"/>
        </w:rPr>
        <w:t>Sections 8.01</w:t>
      </w:r>
      <w:r>
        <w:rPr>
          <w:rFonts w:ascii="Times New Roman" w:hAnsi="Times New Roman"/>
          <w:color w:val="000000"/>
          <w:sz w:val="24"/>
        </w:rPr>
        <w:t xml:space="preserve">, </w:t>
      </w:r>
      <w:r>
        <w:rPr>
          <w:rFonts w:ascii="Times New Roman" w:hAnsi="Times New Roman"/>
          <w:b/>
          <w:color w:val="000000"/>
          <w:sz w:val="24"/>
        </w:rPr>
        <w:t>7.05</w:t>
      </w:r>
      <w:r>
        <w:rPr>
          <w:rFonts w:ascii="Times New Roman" w:hAnsi="Times New Roman"/>
          <w:color w:val="000000"/>
          <w:sz w:val="24"/>
        </w:rPr>
        <w:t xml:space="preserve"> and </w:t>
      </w:r>
      <w:r>
        <w:rPr>
          <w:rFonts w:ascii="Times New Roman" w:hAnsi="Times New Roman"/>
          <w:b/>
          <w:color w:val="000000"/>
          <w:sz w:val="24"/>
        </w:rPr>
        <w:t>7.08</w:t>
      </w:r>
      <w:r>
        <w:rPr>
          <w:rFonts w:ascii="Times New Roman" w:hAnsi="Times New Roman"/>
          <w:color w:val="000000"/>
          <w:sz w:val="24"/>
        </w:rPr>
        <w:t xml:space="preserve"> and the immediately following sentence, the Company and the 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hAnsi="Times New Roman"/>
          <w:b/>
          <w:color w:val="000000"/>
          <w:sz w:val="24"/>
        </w:rPr>
        <w:t>Section 8.01</w:t>
      </w:r>
      <w:r>
        <w:rPr>
          <w:rFonts w:ascii="Times New Roman" w:hAnsi="Times New Roman"/>
          <w:color w:val="000000"/>
          <w:sz w:val="24"/>
        </w:rPr>
        <w:t>, without the consent of each affected Holder, no amendment or supplement to this Indenture or the Notes, or waiver of any provision of this Indenture or the Notes, may: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reduce the principal, or change the stated maturity, of any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reduce the Redemption Price or Fundamental Change Repurchase Price for any Note or change the times at which, or the circumstances under which, the Notes may or will be redeemed or repurchased by the Company;</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reduce the rate, or extend the time for the payment, of interest on any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make any change that adversely affects the Conversion rights of any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 xml:space="preserve">impair the rights of any Holder set forth in </w:t>
      </w:r>
      <w:r>
        <w:rPr>
          <w:rFonts w:ascii="Times New Roman" w:hAnsi="Times New Roman"/>
          <w:b/>
          <w:color w:val="000000"/>
          <w:sz w:val="24"/>
        </w:rPr>
        <w:t>Section 7.08</w:t>
      </w:r>
      <w:r>
        <w:rPr>
          <w:rFonts w:ascii="Times New Roman" w:hAnsi="Times New Roman"/>
          <w:color w:val="000000"/>
          <w:sz w:val="24"/>
        </w:rPr>
        <w:t xml:space="preserve"> (as such section is in effect on the Issue Date);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change the ranking of the Notes;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make any Note payable in money, or at a place of payment, other than that stated in this Indenture or the Note;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make any change to the Company’s obligation to pay Additional Amounts on any Note in a manner adverse to any Holder or beneficial owner of the Notes;</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- 79 -</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reduce the amount of Notes whose Holders must consent to any amendment, supplement, waiver or other modification; or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make any direct or indirect change to any amendment, supplement, waiver or modification provision of this Indenture or the Notes that requires the consent of each affected Holder.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For the avoidance of doubt, pursuant to </w:t>
      </w:r>
      <w:r>
        <w:rPr>
          <w:rFonts w:ascii="Times New Roman" w:hAnsi="Times New Roman"/>
          <w:b/>
          <w:color w:val="000000"/>
          <w:sz w:val="24"/>
        </w:rPr>
        <w:t>clauses</w:t>
      </w:r>
      <w:r>
        <w:rPr>
          <w:rFonts w:ascii="Times New Roman" w:hAnsi="Times New Roman"/>
          <w:color w:val="000000"/>
          <w:sz w:val="24"/>
        </w:rPr>
        <w:t> </w:t>
      </w:r>
      <w:r>
        <w:rPr>
          <w:rFonts w:ascii="Times New Roman" w:hAnsi="Times New Roman"/>
          <w:b/>
          <w:color w:val="000000"/>
          <w:sz w:val="24"/>
        </w:rPr>
        <w:t>(i)</w:t>
      </w:r>
      <w:r>
        <w:rPr>
          <w:rFonts w:ascii="Times New Roman" w:hAnsi="Times New Roman"/>
          <w:color w:val="000000"/>
          <w:sz w:val="24"/>
        </w:rPr>
        <w:t xml:space="preserve">, </w:t>
      </w:r>
      <w:r>
        <w:rPr>
          <w:rFonts w:ascii="Times New Roman" w:hAnsi="Times New Roman"/>
          <w:b/>
          <w:color w:val="000000"/>
          <w:sz w:val="24"/>
        </w:rPr>
        <w:t>(ii)</w:t>
      </w:r>
      <w:r>
        <w:rPr>
          <w:rFonts w:ascii="Times New Roman" w:hAnsi="Times New Roman"/>
          <w:color w:val="000000"/>
          <w:sz w:val="24"/>
        </w:rPr>
        <w:t xml:space="preserve">, </w:t>
      </w:r>
      <w:r>
        <w:rPr>
          <w:rFonts w:ascii="Times New Roman" w:hAnsi="Times New Roman"/>
          <w:b/>
          <w:color w:val="000000"/>
          <w:sz w:val="24"/>
        </w:rPr>
        <w:t>(iii)</w:t>
      </w:r>
      <w:r>
        <w:rPr>
          <w:rFonts w:ascii="Times New Roman" w:hAnsi="Times New Roman"/>
          <w:color w:val="000000"/>
          <w:sz w:val="24"/>
        </w:rPr>
        <w:t xml:space="preserve"> and </w:t>
      </w:r>
      <w:r>
        <w:rPr>
          <w:rFonts w:ascii="Times New Roman" w:hAnsi="Times New Roman"/>
          <w:b/>
          <w:color w:val="000000"/>
          <w:sz w:val="24"/>
        </w:rPr>
        <w:t>(iv)</w:t>
      </w:r>
      <w:r>
        <w:rPr>
          <w:rFonts w:ascii="Times New Roman" w:hAnsi="Times New Roman"/>
          <w:color w:val="000000"/>
          <w:sz w:val="24"/>
        </w:rPr>
        <w:t xml:space="preserve"> of this </w:t>
      </w:r>
      <w:r>
        <w:rPr>
          <w:rFonts w:ascii="Times New Roman" w:hAnsi="Times New Roman"/>
          <w:b/>
          <w:color w:val="000000"/>
          <w:sz w:val="24"/>
        </w:rPr>
        <w:t>Section 8.02(A)</w:t>
      </w:r>
      <w:r>
        <w:rPr>
          <w:rFonts w:ascii="Times New Roman" w:hAnsi="Times New Roman"/>
          <w:color w:val="000000"/>
          <w:sz w:val="24"/>
        </w:rPr>
        <w:t>, no amendment or supplement to this Indenture or the Notes, or waiver of any provision of this Indenture or the Notes, may (except as expressly provided otherwise in this Indenture or the Notes) change the type or reduce the amount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Holders Need Not Approve the Particular Form of any Amendment</w:t>
      </w:r>
      <w:r>
        <w:rPr>
          <w:rFonts w:ascii="Times New Roman" w:hAnsi="Times New Roman"/>
          <w:color w:val="000000"/>
          <w:sz w:val="24"/>
        </w:rPr>
        <w:t xml:space="preserve">. A consent of any Holder pursuant to this </w:t>
      </w:r>
      <w:r>
        <w:rPr>
          <w:rFonts w:ascii="Times New Roman" w:hAnsi="Times New Roman"/>
          <w:b/>
          <w:color w:val="000000"/>
          <w:sz w:val="24"/>
        </w:rPr>
        <w:t>Section 8.02</w:t>
      </w:r>
      <w:r>
        <w:rPr>
          <w:rFonts w:ascii="Times New Roman" w:hAnsi="Times New Roman"/>
          <w:color w:val="000000"/>
          <w:sz w:val="24"/>
        </w:rPr>
        <w:t xml:space="preserve"> need approve only the substance, and not necessarily the particular form, of the proposed amendment, supplement or waiver.</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8.03.  Notice of Amendments, Supplements and Waivers.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As soon as reasonably practicable after any amendment, supplement or waiver pursuant to </w:t>
      </w:r>
      <w:r>
        <w:rPr>
          <w:rFonts w:ascii="Times New Roman" w:hAnsi="Times New Roman"/>
          <w:b/>
          <w:color w:val="000000"/>
          <w:sz w:val="24"/>
        </w:rPr>
        <w:t>Section</w:t>
      </w:r>
      <w:r>
        <w:rPr>
          <w:rFonts w:ascii="Times New Roman" w:hAnsi="Times New Roman"/>
          <w:color w:val="000000"/>
          <w:sz w:val="24"/>
        </w:rPr>
        <w:t> </w:t>
      </w:r>
      <w:r>
        <w:rPr>
          <w:rFonts w:ascii="Times New Roman" w:hAnsi="Times New Roman"/>
          <w:b/>
          <w:color w:val="000000"/>
          <w:sz w:val="24"/>
        </w:rPr>
        <w:t>8.01</w:t>
      </w:r>
      <w:r>
        <w:rPr>
          <w:rFonts w:ascii="Times New Roman" w:hAnsi="Times New Roman"/>
          <w:color w:val="000000"/>
          <w:sz w:val="24"/>
        </w:rPr>
        <w:t xml:space="preserve"> or </w:t>
      </w:r>
      <w:r>
        <w:rPr>
          <w:rFonts w:ascii="Times New Roman" w:hAnsi="Times New Roman"/>
          <w:b/>
          <w:color w:val="000000"/>
          <w:sz w:val="24"/>
        </w:rPr>
        <w:t>8.02</w:t>
      </w:r>
      <w:r>
        <w:rPr>
          <w:rFonts w:ascii="Times New Roman" w:hAnsi="Times New Roman"/>
          <w:color w:val="000000"/>
          <w:sz w:val="24"/>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8.04.  Revocation, Effect and Solicitation of Consents; Special Record Dates; Etc.</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Revocation and Effect of Consents</w:t>
      </w:r>
      <w:r>
        <w:rPr>
          <w:rFonts w:ascii="Times New Roman" w:hAnsi="Times New Roman"/>
          <w:color w:val="000000"/>
          <w:sz w:val="24"/>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hAnsi="Times New Roman"/>
          <w:b/>
          <w:color w:val="000000"/>
          <w:sz w:val="24"/>
        </w:rPr>
        <w:t>Section 8.04(B)</w:t>
      </w:r>
      <w:r>
        <w:rPr>
          <w:rFonts w:ascii="Times New Roman" w:hAnsi="Times New Roman"/>
          <w:color w:val="000000"/>
          <w:sz w:val="24"/>
        </w:rPr>
        <w:t>) any such consent with respect to such Note by delivering notice of revocation to the Trustee before the time such amendment, supplement or waiver becomes effective.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Special Record Dates</w:t>
      </w:r>
      <w:r>
        <w:rPr>
          <w:rFonts w:ascii="Times New Roman" w:hAnsi="Times New Roman"/>
          <w:color w:val="000000"/>
          <w:sz w:val="24"/>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 w:hAnsi="Times New Roman"/>
          <w:b/>
          <w:color w:val="000000"/>
          <w:sz w:val="24"/>
        </w:rPr>
        <w:t>Article 8</w:t>
      </w:r>
      <w:r>
        <w:rPr>
          <w:rFonts w:ascii="Times New Roman" w:hAnsi="Times New Roman"/>
          <w:color w:val="000000"/>
          <w:sz w:val="24"/>
        </w:rPr>
        <w:t xml:space="preserve">. If a record date is fixed, then, notwithstanding anything to the contrary in </w:t>
      </w:r>
      <w:r>
        <w:rPr>
          <w:rFonts w:ascii="Times New Roman" w:hAnsi="Times New Roman"/>
          <w:b/>
          <w:color w:val="000000"/>
          <w:sz w:val="24"/>
        </w:rPr>
        <w:t>Section 8.04(A)</w:t>
      </w:r>
      <w:r>
        <w:rPr>
          <w:rFonts w:ascii="Times New Roman" w:hAnsi="Times New Roman"/>
          <w:color w:val="000000"/>
          <w:sz w:val="24"/>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consent will be valid or effective for more than one hundred and twenty (120) calendar days after such record date.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- 80 -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Solicitation of Consents</w:t>
      </w:r>
      <w:r>
        <w:rPr>
          <w:rFonts w:ascii="Times New Roman" w:hAnsi="Times New Roman"/>
          <w:color w:val="000000"/>
          <w:sz w:val="24"/>
        </w:rPr>
        <w:t>. For the avoidance of doubt, each reference in this Indenture or the Notes to the consent of a Holder will be deemed to include any such consent obtained in connection with a repurchase of, or tender or exchange offer for, any Notes.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Effectiveness and Binding Effect</w:t>
      </w:r>
      <w:r>
        <w:rPr>
          <w:rFonts w:ascii="Times New Roman" w:hAnsi="Times New Roman"/>
          <w:color w:val="000000"/>
          <w:sz w:val="24"/>
        </w:rPr>
        <w:t xml:space="preserve">. Each amendment, supplement or waiver pursuant to this </w:t>
      </w:r>
      <w:r>
        <w:rPr>
          <w:rFonts w:ascii="Times New Roman" w:hAnsi="Times New Roman"/>
          <w:b/>
          <w:color w:val="000000"/>
          <w:sz w:val="24"/>
        </w:rPr>
        <w:t>Article 8</w:t>
      </w:r>
      <w:r>
        <w:rPr>
          <w:rFonts w:ascii="Times New Roman" w:hAnsi="Times New Roman"/>
          <w:color w:val="000000"/>
          <w:sz w:val="24"/>
        </w:rPr>
        <w:t xml:space="preserve"> will become effective in accordance with its terms and, when it becomes effective with respect to any Note (or any portion thereof), will thereafter bind every Holder of such Note (or such portion).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8.05.  Notations and Exchanges.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hAnsi="Times New Roman"/>
          <w:b/>
          <w:color w:val="000000"/>
          <w:sz w:val="24"/>
        </w:rPr>
        <w:t>Section 2.02</w:t>
      </w:r>
      <w:r>
        <w:rPr>
          <w:rFonts w:ascii="Times New Roman" w:hAnsi="Times New Roman"/>
          <w:color w:val="000000"/>
          <w:sz w:val="24"/>
        </w:rPr>
        <w:t xml:space="preserve">, a new Note that reflects the changed terms. The failure to make any appropriate notation or issue a new Note pursuant to this </w:t>
      </w:r>
      <w:r>
        <w:rPr>
          <w:rFonts w:ascii="Times New Roman" w:hAnsi="Times New Roman"/>
          <w:b/>
          <w:color w:val="000000"/>
          <w:sz w:val="24"/>
        </w:rPr>
        <w:t>Section 8.05</w:t>
      </w:r>
      <w:r>
        <w:rPr>
          <w:rFonts w:ascii="Times New Roman" w:hAnsi="Times New Roman"/>
          <w:color w:val="000000"/>
          <w:sz w:val="24"/>
        </w:rPr>
        <w:t xml:space="preserve"> will not impair or affect the validity of such amendment, supplement or waiver.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8.06.  Trustee to Execute Supplemental Indentures.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will execute and deliver any amendment or supplemental indenture authorized pursuant to this </w:t>
      </w:r>
      <w:r>
        <w:rPr>
          <w:rFonts w:ascii="Times New Roman" w:hAnsi="Times New Roman"/>
          <w:b/>
          <w:color w:val="000000"/>
          <w:sz w:val="24"/>
        </w:rPr>
        <w:t>Article 8</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hAnsi="Times New Roman"/>
          <w:b/>
          <w:color w:val="000000"/>
          <w:sz w:val="24"/>
        </w:rPr>
        <w:t>Sections</w:t>
      </w:r>
      <w:r>
        <w:rPr>
          <w:rFonts w:ascii="Times New Roman" w:hAnsi="Times New Roman"/>
          <w:color w:val="000000"/>
          <w:sz w:val="24"/>
        </w:rPr>
        <w:t> </w:t>
      </w:r>
      <w:r>
        <w:rPr>
          <w:rFonts w:ascii="Times New Roman" w:hAnsi="Times New Roman"/>
          <w:b/>
          <w:color w:val="000000"/>
          <w:sz w:val="24"/>
        </w:rPr>
        <w:t>10.01</w:t>
      </w:r>
      <w:r>
        <w:rPr>
          <w:rFonts w:ascii="Times New Roman" w:hAnsi="Times New Roman"/>
          <w:color w:val="000000"/>
          <w:sz w:val="24"/>
        </w:rPr>
        <w:t xml:space="preserve"> and </w:t>
      </w:r>
      <w:r>
        <w:rPr>
          <w:rFonts w:ascii="Times New Roman" w:hAnsi="Times New Roman"/>
          <w:b/>
          <w:color w:val="000000"/>
          <w:sz w:val="24"/>
        </w:rPr>
        <w:t>10.02</w:t>
      </w:r>
      <w:r>
        <w:rPr>
          <w:rFonts w:ascii="Times New Roman" w:hAnsi="Times New Roman"/>
          <w:color w:val="000000"/>
          <w:sz w:val="24"/>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9.  SATISFACTION AND DISCHARGE</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9.01.  Termination of Company’s Obligations.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This Indenture will be discharged, and will cease to be of further effect as to all Notes issued under this Indenture, when: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all Notes then outstanding (other than Notes replaced pursuant to </w:t>
      </w:r>
      <w:r>
        <w:rPr>
          <w:rFonts w:ascii="Times New Roman" w:hAnsi="Times New Roman"/>
          <w:b/>
          <w:color w:val="000000"/>
          <w:sz w:val="24"/>
        </w:rPr>
        <w:t>Section 2.13</w:t>
      </w:r>
      <w:r>
        <w:rPr>
          <w:rFonts w:ascii="Times New Roman" w:hAnsi="Times New Roman"/>
          <w:color w:val="000000"/>
          <w:sz w:val="24"/>
        </w:rPr>
        <w:t>)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- 81 -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(including, if applicable, all related Additional Amounts) due on all Notes then outstanding (other than Notes replaced pursuant to </w:t>
      </w:r>
      <w:r>
        <w:rPr>
          <w:rFonts w:ascii="Times New Roman" w:hAnsi="Times New Roman"/>
          <w:b/>
          <w:color w:val="000000"/>
          <w:sz w:val="24"/>
        </w:rPr>
        <w:t>Section 2.13</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Company has paid all other amounts payable by it under this Indenture; and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Company has delivered to the Trustee an Officer’s Certificate and an Opinion of Counsel, each stating that the conditions precedent to the discharge of this Indenture have been satisfied;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jc w:val="both"/>
        <w:rPr>
          <w:rFonts w:ascii="Times New Roman;serif" w:hAnsi="Times New Roman;serif"/>
          <w:color w:val="000000"/>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w:t>
      </w:r>
      <w:r>
        <w:rPr>
          <w:rFonts w:ascii="Times New Roman" w:hAnsi="Times New Roman"/>
          <w:b/>
          <w:color w:val="000000"/>
          <w:sz w:val="24"/>
        </w:rPr>
        <w:t>Article 10</w:t>
      </w:r>
      <w:r>
        <w:rPr>
          <w:rFonts w:ascii="Times New Roman" w:hAnsi="Times New Roman"/>
          <w:color w:val="000000"/>
          <w:sz w:val="24"/>
        </w:rPr>
        <w:t xml:space="preserve"> and </w:t>
      </w:r>
      <w:r>
        <w:rPr>
          <w:rFonts w:ascii="Times New Roman" w:hAnsi="Times New Roman"/>
          <w:b/>
          <w:color w:val="000000"/>
          <w:sz w:val="24"/>
        </w:rPr>
        <w:t>Section 11.01</w:t>
      </w:r>
      <w:r>
        <w:rPr>
          <w:rFonts w:ascii="Times New Roman" w:hAnsi="Times New Roman"/>
          <w:color w:val="000000"/>
          <w:sz w:val="24"/>
        </w:rPr>
        <w:t xml:space="preserve"> will survive such discharge and, until no Notes remain outstanding, </w:t>
      </w:r>
      <w:r>
        <w:rPr>
          <w:rFonts w:ascii="Times New Roman" w:hAnsi="Times New Roman"/>
          <w:b/>
          <w:color w:val="000000"/>
          <w:sz w:val="24"/>
        </w:rPr>
        <w:t>Section 2.15</w:t>
      </w:r>
      <w:r>
        <w:rPr>
          <w:rFonts w:ascii="Times New Roman" w:hAnsi="Times New Roman"/>
          <w:color w:val="000000"/>
          <w:sz w:val="24"/>
        </w:rPr>
        <w:t xml:space="preserve"> and the obligations of the Trustee, the Paying Agent and the Conversion Agent with respect to money or other property deposited with them will survive such discharge.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At the Company’s request, the Trustee will acknowledge the satisfaction and discharge of this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9.02.  Repayment to Company.</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9.03.  Reinstatement.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the Trustee, the Paying Agent or the Conversion Agent is unable to apply any cash or other property deposited with it pursuant to </w:t>
      </w:r>
      <w:r>
        <w:rPr>
          <w:rFonts w:ascii="Times New Roman" w:hAnsi="Times New Roman"/>
          <w:b/>
          <w:color w:val="000000"/>
          <w:sz w:val="24"/>
        </w:rPr>
        <w:t>Section 9.01</w:t>
      </w:r>
      <w:r>
        <w:rPr>
          <w:rFonts w:ascii="Times New Roman" w:hAnsi="Times New Roman"/>
          <w:color w:val="000000"/>
          <w:sz w:val="24"/>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hAnsi="Times New Roman"/>
          <w:b/>
          <w:color w:val="000000"/>
          <w:sz w:val="24"/>
        </w:rPr>
        <w:t>Section 9.01</w:t>
      </w:r>
      <w:r>
        <w:rPr>
          <w:rFonts w:ascii="Times New Roman" w:hAnsi="Times New Roman"/>
          <w:color w:val="000000"/>
          <w:sz w:val="24"/>
        </w:rPr>
        <w:t xml:space="preserve"> will be rescinded;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- 82 -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10.  TRUSTEE</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10.01.  Duties of the Trustee.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If an Event of Default has occurred and is continuing, and a Responsible Officer of the Trustee has written notice or actual knowledge of the same, then, without limiting the generality of </w:t>
      </w:r>
      <w:r>
        <w:rPr>
          <w:rFonts w:ascii="Times New Roman" w:hAnsi="Times New Roman"/>
          <w:b/>
          <w:color w:val="000000"/>
          <w:sz w:val="24"/>
        </w:rPr>
        <w:t>Section 10.02(F)</w:t>
      </w:r>
      <w:r>
        <w:rPr>
          <w:rFonts w:ascii="Times New Roman" w:hAnsi="Times New Roman"/>
          <w:color w:val="000000"/>
          <w:sz w:val="24"/>
        </w:rPr>
        <w:t>, the Trustee will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Except during the continuance of an Event of Default: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Trustee will examine the certificates and opinions to determine whether or not they conform to the requirements of this Indenture.</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Trustee may not be relieved from liabilities for its negligence or willful misconduct, except that: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this paragraph will not limit the effect of </w:t>
      </w:r>
      <w:r>
        <w:rPr>
          <w:rFonts w:ascii="Times New Roman" w:hAnsi="Times New Roman"/>
          <w:b/>
          <w:color w:val="000000"/>
          <w:sz w:val="24"/>
        </w:rPr>
        <w:t>Section 10.01(B)</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Trustee will not be liable for any error of judgment made in good faith by a Responsible Officer, unless it is proved that the Trustee was negligent in ascertaining the pertinent facts; and</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the Trustee will not be liable with respect to any action it takes or omits to take in good faith in accordance with a direction received by it pursuant to </w:t>
      </w:r>
      <w:r>
        <w:rPr>
          <w:rFonts w:ascii="Times New Roman" w:hAnsi="Times New Roman"/>
          <w:b/>
          <w:color w:val="000000"/>
          <w:sz w:val="24"/>
        </w:rPr>
        <w:t>Section 7.06</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No provision of this Indenture will require the Trustee to expend or risk its own funds or incur any liability.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The Trustee will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The Trustee will not be liable in its individual capacity for the obligations evidenced by the Notes.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 xml:space="preserve">Each provision of this Indenture that in any way relates to the Trustee (including any provision that affects the liability of, or affords protection to, the Trustee) is subject to this </w:t>
      </w:r>
      <w:r>
        <w:rPr>
          <w:rFonts w:ascii="Times New Roman" w:hAnsi="Times New Roman"/>
          <w:b/>
          <w:color w:val="000000"/>
          <w:sz w:val="24"/>
        </w:rPr>
        <w:t>Section 10.01</w:t>
      </w:r>
      <w:r>
        <w:rPr>
          <w:rFonts w:ascii="Times New Roman" w:hAnsi="Times New Roman"/>
          <w:color w:val="000000"/>
          <w:sz w:val="24"/>
        </w:rPr>
        <w:t>, regardless of whether such provision so expressly provides.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- 83 -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10.02.  Rights of the Trustee.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Trustee may conclusively rely on any document that it believes to be genuine and signed or presented by the proper Person, and the Trustee need not investigate any fact or matter stated in such document.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Trustee may act through its attorneys and agents and will not be responsible for the misconduct or negligence of any such agent appointed with due care.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 Trustee will not be liable for any action it takes or omits to take in good faith and that it believes to be authorized or within the rights or powers vested in it by this Indenture.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Unless otherwise specifically provided in this Indenture, any demand, request, direction or notice from the Company will be sufficient if signed by an Officer of the Company.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The Trustee will not be responsible or liable for any punitive, special, indirect or consequential loss or damage (including lost profits), even if the Trustee has been advised of the likelihood of such loss or damage and regardless of the form of action.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The permissive rights of the Trustee set forth in this Indenture will not be construed as duties imposed on the Trustee.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Trustee will not be required to give any bond or surety in respect of the execution or performance of this Indenture or otherwise.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rPr>
        <w:t>Unless a Responsible Officer of the Trustee has received notice from the Company that Additional Amounts, Additional Interest or Special Interest is owing or, if applicable, accruing, on the Notes, the Trustee may assume that no Additional Amounts, Additional Interest or Special Interest, as applicable, is payable or, if applicable, accruing.</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rPr>
        <w:t>The rights, privileges, protections, immunities and benefits given to the Trustee, including its right to be indemnified, are extended to, and will be enforceable by, the Trustee in each of its capacities under this Indenture, including as Note Agent.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- 84 -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The Trustee will not be charged with knowledge of any document or agreement other than this Indenture and the Notes.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10.03.  Individual Rights of the Trustee.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hAnsi="Times New Roman"/>
          <w:b/>
          <w:color w:val="000000"/>
          <w:sz w:val="24"/>
        </w:rPr>
        <w:t>Section 10.03</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10.04.  Trustee’s Disclaimer.</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10.05.  Notice of Defaults.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except in the case of a Default or Event of Default in the payment of the principal of, or interest on, any Note, the Trustee may withhold such notice if and for so long as it in good faith determines that withholding such notice is in the interests of the Holders. The Trustee will not be deemed to have notice or be charged with knowledge of any Default or Event of Default unless (A) written notice thereof has been received by a Responsible Officer; and (B) such notice references the Notes and this Indenture and states on its face that a Default or Event of Default has occurred. For the avoidance of doubt, the Trustee will not be required to deliver such notice at any time after such Default or Event of Default is cured or waived.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- 85 -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10.06.  Compensation and Indemnity.</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 Company will, from time to time, pay the Trustee reasonable compensation for its acceptance of this Indenture and services under this Indenture as separately agreed to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Company will indemnify the Trustee (in each of its capacities under this Indenture)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hAnsi="Times New Roman"/>
          <w:b/>
          <w:color w:val="000000"/>
          <w:sz w:val="24"/>
        </w:rPr>
        <w:t>Section 10.06</w:t>
      </w:r>
      <w:r>
        <w:rPr>
          <w:rFonts w:ascii="Times New Roman" w:hAnsi="Times New Roman"/>
          <w:color w:val="000000"/>
          <w:sz w:val="24"/>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hAnsi="Times New Roman"/>
          <w:b/>
          <w:color w:val="000000"/>
          <w:sz w:val="24"/>
        </w:rPr>
        <w:t>Section 10.06(B)</w:t>
      </w:r>
      <w:r>
        <w:rPr>
          <w:rFonts w:ascii="Times New Roman" w:hAnsi="Times New Roman"/>
          <w:color w:val="000000"/>
          <w:sz w:val="24"/>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The obligations of the Company under this </w:t>
      </w:r>
      <w:r>
        <w:rPr>
          <w:rFonts w:ascii="Times New Roman" w:hAnsi="Times New Roman"/>
          <w:b/>
          <w:color w:val="000000"/>
          <w:sz w:val="24"/>
        </w:rPr>
        <w:t>Section 10.06</w:t>
      </w:r>
      <w:r>
        <w:rPr>
          <w:rFonts w:ascii="Times New Roman" w:hAnsi="Times New Roman"/>
          <w:color w:val="000000"/>
          <w:sz w:val="24"/>
        </w:rPr>
        <w:t xml:space="preserve"> will survive the resignation or removal of the Trustee and the discharge of this Indenture.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To secure the Company’s payment obligations in this </w:t>
      </w:r>
      <w:r>
        <w:rPr>
          <w:rFonts w:ascii="Times New Roman" w:hAnsi="Times New Roman"/>
          <w:b/>
          <w:color w:val="000000"/>
          <w:sz w:val="24"/>
        </w:rPr>
        <w:t>Section 10.06</w:t>
      </w:r>
      <w:r>
        <w:rPr>
          <w:rFonts w:ascii="Times New Roman" w:hAnsi="Times New Roman"/>
          <w:color w:val="000000"/>
          <w:sz w:val="24"/>
        </w:rPr>
        <w:t>, the Trustee will have a lien prior to the Notes on all money or property held or collected by the Trustee, except that held in trust to pay principal of, or interest on, particular Notes, which lien will survive the discharge of this Indenture.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If the Trustee incurs expenses or renders services after an Event of Default pursuant to </w:t>
      </w:r>
      <w:r>
        <w:rPr>
          <w:rFonts w:ascii="Times New Roman" w:hAnsi="Times New Roman"/>
          <w:b/>
          <w:color w:val="000000"/>
          <w:sz w:val="24"/>
        </w:rPr>
        <w:t>clause</w:t>
      </w:r>
      <w:r>
        <w:rPr>
          <w:rFonts w:ascii="Times New Roman" w:hAnsi="Times New Roman"/>
          <w:color w:val="000000"/>
          <w:sz w:val="24"/>
        </w:rPr>
        <w:t> </w:t>
      </w:r>
      <w:r>
        <w:rPr>
          <w:rFonts w:ascii="Times New Roman" w:hAnsi="Times New Roman"/>
          <w:b/>
          <w:color w:val="000000"/>
          <w:sz w:val="24"/>
        </w:rPr>
        <w:t>(viii)</w:t>
      </w:r>
      <w:r>
        <w:rPr>
          <w:rFonts w:ascii="Times New Roman" w:hAnsi="Times New Roman"/>
          <w:color w:val="000000"/>
          <w:sz w:val="24"/>
        </w:rPr>
        <w:t xml:space="preserve"> or </w:t>
      </w:r>
      <w:r>
        <w:rPr>
          <w:rFonts w:ascii="Times New Roman" w:hAnsi="Times New Roman"/>
          <w:b/>
          <w:color w:val="000000"/>
          <w:sz w:val="24"/>
        </w:rPr>
        <w:t>(ix)</w:t>
      </w:r>
      <w:r>
        <w:rPr>
          <w:rFonts w:ascii="Times New Roman" w:hAnsi="Times New Roman"/>
          <w:color w:val="000000"/>
          <w:sz w:val="24"/>
        </w:rPr>
        <w:t xml:space="preserve"> of </w:t>
      </w:r>
      <w:r>
        <w:rPr>
          <w:rFonts w:ascii="Times New Roman" w:hAnsi="Times New Roman"/>
          <w:b/>
          <w:color w:val="000000"/>
          <w:sz w:val="24"/>
        </w:rPr>
        <w:t>Section 7.01(A)</w:t>
      </w:r>
      <w:r>
        <w:rPr>
          <w:rFonts w:ascii="Times New Roman" w:hAnsi="Times New Roman"/>
          <w:color w:val="000000"/>
          <w:sz w:val="24"/>
        </w:rPr>
        <w:t xml:space="preserve"> occurs, then such expenses and the compensation for such services (including the fees and expenses of its agents and counsel) are intended to constitute expenses of administration under any Bankruptcy Law.</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10.07.  Replacement of the Trustee.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Notwithstanding anything to the contrary in this </w:t>
      </w:r>
      <w:r>
        <w:rPr>
          <w:rFonts w:ascii="Times New Roman" w:hAnsi="Times New Roman"/>
          <w:b/>
          <w:color w:val="000000"/>
          <w:sz w:val="24"/>
        </w:rPr>
        <w:t>Section 10.07</w:t>
      </w:r>
      <w:r>
        <w:rPr>
          <w:rFonts w:ascii="Times New Roman" w:hAnsi="Times New Roman"/>
          <w:color w:val="000000"/>
          <w:sz w:val="24"/>
        </w:rPr>
        <w:t xml:space="preserve">, a resignation or removal of the Trustee, and the appointment of a successor Trustee, will become effective only upon such successor Trustee’s acceptance of appointment as provided in this </w:t>
      </w:r>
      <w:r>
        <w:rPr>
          <w:rFonts w:ascii="Times New Roman" w:hAnsi="Times New Roman"/>
          <w:b/>
          <w:color w:val="000000"/>
          <w:sz w:val="24"/>
        </w:rPr>
        <w:t>Section 10.07</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- 86 -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the Trustee fails to comply with </w:t>
      </w:r>
      <w:r>
        <w:rPr>
          <w:rFonts w:ascii="Times New Roman" w:hAnsi="Times New Roman"/>
          <w:b/>
          <w:color w:val="000000"/>
          <w:sz w:val="24"/>
        </w:rPr>
        <w:t>Section 10.09</w:t>
      </w:r>
      <w:r>
        <w:rPr>
          <w:rFonts w:ascii="Times New Roman" w:hAnsi="Times New Roman"/>
          <w:color w:val="000000"/>
          <w:sz w:val="24"/>
        </w:rPr>
        <w:t>;</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Trustee is adjudged to be bankrupt or insolvent or an order for relief is entered with respect to the Trustee under any Bankruptcy Law;</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a custodian or public officer takes charge of the Trustee or its property; or</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Trustee becomes incapable of acting.</w:t>
      </w:r>
    </w:p>
    <w:p>
      <w:pPr>
        <w:pStyle w:val="TextBody"/>
        <w:bidi w:val="0"/>
        <w:spacing w:before="0" w:after="0"/>
        <w:ind w:left="72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If the Trustee, after written request by a Holder of at least six (6) months, fails to comply with </w:t>
      </w:r>
      <w:r>
        <w:rPr>
          <w:rFonts w:ascii="Times New Roman" w:hAnsi="Times New Roman"/>
          <w:b/>
          <w:color w:val="000000"/>
          <w:sz w:val="24"/>
        </w:rPr>
        <w:t>Section 10.09</w:t>
      </w:r>
      <w:r>
        <w:rPr>
          <w:rFonts w:ascii="Times New Roman" w:hAnsi="Times New Roman"/>
          <w:color w:val="000000"/>
          <w:sz w:val="24"/>
        </w:rPr>
        <w:t>, then such Holder may petition any court of competent jurisdiction for the removal of the Trustee and the appointment of a successor Trustee.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hAnsi="Times New Roman"/>
          <w:b/>
          <w:color w:val="000000"/>
          <w:sz w:val="24"/>
        </w:rPr>
        <w:t>Section 10.06(D)</w:t>
      </w:r>
      <w:r>
        <w:rPr>
          <w:rFonts w:ascii="Times New Roman" w:hAnsi="Times New Roman"/>
          <w:color w:val="000000"/>
          <w:sz w:val="24"/>
        </w:rPr>
        <w:t>.</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10.08.  Successor Trustee by Merger, Etc.</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hAnsi="Times New Roman"/>
          <w:i/>
          <w:color w:val="000000"/>
          <w:sz w:val="24"/>
        </w:rPr>
        <w:t>provided</w:t>
      </w:r>
      <w:r>
        <w:rPr>
          <w:rFonts w:ascii="Times New Roman" w:hAnsi="Times New Roman"/>
          <w:color w:val="000000"/>
          <w:sz w:val="24"/>
        </w:rPr>
        <w:t xml:space="preserve"> that such entity is otherwise qualified and eligible to act as such under this </w:t>
      </w:r>
      <w:r>
        <w:rPr>
          <w:rFonts w:ascii="Times New Roman" w:hAnsi="Times New Roman"/>
          <w:b/>
          <w:color w:val="000000"/>
          <w:sz w:val="24"/>
        </w:rPr>
        <w:t>Article 10</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- 87 -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10.09.  Eligibility; Disqualification.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Article 11.  MISCELLANEOUS</w:t>
      </w:r>
    </w:p>
    <w:p>
      <w:pPr>
        <w:pStyle w:val="TextBody"/>
        <w:bidi w:val="0"/>
        <w:spacing w:before="0" w:after="0"/>
        <w:jc w:val="center"/>
        <w:rPr>
          <w:rFonts w:ascii="Times New Roman" w:hAnsi="Times New Roman"/>
          <w:b/>
          <w:sz w:val="24"/>
        </w:rPr>
      </w:pPr>
      <w:r>
        <w:rPr>
          <w:rFonts w:ascii="Times New Roman" w:hAnsi="Times New Roman"/>
          <w:b/>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11.01.  Notices.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to the Company:</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Level 6, 55 Market Street</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Sydney, NSW 2000 Australia</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Attention: [***]</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with a copy (which will not constitute notice) to:</w:t>
      </w:r>
    </w:p>
    <w:p>
      <w:pPr>
        <w:pStyle w:val="TextBody"/>
        <w:bidi w:val="0"/>
        <w:spacing w:before="0" w:after="0"/>
        <w:ind w:left="1440" w:right="0" w:hanging="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Davis Polk &amp; Wardwell LLP</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450 Lexington Avenue</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New York, NY 10017</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Attention: Mark J. DiFiore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If to the Trustee:</w:t>
      </w:r>
    </w:p>
    <w:p>
      <w:pPr>
        <w:pStyle w:val="TextBody"/>
        <w:bidi w:val="0"/>
        <w:spacing w:before="0" w:after="0"/>
        <w:ind w:left="720" w:right="0" w:hanging="0"/>
        <w:jc w:val="both"/>
        <w:rPr>
          <w:rFonts w:ascii="Times New Roman" w:hAnsi="Times New Roman"/>
          <w:sz w:val="24"/>
        </w:rPr>
      </w:pPr>
      <w:r>
        <w:rPr>
          <w:rFonts w:ascii="Times New Roman" w:hAnsi="Times New Roman"/>
          <w:sz w:val="24"/>
        </w:rPr>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U.S. Bank Trust Company, National Association</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633 West 5th Street, 24th Floor</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Los Angeles, California 90071</w:t>
      </w:r>
    </w:p>
    <w:p>
      <w:pPr>
        <w:pStyle w:val="TextBody"/>
        <w:bidi w:val="0"/>
        <w:spacing w:before="0" w:after="0"/>
        <w:ind w:left="1440" w:right="0" w:hanging="0"/>
        <w:jc w:val="both"/>
        <w:rPr>
          <w:rFonts w:ascii="Times New Roman" w:hAnsi="Times New Roman"/>
          <w:color w:val="000000"/>
          <w:sz w:val="24"/>
        </w:rPr>
      </w:pPr>
      <w:r>
        <w:rPr>
          <w:rFonts w:ascii="Times New Roman" w:hAnsi="Times New Roman"/>
          <w:color w:val="000000"/>
          <w:sz w:val="24"/>
        </w:rPr>
        <w:t>Attention: B. Scarbrough (IREN Limited Administrator)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Notwithstanding anything to the contrary in the preceding paragraph, notices to the Trustee (other than a notice pursuant to </w:t>
      </w:r>
      <w:r>
        <w:rPr>
          <w:rFonts w:ascii="Times New Roman" w:hAnsi="Times New Roman"/>
          <w:b/>
          <w:color w:val="000000"/>
          <w:sz w:val="24"/>
        </w:rPr>
        <w:t>Section 2.12</w:t>
      </w:r>
      <w:r>
        <w:rPr>
          <w:rFonts w:ascii="Times New Roman" w:hAnsi="Times New Roman"/>
          <w:color w:val="000000"/>
          <w:sz w:val="24"/>
        </w:rPr>
        <w:t>) or any Note Agent must be in writing and will be deemed to have been given upon actual receipt by the Trustee or such Note Agent, as applicable.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or the Trustee, by notice to the other, may designate additional or different addresses (including facsimile numbers and electronic addresses) for subsequent notices or communications.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- 88 -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hAnsi="Times New Roman"/>
          <w:i/>
          <w:color w:val="000000"/>
          <w:sz w:val="24"/>
        </w:rPr>
        <w:t>provided</w:t>
      </w:r>
      <w:r>
        <w:rPr>
          <w:rFonts w:ascii="Times New Roman" w:hAnsi="Times New Roman"/>
          <w:color w:val="000000"/>
          <w:sz w:val="24"/>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a notice or communication is mailed or sent in the manner provided above within the time prescribed, it will be deemed to have been duly given, whether or not the addressee receives it.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for purposes of the interpretation of this Indenture, such notice will be deemed to have been duly sent at the time otherwise required by this Indenture); and (B) whenever any provision of this Indenture requires a party to send notice to more than one receiving party, and each receiving party is the same Person acting in different capacities, then only one such notice need be sent to such Person.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- 89 -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11.02.  Delivery of Officer’s Certificate and Opinion of Counsel as to Conditions Precedent.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Upon any request or application by the Company to the Trustee to take any action under this Indenture (other than the initial authentication of Notes under this Indenture), the Company will furnish to the Trustee: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an Officer’s Certificate that complies with </w:t>
      </w:r>
      <w:r>
        <w:rPr>
          <w:rFonts w:ascii="Times New Roman" w:hAnsi="Times New Roman"/>
          <w:b/>
          <w:color w:val="000000"/>
          <w:sz w:val="24"/>
        </w:rPr>
        <w:t>Section 11.03</w:t>
      </w:r>
      <w:r>
        <w:rPr>
          <w:rFonts w:ascii="Times New Roman" w:hAnsi="Times New Roman"/>
          <w:color w:val="000000"/>
          <w:sz w:val="24"/>
        </w:rPr>
        <w:t xml:space="preserve"> and states that, in the opinion of the signatory thereto, all conditions precedent and covenants, if any, provided for in this Indenture relating to such action have been satisfied; and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an Opinion of Counsel that complies with </w:t>
      </w:r>
      <w:r>
        <w:rPr>
          <w:rFonts w:ascii="Times New Roman" w:hAnsi="Times New Roman"/>
          <w:b/>
          <w:color w:val="000000"/>
          <w:sz w:val="24"/>
        </w:rPr>
        <w:t>Section 11.03</w:t>
      </w:r>
      <w:r>
        <w:rPr>
          <w:rFonts w:ascii="Times New Roman" w:hAnsi="Times New Roman"/>
          <w:color w:val="000000"/>
          <w:sz w:val="24"/>
        </w:rPr>
        <w:t xml:space="preserve"> and states that, in the opinion of such counsel, all such conditions precedent and covenants, if any, have been satisfied.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11.03.  Statements Required in Officer’s Certificate and Opinion of Counsel.</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Each Officer’s Certificate (other than an Officer’s Certificate pursuant to </w:t>
      </w:r>
      <w:r>
        <w:rPr>
          <w:rFonts w:ascii="Times New Roman" w:hAnsi="Times New Roman"/>
          <w:b/>
          <w:color w:val="000000"/>
          <w:sz w:val="24"/>
        </w:rPr>
        <w:t>Section 3.06</w:t>
      </w:r>
      <w:r>
        <w:rPr>
          <w:rFonts w:ascii="Times New Roman" w:hAnsi="Times New Roman"/>
          <w:color w:val="000000"/>
          <w:sz w:val="24"/>
        </w:rPr>
        <w:t>) or Opinion of Counsel with respect to compliance with a covenant or condition provided for in this Indenture will include:</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 statement that the signatory thereto has read such covenant or condition;</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brief statement as to the nature and scope of the examination or investigation upon which the statements or opinions contained therein are based;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 statement that, in the opinion of such signatory, he, she or it has made such examination or investigation as is necessary to enable him, her or it to express an informed opinion as to whether or not such covenant or condition has been satisfied; and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a statement as to whether, in the opinion of such signatory, such covenant or condition has been satisfied.</w:t>
      </w:r>
    </w:p>
    <w:p>
      <w:pPr>
        <w:pStyle w:val="TextBody"/>
        <w:bidi w:val="0"/>
        <w:spacing w:before="0" w:after="0"/>
        <w:ind w:left="0" w:right="0" w:firstLine="720"/>
        <w:jc w:val="both"/>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11.04.  Rules by the Trustee, the Registrar, the Paying Agent and the Conversion Agent.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may make reasonable rules for action by or at a meeting of Holders. Each of the Registrar, the Paying Agent and the Conversion Agent may make reasonable rules and set reasonable requirements for its functions.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11.05.  No Personal Liability of Directors, Officers, Employees and Shareholders.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No past, present or future director, officer, employee, incorporator or shareholder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- 90 -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11.06.  Governing Law; Waiver of Jury Trial.</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11.07.  Submission to Jurisdiction.</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hAnsi="Times New Roman"/>
          <w:b/>
          <w:color w:val="000000"/>
          <w:sz w:val="24"/>
        </w:rPr>
        <w:t>Specified Courts</w:t>
      </w:r>
      <w:r>
        <w:rPr>
          <w:rFonts w:ascii="Times New Roman" w:hAnsi="Times New Roman"/>
          <w:color w:val="000000"/>
          <w:sz w:val="24"/>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hAnsi="Times New Roman"/>
          <w:b/>
          <w:color w:val="000000"/>
          <w:sz w:val="24"/>
        </w:rPr>
        <w:t>Section 11.01</w:t>
      </w:r>
      <w:r>
        <w:rPr>
          <w:rFonts w:ascii="Times New Roman" w:hAnsi="Times New Roman"/>
          <w:color w:val="000000"/>
          <w:sz w:val="24"/>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11.08.  No Adverse Interpretation of Other Agreements.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11.09.  Successors.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All agreements of the Company in this Indenture and the Notes will bind its successors. All agreements of the Trustee in this Indenture will bind its successors.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11.10.  Force Majeure.</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- 91 -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11.11.  U.S.A. PATRIOT Act.</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 xml:space="preserve">Section </w:t>
      </w:r>
      <w:r>
        <w:rPr>
          <w:rFonts w:ascii="Times New Roman" w:hAnsi="Times New Roman"/>
          <w:b/>
          <w:smallCaps/>
          <w:color w:val="000000"/>
          <w:sz w:val="24"/>
        </w:rPr>
        <w:t>11.12.  Calculations.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11.13.  Severability.</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If any provision of this Indenture or the Notes is invalid, illegal or unenforceable, then the validity, legality and enforceability of the remaining provisions of this Indenture or the Notes will not in any way be affected or impaired thereby.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11.14.  Counterparts; Electronic Signatures.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 The words “execution,” “signed” and “signature” and words of like import in this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(e.g. DocuSign).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- 92 -</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11.15.  Table of Contents, Headings, Etc.</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11.16.  Withholding Taxes.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Holder of a Note agrees, and each beneficial owner of an interest in a Global Note, by its acquisition of such interest, is deemed to agree, that if the Company or other applicable withholding agent (including the Trustee)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or withhold such payments from, payments of cash or the delivery of other Conversion Consideration on such Note, any payments on the Ordinary Shares or sales proceeds received by, or other funds or assets of, such Holder or the beneficial owner of such Note.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b/>
          <w:smallCaps/>
          <w:color w:val="000000"/>
          <w:sz w:val="24"/>
        </w:rPr>
      </w:pPr>
      <w:r>
        <w:rPr>
          <w:rFonts w:ascii="Times New Roman" w:hAnsi="Times New Roman"/>
          <w:b/>
          <w:caps w:val="false"/>
          <w:smallCaps w:val="false"/>
          <w:color w:val="000000"/>
          <w:sz w:val="24"/>
        </w:rPr>
        <w:t>Section</w:t>
      </w:r>
      <w:r>
        <w:rPr>
          <w:rFonts w:ascii="Times New Roman" w:hAnsi="Times New Roman"/>
          <w:b/>
          <w:smallCaps/>
          <w:color w:val="000000"/>
          <w:sz w:val="24"/>
        </w:rPr>
        <w:t xml:space="preserve"> 11.17.  Service of Process.</w:t>
      </w:r>
    </w:p>
    <w:p>
      <w:pPr>
        <w:pStyle w:val="TextBody"/>
        <w:bidi w:val="0"/>
        <w:spacing w:before="0" w:after="0"/>
        <w:jc w:val="both"/>
        <w:rPr>
          <w:rFonts w:ascii="Times New Roman" w:hAnsi="Times New Roman"/>
          <w:b/>
          <w:smallCaps/>
          <w:sz w:val="24"/>
        </w:rPr>
      </w:pPr>
      <w:r>
        <w:rPr>
          <w:rFonts w:ascii="Times New Roman" w:hAnsi="Times New Roman"/>
          <w:b/>
          <w:smallCaps/>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The Company irrevocably appoints Cogency Global Inc., which currently maintains an office at 122 E. 42nd Street, 18th Floor, New York, New York 10168, United States of America, as its authorized agent in the Borough of Manhattan in The City of New York upon which process may be served in any suit, action or proceeding referred to in </w:t>
      </w:r>
      <w:r>
        <w:rPr>
          <w:rFonts w:ascii="Times New Roman" w:hAnsi="Times New Roman"/>
          <w:b/>
          <w:color w:val="000000"/>
          <w:sz w:val="24"/>
        </w:rPr>
        <w:t>Section 11.07</w:t>
      </w:r>
      <w:r>
        <w:rPr>
          <w:rFonts w:ascii="Times New Roman" w:hAnsi="Times New Roman"/>
          <w:color w:val="000000"/>
          <w:sz w:val="24"/>
        </w:rPr>
        <w:t xml:space="preserve">, and agrees that service of process upon such agent, and written notice of such service to the Company by the Person serving the same to IREN Limited, Level 6, 55 Market Street, Sydney, NSW 2000 Australia, Attention: [***], will be deemed in every respect effective service of process upon the Company in any such suit, action or proceeding. The Company agrees to take any and all reasonable action as may be necessary to maintain such designation and appointment of such agent in full force and effect until the date that is six (6) months after the Maturity Date. If, for any reason, such agent ceases to be such agent for service of process, then the Company will promptly appoint a new agent of recognized standing for service of process in the State of New York and deliver to the Holders and the Trustee a copy of the new agent’s acceptance of that appointment within ten (10) Business Days of such acceptance. Nothing in this </w:t>
      </w:r>
      <w:r>
        <w:rPr>
          <w:rFonts w:ascii="Times New Roman" w:hAnsi="Times New Roman"/>
          <w:b/>
          <w:color w:val="000000"/>
          <w:sz w:val="24"/>
        </w:rPr>
        <w:t>Section 11.17</w:t>
      </w:r>
      <w:r>
        <w:rPr>
          <w:rFonts w:ascii="Times New Roman" w:hAnsi="Times New Roman"/>
          <w:color w:val="000000"/>
          <w:sz w:val="24"/>
        </w:rPr>
        <w:t xml:space="preserve"> will affect the right of the Trustee, any Note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under this Indenture or under any Note.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b/>
          <w:i/>
          <w:color w:val="000000"/>
          <w:sz w:val="24"/>
        </w:rPr>
        <w:t>The Remainder of This Page Intentionally Left Blank; Signature Page Follows</w:t>
      </w:r>
      <w:r>
        <w:rPr>
          <w:rFonts w:ascii="Times New Roman" w:hAnsi="Times New Roman"/>
          <w:color w:val="000000"/>
          <w:sz w:val="24"/>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- 93 -</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serif" w:hAnsi="Times New Roman;serif"/>
          <w:color w:val="000000"/>
          <w:sz w:val="24"/>
        </w:rPr>
      </w:pPr>
      <w:r>
        <w:rPr>
          <w:rFonts w:ascii="Times New Roman" w:hAnsi="Times New Roman"/>
          <w:b/>
          <w:color w:val="000000"/>
          <w:sz w:val="24"/>
        </w:rPr>
        <w:t>IN WITNESS WHEREOF</w:t>
      </w:r>
      <w:r>
        <w:rPr>
          <w:rFonts w:ascii="Times New Roman" w:hAnsi="Times New Roman"/>
          <w:color w:val="000000"/>
          <w:sz w:val="24"/>
        </w:rPr>
        <w:t>, the parties to this Indenture have caused this Indenture to be duly executed as of the date first written above.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person executing this document on behalf of a party states that they have no notice of revocation or suspension of their authority.</w:t>
      </w:r>
    </w:p>
    <w:p>
      <w:pPr>
        <w:pStyle w:val="TextBody"/>
        <w:bidi w:val="0"/>
        <w:spacing w:before="0" w:after="0"/>
        <w:jc w:val="left"/>
        <w:rPr>
          <w:rFonts w:ascii="Times New Roman" w:hAnsi="Times New Roman"/>
          <w:sz w:val="24"/>
        </w:rPr>
      </w:pPr>
      <w:r>
        <w:rPr>
          <w:rFonts w:ascii="Times New Roman" w:hAnsi="Times New Roman"/>
          <w:sz w:val="24"/>
        </w:rPr>
      </w:r>
      <w:bookmarkStart w:id="223" w:name="z2731f803b8d44f67bbebc7fe1dda886f"/>
      <w:bookmarkStart w:id="224" w:name="z2731f803b8d44f67bbebc7fe1dda886f"/>
      <w:bookmarkEnd w:id="224"/>
    </w:p>
    <w:tbl>
      <w:tblPr>
        <w:tblW w:w="8090" w:type="dxa"/>
        <w:jc w:val="left"/>
        <w:tblInd w:w="0" w:type="dxa"/>
        <w:tblLayout w:type="fixed"/>
        <w:tblCellMar>
          <w:top w:w="0" w:type="dxa"/>
          <w:left w:w="0" w:type="dxa"/>
          <w:bottom w:w="0" w:type="dxa"/>
          <w:right w:w="0" w:type="dxa"/>
        </w:tblCellMar>
      </w:tblPr>
      <w:tblGrid>
        <w:gridCol w:w="60"/>
        <w:gridCol w:w="8030"/>
      </w:tblGrid>
      <w:tr>
        <w:trPr/>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both"/>
              <w:rPr>
                <w:rFonts w:ascii="Times New Roman;serif" w:hAnsi="Times New Roman;serif"/>
                <w:sz w:val="24"/>
              </w:rPr>
            </w:pPr>
            <w:r>
              <w:rPr>
                <w:rFonts w:ascii="Times New Roman" w:hAnsi="Times New Roman"/>
                <w:b/>
                <w:sz w:val="24"/>
              </w:rPr>
              <w:t>Executed</w:t>
            </w:r>
            <w:r>
              <w:rPr>
                <w:rFonts w:ascii="Times New Roman;serif" w:hAnsi="Times New Roman;serif"/>
                <w:sz w:val="24"/>
              </w:rPr>
              <w:t xml:space="preserve"> </w:t>
            </w:r>
            <w:r>
              <w:rPr>
                <w:rFonts w:ascii="Times New Roman" w:hAnsi="Times New Roman"/>
                <w:sz w:val="24"/>
              </w:rPr>
              <w:t xml:space="preserve">as a deed in accordance with section 127 of the </w:t>
            </w:r>
            <w:r>
              <w:rPr>
                <w:rFonts w:ascii="Times New Roman" w:hAnsi="Times New Roman"/>
                <w:i/>
                <w:sz w:val="24"/>
              </w:rPr>
              <w:t xml:space="preserve">Corporations Act 2001 </w:t>
            </w:r>
            <w:r>
              <w:rPr>
                <w:rFonts w:ascii="Times New Roman" w:hAnsi="Times New Roman"/>
                <w:sz w:val="24"/>
              </w:rPr>
              <w:t>by</w:t>
            </w:r>
          </w:p>
          <w:p>
            <w:pPr>
              <w:pStyle w:val="TableContents"/>
              <w:bidi w:val="0"/>
              <w:spacing w:before="0" w:after="0"/>
              <w:jc w:val="both"/>
              <w:rPr>
                <w:rFonts w:ascii="Times New Roman;serif" w:hAnsi="Times New Roman;serif"/>
                <w:b/>
                <w:sz w:val="24"/>
              </w:rPr>
            </w:pPr>
            <w:r>
              <w:rPr>
                <w:rFonts w:ascii="Times New Roman" w:hAnsi="Times New Roman"/>
                <w:b/>
                <w:smallCaps/>
                <w:sz w:val="24"/>
              </w:rPr>
              <w:t xml:space="preserve">Iren Limited </w:t>
            </w:r>
            <w:r>
              <w:rPr>
                <w:rFonts w:ascii="Times New Roman" w:hAnsi="Times New Roman"/>
                <w:b/>
                <w:sz w:val="24"/>
              </w:rPr>
              <w:t>(ACN 629 842 799)</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25" w:name="zc8160c0c08cc44da9abb1dd23ac7b57c"/>
      <w:bookmarkStart w:id="226" w:name="zc8160c0c08cc44da9abb1dd23ac7b57c"/>
      <w:bookmarkEnd w:id="226"/>
    </w:p>
    <w:tbl>
      <w:tblPr>
        <w:tblW w:w="1925" w:type="dxa"/>
        <w:jc w:val="left"/>
        <w:tblInd w:w="0" w:type="dxa"/>
        <w:tblLayout w:type="fixed"/>
        <w:tblCellMar>
          <w:top w:w="0" w:type="dxa"/>
          <w:left w:w="0" w:type="dxa"/>
          <w:bottom w:w="0" w:type="dxa"/>
          <w:right w:w="0" w:type="dxa"/>
        </w:tblCellMar>
      </w:tblPr>
      <w:tblGrid>
        <w:gridCol w:w="75"/>
        <w:gridCol w:w="1850"/>
      </w:tblGrid>
      <w:tr>
        <w:trPr/>
        <w:tc>
          <w:tcPr>
            <w:tcW w:w="75"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/s/ William Roberts</w:t>
            </w:r>
          </w:p>
        </w:tc>
      </w:tr>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Director</w:t>
            </w:r>
          </w:p>
        </w:tc>
      </w:tr>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William Roberts</w:t>
            </w:r>
          </w:p>
        </w:tc>
      </w:tr>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Print Name</w:t>
            </w:r>
          </w:p>
        </w:tc>
      </w:tr>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/s/ Dan Roberts</w:t>
            </w:r>
          </w:p>
        </w:tc>
      </w:tr>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Director/Secretary</w:t>
            </w:r>
          </w:p>
        </w:tc>
      </w:tr>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Dan Roberts</w:t>
            </w:r>
          </w:p>
        </w:tc>
      </w:tr>
      <w:tr>
        <w:trPr/>
        <w:tc>
          <w:tcPr>
            <w:tcW w:w="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Print Name</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27" w:name="z9e88a42e72164ab888816a2a429f731a"/>
      <w:bookmarkStart w:id="228" w:name="z9e88a42e72164ab888816a2a429f731a"/>
      <w:bookmarkEnd w:id="228"/>
    </w:p>
    <w:tbl>
      <w:tblPr>
        <w:tblW w:w="6514" w:type="dxa"/>
        <w:jc w:val="left"/>
        <w:tblInd w:w="0" w:type="dxa"/>
        <w:tblLayout w:type="fixed"/>
        <w:tblCellMar>
          <w:top w:w="0" w:type="dxa"/>
          <w:left w:w="0" w:type="dxa"/>
          <w:bottom w:w="0" w:type="dxa"/>
          <w:right w:w="0" w:type="dxa"/>
        </w:tblCellMar>
      </w:tblPr>
      <w:tblGrid>
        <w:gridCol w:w="75"/>
        <w:gridCol w:w="706"/>
        <w:gridCol w:w="5733"/>
      </w:tblGrid>
      <w:tr>
        <w:trPr/>
        <w:tc>
          <w:tcPr>
            <w:tcW w:w="75" w:type="dxa"/>
            <w:tcBorders/>
            <w:vAlign w:val="center"/>
          </w:tcPr>
          <w:p>
            <w:pPr>
              <w:pStyle w:val="TableContents"/>
              <w:bidi w:val="0"/>
              <w:spacing w:before="0" w:after="283"/>
              <w:jc w:val="left"/>
              <w:rPr/>
            </w:pPr>
            <w:r>
              <w:rPr/>
              <w:t> </w:t>
            </w:r>
          </w:p>
        </w:tc>
        <w:tc>
          <w:tcPr>
            <w:tcW w:w="6439" w:type="dxa"/>
            <w:gridSpan w:val="2"/>
            <w:tcBorders/>
            <w:vAlign w:val="center"/>
          </w:tcPr>
          <w:p>
            <w:pPr>
              <w:pStyle w:val="TableContents"/>
              <w:bidi w:val="0"/>
              <w:spacing w:before="0" w:after="0"/>
              <w:jc w:val="both"/>
              <w:rPr>
                <w:rFonts w:ascii="Times New Roman;serif" w:hAnsi="Times New Roman;serif"/>
                <w:sz w:val="24"/>
              </w:rPr>
            </w:pPr>
            <w:r>
              <w:rPr>
                <w:rFonts w:ascii="Times New Roman" w:hAnsi="Times New Roman"/>
                <w:smallCaps/>
                <w:sz w:val="24"/>
              </w:rPr>
              <w:t xml:space="preserve">U.S. Bank Trust Company, National Association, </w:t>
            </w:r>
            <w:r>
              <w:rPr>
                <w:rFonts w:ascii="Times New Roman" w:hAnsi="Times New Roman"/>
                <w:sz w:val="24"/>
              </w:rPr>
              <w:t>as Trustee</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57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5733" w:type="dxa"/>
            <w:tcBorders>
              <w:bottom w:val="single" w:sz="2" w:space="0" w:color="000000"/>
            </w:tcBorders>
            <w:tcMar>
              <w:bottom w:w="28" w:type="dxa"/>
            </w:tcMar>
            <w:vAlign w:val="center"/>
          </w:tcPr>
          <w:p>
            <w:pPr>
              <w:pStyle w:val="TableContents"/>
              <w:bidi w:val="0"/>
              <w:spacing w:before="0" w:after="0"/>
              <w:jc w:val="both"/>
              <w:rPr>
                <w:rFonts w:ascii="Times New Roman" w:hAnsi="Times New Roman"/>
                <w:sz w:val="24"/>
              </w:rPr>
            </w:pPr>
            <w:r>
              <w:rPr>
                <w:rFonts w:ascii="Times New Roman" w:hAnsi="Times New Roman"/>
                <w:sz w:val="24"/>
              </w:rPr>
              <w:t>/s/ Bradley E. Scarbrough</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5733"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Name:  Bradley E. Scarbrough</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5733"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Title:    Vice President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[Signature Page to Indenture]</w:t>
      </w:r>
    </w:p>
    <w:p>
      <w:pPr>
        <w:pStyle w:val="HorizontalLine"/>
        <w:pBdr>
          <w:bottom w:val="single" w:sz="12" w:space="0" w:color="808080"/>
        </w:pBdr>
        <w:bidi w:val="0"/>
        <w:spacing w:before="180" w:after="180"/>
        <w:jc w:val="left"/>
        <w:rPr/>
      </w:pPr>
      <w:r>
        <w:rPr/>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FORM OF NOTE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i/>
          <w:color w:val="000000"/>
          <w:sz w:val="24"/>
        </w:rPr>
        <w:t>Insert Global Note Legend, if applicable</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i/>
          <w:color w:val="000000"/>
          <w:sz w:val="24"/>
        </w:rPr>
        <w:t>Insert Restricted Note Legend, if applicable</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i/>
          <w:color w:val="000000"/>
          <w:sz w:val="24"/>
        </w:rPr>
        <w:t>Insert Non-Affiliate Legend</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IREN LIMITED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1.00% Convertible Senior Note due 2033</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29" w:name="z33843524b1ef4c98b8069968122bc991"/>
      <w:bookmarkStart w:id="230" w:name="z33843524b1ef4c98b8069968122bc991"/>
      <w:bookmarkEnd w:id="230"/>
    </w:p>
    <w:tbl>
      <w:tblPr>
        <w:tblW w:w="7905" w:type="dxa"/>
        <w:jc w:val="left"/>
        <w:tblInd w:w="0" w:type="dxa"/>
        <w:tblLayout w:type="fixed"/>
        <w:tblCellMar>
          <w:top w:w="0" w:type="dxa"/>
          <w:left w:w="0" w:type="dxa"/>
          <w:bottom w:w="0" w:type="dxa"/>
          <w:right w:w="0" w:type="dxa"/>
        </w:tblCellMar>
      </w:tblPr>
      <w:tblGrid>
        <w:gridCol w:w="1190"/>
        <w:gridCol w:w="4730"/>
        <w:gridCol w:w="1985"/>
      </w:tblGrid>
      <w:tr>
        <w:trPr/>
        <w:tc>
          <w:tcPr>
            <w:tcW w:w="119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CUSIP No.:</w:t>
            </w:r>
          </w:p>
        </w:tc>
        <w:tc>
          <w:tcPr>
            <w:tcW w:w="4730"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4"/>
              </w:rPr>
              <w:t>[___][</w:t>
            </w:r>
            <w:r>
              <w:rPr>
                <w:rFonts w:ascii="Times New Roman" w:hAnsi="Times New Roman"/>
                <w:i/>
                <w:sz w:val="24"/>
              </w:rPr>
              <w:t>Insert for a “restricted” CUSIP number</w:t>
            </w:r>
            <w:r>
              <w:rPr>
                <w:rFonts w:ascii="Times New Roman" w:hAnsi="Times New Roman"/>
                <w:sz w:val="24"/>
              </w:rPr>
              <w:t>: *]</w:t>
            </w:r>
          </w:p>
        </w:tc>
        <w:tc>
          <w:tcPr>
            <w:tcW w:w="198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Certificate No. [___]</w:t>
            </w:r>
          </w:p>
        </w:tc>
      </w:tr>
      <w:tr>
        <w:trPr/>
        <w:tc>
          <w:tcPr>
            <w:tcW w:w="119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ISIN No.:</w:t>
            </w:r>
          </w:p>
        </w:tc>
        <w:tc>
          <w:tcPr>
            <w:tcW w:w="4730"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4"/>
              </w:rPr>
              <w:t>[___][</w:t>
            </w:r>
            <w:r>
              <w:rPr>
                <w:rFonts w:ascii="Times New Roman" w:hAnsi="Times New Roman"/>
                <w:i/>
                <w:sz w:val="24"/>
              </w:rPr>
              <w:t>Insert for a “restricted” ISIN number</w:t>
            </w:r>
            <w:r>
              <w:rPr>
                <w:rFonts w:ascii="Times New Roman" w:hAnsi="Times New Roman"/>
                <w:sz w:val="24"/>
              </w:rPr>
              <w:t>: *]</w:t>
            </w:r>
          </w:p>
        </w:tc>
        <w:tc>
          <w:tcPr>
            <w:tcW w:w="1985"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lineRule="auto" w:line="240" w:before="0" w:after="0"/>
        <w:ind w:left="0" w:right="0" w:firstLine="720"/>
        <w:jc w:val="both"/>
        <w:rPr>
          <w:rFonts w:ascii="Times New Roman" w:hAnsi="Times New Roman"/>
          <w:color w:val="000000"/>
          <w:sz w:val="24"/>
        </w:rPr>
      </w:pPr>
      <w:r>
        <w:rPr>
          <w:rFonts w:ascii="Times New Roman" w:hAnsi="Times New Roman"/>
          <w:color w:val="000000"/>
          <w:sz w:val="24"/>
        </w:rPr>
        <w:t>IREN Limited (ACN 629 842 799), an Australian company, for value received, promises to pay to [Cede &amp; Co.], or its registered assigns, the principal sum of [___] dollars ($[___]) [(as revised by the attached Schedule of Exchanges of Interests in the Global Note)]† on June 1, 2033 and to pay interest thereon, as provided in the Indenture referred to below, until the principal and all accrued and unpaid interest are paid or duly provided for.</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31" w:name="zf55317ee10164af3937d44f8494fdc30"/>
      <w:bookmarkStart w:id="232" w:name="zf55317ee10164af3937d44f8494fdc30"/>
      <w:bookmarkEnd w:id="232"/>
    </w:p>
    <w:tbl>
      <w:tblPr>
        <w:tblW w:w="8065" w:type="dxa"/>
        <w:jc w:val="left"/>
        <w:tblInd w:w="0" w:type="dxa"/>
        <w:tblLayout w:type="fixed"/>
        <w:tblCellMar>
          <w:top w:w="0" w:type="dxa"/>
          <w:left w:w="0" w:type="dxa"/>
          <w:bottom w:w="0" w:type="dxa"/>
          <w:right w:w="0" w:type="dxa"/>
        </w:tblCellMar>
      </w:tblPr>
      <w:tblGrid>
        <w:gridCol w:w="2270"/>
        <w:gridCol w:w="5795"/>
      </w:tblGrid>
      <w:tr>
        <w:trPr/>
        <w:tc>
          <w:tcPr>
            <w:tcW w:w="2270"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Interest Payment Dates:</w:t>
            </w:r>
          </w:p>
        </w:tc>
        <w:tc>
          <w:tcPr>
            <w:tcW w:w="579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June 1 and December 1 of each year, commencing on [</w:t>
            </w:r>
            <w:r>
              <w:rPr>
                <w:rFonts w:ascii="Times New Roman" w:hAnsi="Times New Roman"/>
                <w:i/>
                <w:sz w:val="24"/>
              </w:rPr>
              <w:t>date</w:t>
            </w:r>
            <w:r>
              <w:rPr>
                <w:rFonts w:ascii="Times New Roman" w:hAnsi="Times New Roman"/>
                <w:sz w:val="24"/>
              </w:rPr>
              <w: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33" w:name="z65bd6ae62d3541a8bdf2903ffd11e646"/>
      <w:bookmarkStart w:id="234" w:name="z65bd6ae62d3541a8bdf2903ffd11e646"/>
      <w:bookmarkEnd w:id="234"/>
    </w:p>
    <w:tbl>
      <w:tblPr>
        <w:tblW w:w="4795" w:type="dxa"/>
        <w:jc w:val="left"/>
        <w:tblInd w:w="0" w:type="dxa"/>
        <w:tblLayout w:type="fixed"/>
        <w:tblCellMar>
          <w:top w:w="0" w:type="dxa"/>
          <w:left w:w="0" w:type="dxa"/>
          <w:bottom w:w="0" w:type="dxa"/>
          <w:right w:w="0" w:type="dxa"/>
        </w:tblCellMar>
      </w:tblPr>
      <w:tblGrid>
        <w:gridCol w:w="2195"/>
        <w:gridCol w:w="2600"/>
      </w:tblGrid>
      <w:tr>
        <w:trPr/>
        <w:tc>
          <w:tcPr>
            <w:tcW w:w="2195"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Regular Record Dates:</w:t>
            </w:r>
          </w:p>
        </w:tc>
        <w:tc>
          <w:tcPr>
            <w:tcW w:w="260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May 15 and November 15.</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Additional provisions of this Note are set forth on the other side of this Note.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t>
      </w:r>
      <w:r>
        <w:rPr>
          <w:rFonts w:ascii="Times New Roman" w:hAnsi="Times New Roman"/>
          <w:b/>
          <w:i/>
          <w:color w:val="000000"/>
          <w:sz w:val="24"/>
        </w:rPr>
        <w:t>The Remainder of This Page Intentionally Left Blank; Signature Page Follows</w:t>
      </w:r>
      <w:r>
        <w:rPr>
          <w:rFonts w:ascii="Times New Roman" w:hAnsi="Times New Roman"/>
          <w:color w:val="000000"/>
          <w:sz w:val="24"/>
        </w:rPr>
        <w:t>]</w:t>
      </w:r>
    </w:p>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35" w:name="z609a031f31544ae8bd340900a48e693e"/>
      <w:bookmarkStart w:id="236" w:name="z609a031f31544ae8bd340900a48e693e"/>
      <w:bookmarkEnd w:id="236"/>
    </w:p>
    <w:tbl>
      <w:tblPr>
        <w:tblW w:w="10205" w:type="dxa"/>
        <w:jc w:val="left"/>
        <w:tblInd w:w="0" w:type="dxa"/>
        <w:tblLayout w:type="fixed"/>
        <w:tblCellMar>
          <w:top w:w="0" w:type="dxa"/>
          <w:left w:w="0" w:type="dxa"/>
          <w:bottom w:w="0" w:type="dxa"/>
          <w:right w:w="0" w:type="dxa"/>
        </w:tblCellMar>
      </w:tblPr>
      <w:tblGrid>
        <w:gridCol w:w="76"/>
        <w:gridCol w:w="10129"/>
      </w:tblGrid>
      <w:tr>
        <w:trPr/>
        <w:tc>
          <w:tcPr>
            <w:tcW w:w="76" w:type="dxa"/>
            <w:tcBorders/>
            <w:vAlign w:val="center"/>
          </w:tcPr>
          <w:p>
            <w:pPr>
              <w:pStyle w:val="TableContents"/>
              <w:bidi w:val="0"/>
              <w:spacing w:before="0" w:after="0"/>
              <w:ind w:left="173" w:right="0" w:hanging="173"/>
              <w:jc w:val="both"/>
              <w:rPr>
                <w:rFonts w:ascii="Times New Roman" w:hAnsi="Times New Roman"/>
                <w:sz w:val="20"/>
              </w:rPr>
            </w:pPr>
            <w:r>
              <w:rPr>
                <w:rFonts w:ascii="Times New Roman" w:hAnsi="Times New Roman"/>
                <w:sz w:val="20"/>
              </w:rPr>
              <w:t>*</w:t>
            </w:r>
          </w:p>
        </w:tc>
        <w:tc>
          <w:tcPr>
            <w:tcW w:w="101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This Note will be deemed to be identified by CUSIP No. [___] and ISIN No. [___] from and after such time when the Company delivers, pursuant to Section 2.12 of the within-mentioned Indenture, written notice to the Trustee of the deemed removal of the Restricted Note Legend affixed to this Note.</w:t>
            </w:r>
          </w:p>
        </w:tc>
      </w:tr>
    </w:tbl>
    <w:p>
      <w:pPr>
        <w:pStyle w:val="Normal"/>
        <w:bidi w:val="0"/>
        <w:spacing w:before="0" w:after="0"/>
        <w:jc w:val="left"/>
        <w:rPr>
          <w:sz w:val="4"/>
          <w:szCs w:val="4"/>
        </w:rPr>
      </w:pPr>
      <w:r>
        <w:rPr>
          <w:sz w:val="4"/>
          <w:szCs w:val="4"/>
        </w:rPr>
      </w:r>
      <w:bookmarkStart w:id="237" w:name="z31266bb5a5bd44eaae4c6c32e693ea7e"/>
      <w:bookmarkStart w:id="238" w:name="z31266bb5a5bd44eaae4c6c32e693ea7e"/>
      <w:bookmarkEnd w:id="238"/>
    </w:p>
    <w:tbl>
      <w:tblPr>
        <w:tblW w:w="4120" w:type="dxa"/>
        <w:jc w:val="left"/>
        <w:tblInd w:w="0" w:type="dxa"/>
        <w:tblLayout w:type="fixed"/>
        <w:tblCellMar>
          <w:top w:w="0" w:type="dxa"/>
          <w:left w:w="0" w:type="dxa"/>
          <w:bottom w:w="0" w:type="dxa"/>
          <w:right w:w="0" w:type="dxa"/>
        </w:tblCellMar>
      </w:tblPr>
      <w:tblGrid>
        <w:gridCol w:w="155"/>
        <w:gridCol w:w="3965"/>
      </w:tblGrid>
      <w:tr>
        <w:trPr/>
        <w:tc>
          <w:tcPr>
            <w:tcW w:w="155"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Insert bracketed language for Global Notes only.</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Each person executing this document on behalf of a party states that they have no notice of revocation or suspension of their authority.</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serif" w:hAnsi="Times New Roman;serif"/>
          <w:color w:val="000000"/>
          <w:sz w:val="24"/>
        </w:rPr>
      </w:pPr>
      <w:r>
        <w:rPr>
          <w:rFonts w:ascii="Times New Roman" w:hAnsi="Times New Roman"/>
          <w:b/>
          <w:color w:val="000000"/>
          <w:sz w:val="24"/>
        </w:rPr>
        <w:t>IN WITNESS WHEREOF</w:t>
      </w:r>
      <w:r>
        <w:rPr>
          <w:rFonts w:ascii="Times New Roman" w:hAnsi="Times New Roman"/>
          <w:color w:val="000000"/>
          <w:sz w:val="24"/>
        </w:rPr>
        <w:t>, IREN Limited has caused this instrument to be duly executed as of the date set forth below.</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39" w:name="z4a9d1643e647441ea3b232d47a8ef55b"/>
      <w:bookmarkStart w:id="240" w:name="z4a9d1643e647441ea3b232d47a8ef55b"/>
      <w:bookmarkEnd w:id="240"/>
    </w:p>
    <w:tbl>
      <w:tblPr>
        <w:tblW w:w="7160" w:type="dxa"/>
        <w:jc w:val="left"/>
        <w:tblInd w:w="0" w:type="dxa"/>
        <w:tblLayout w:type="fixed"/>
        <w:tblCellMar>
          <w:top w:w="0" w:type="dxa"/>
          <w:left w:w="0" w:type="dxa"/>
          <w:bottom w:w="0" w:type="dxa"/>
          <w:right w:w="0" w:type="dxa"/>
        </w:tblCellMar>
      </w:tblPr>
      <w:tblGrid>
        <w:gridCol w:w="60"/>
        <w:gridCol w:w="7100"/>
      </w:tblGrid>
      <w:tr>
        <w:trPr/>
        <w:tc>
          <w:tcPr>
            <w:tcW w:w="6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jc w:val="left"/>
              <w:rPr/>
            </w:pPr>
            <w:r>
              <w:rPr>
                <w:b/>
                <w:sz w:val="24"/>
              </w:rPr>
              <w:t>Executed</w:t>
            </w:r>
            <w:r>
              <w:rPr/>
              <w:t xml:space="preserve"> </w:t>
            </w:r>
            <w:r>
              <w:rPr>
                <w:sz w:val="24"/>
              </w:rPr>
              <w:t xml:space="preserve">in accordance with section 127 of the </w:t>
            </w:r>
            <w:r>
              <w:rPr>
                <w:i/>
                <w:sz w:val="24"/>
              </w:rPr>
              <w:t xml:space="preserve">Corporations Act 2001 </w:t>
            </w:r>
            <w:r>
              <w:rPr>
                <w:sz w:val="24"/>
              </w:rPr>
              <w:t>by</w:t>
            </w:r>
          </w:p>
        </w:tc>
      </w:tr>
      <w:tr>
        <w:trPr/>
        <w:tc>
          <w:tcPr>
            <w:tcW w:w="6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both"/>
              <w:rPr>
                <w:rFonts w:ascii="Times New Roman;serif" w:hAnsi="Times New Roman;serif"/>
                <w:b/>
                <w:sz w:val="24"/>
              </w:rPr>
            </w:pPr>
            <w:r>
              <w:rPr>
                <w:rFonts w:ascii="Times New Roman" w:hAnsi="Times New Roman"/>
                <w:b/>
                <w:smallCaps/>
                <w:sz w:val="24"/>
              </w:rPr>
              <w:t xml:space="preserve">Iren Limited </w:t>
            </w:r>
            <w:r>
              <w:rPr>
                <w:rFonts w:ascii="Times New Roman" w:hAnsi="Times New Roman"/>
                <w:b/>
                <w:sz w:val="24"/>
              </w:rPr>
              <w:t>(ACN 629 842 799)</w:t>
            </w:r>
          </w:p>
        </w:tc>
      </w:tr>
    </w:tbl>
    <w:p>
      <w:pPr>
        <w:pStyle w:val="TextBody"/>
        <w:bidi w:val="0"/>
        <w:spacing w:before="0" w:after="0"/>
        <w:jc w:val="left"/>
        <w:rPr>
          <w:sz w:val="24"/>
        </w:rPr>
      </w:pPr>
      <w:r>
        <w:rPr>
          <w:sz w:val="24"/>
        </w:rPr>
      </w:r>
    </w:p>
    <w:p>
      <w:pPr>
        <w:pStyle w:val="Normal"/>
        <w:bidi w:val="0"/>
        <w:spacing w:before="0" w:after="0"/>
        <w:jc w:val="left"/>
        <w:rPr>
          <w:sz w:val="4"/>
          <w:szCs w:val="4"/>
        </w:rPr>
      </w:pPr>
      <w:r>
        <w:rPr>
          <w:sz w:val="4"/>
          <w:szCs w:val="4"/>
        </w:rPr>
      </w:r>
      <w:bookmarkStart w:id="241" w:name="zea12635ef1124d6fae481035daa6f56e"/>
      <w:bookmarkStart w:id="242" w:name="zea12635ef1124d6fae481035daa6f56e"/>
      <w:bookmarkEnd w:id="242"/>
    </w:p>
    <w:tbl>
      <w:tblPr>
        <w:tblW w:w="1750" w:type="dxa"/>
        <w:jc w:val="left"/>
        <w:tblInd w:w="0" w:type="dxa"/>
        <w:tblLayout w:type="fixed"/>
        <w:tblCellMar>
          <w:top w:w="0" w:type="dxa"/>
          <w:left w:w="0" w:type="dxa"/>
          <w:bottom w:w="0" w:type="dxa"/>
          <w:right w:w="0" w:type="dxa"/>
        </w:tblCellMar>
      </w:tblPr>
      <w:tblGrid>
        <w:gridCol w:w="530"/>
        <w:gridCol w:w="60"/>
        <w:gridCol w:w="60"/>
        <w:gridCol w:w="1100"/>
      </w:tblGrid>
      <w:tr>
        <w:trPr/>
        <w:tc>
          <w:tcPr>
            <w:tcW w:w="530" w:type="dxa"/>
            <w:tcBorders/>
            <w:vAlign w:val="center"/>
          </w:tcPr>
          <w:p>
            <w:pPr>
              <w:pStyle w:val="TableContents"/>
              <w:bidi w:val="0"/>
              <w:spacing w:before="0" w:after="283"/>
              <w:jc w:val="left"/>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jc w:val="left"/>
              <w:rPr/>
            </w:pPr>
            <w:r>
              <w:rPr/>
              <w:t> </w:t>
            </w:r>
          </w:p>
        </w:tc>
      </w:tr>
      <w:tr>
        <w:trPr/>
        <w:tc>
          <w:tcPr>
            <w:tcW w:w="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left"/>
              <w:rPr>
                <w:sz w:val="24"/>
              </w:rPr>
            </w:pPr>
            <w:r>
              <w:rPr>
                <w:sz w:val="24"/>
              </w:rPr>
              <w:t>Director</w:t>
            </w:r>
          </w:p>
        </w:tc>
      </w:tr>
      <w:tr>
        <w:trPr/>
        <w:tc>
          <w:tcPr>
            <w:tcW w:w="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jc w:val="left"/>
              <w:rPr/>
            </w:pPr>
            <w:r>
              <w:rPr/>
              <w:t> </w:t>
            </w:r>
          </w:p>
        </w:tc>
      </w:tr>
      <w:tr>
        <w:trPr/>
        <w:tc>
          <w:tcPr>
            <w:tcW w:w="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both"/>
              <w:rPr>
                <w:sz w:val="24"/>
              </w:rPr>
            </w:pPr>
            <w:r>
              <w:rPr>
                <w:sz w:val="24"/>
              </w:rPr>
              <w:t>Print Name</w:t>
            </w:r>
          </w:p>
        </w:tc>
      </w:tr>
    </w:tbl>
    <w:p>
      <w:pPr>
        <w:pStyle w:val="TextBody"/>
        <w:bidi w:val="0"/>
        <w:spacing w:before="0" w:after="0"/>
        <w:ind w:left="4320" w:right="0" w:hanging="0"/>
        <w:jc w:val="both"/>
        <w:rPr>
          <w:b/>
          <w:sz w:val="24"/>
        </w:rPr>
      </w:pPr>
      <w:r>
        <w:rPr>
          <w:b/>
          <w:sz w:val="24"/>
        </w:rPr>
      </w:r>
    </w:p>
    <w:p>
      <w:pPr>
        <w:pStyle w:val="Normal"/>
        <w:bidi w:val="0"/>
        <w:spacing w:before="0" w:after="0"/>
        <w:jc w:val="left"/>
        <w:rPr>
          <w:sz w:val="4"/>
          <w:szCs w:val="4"/>
        </w:rPr>
      </w:pPr>
      <w:r>
        <w:rPr>
          <w:sz w:val="4"/>
          <w:szCs w:val="4"/>
        </w:rPr>
      </w:r>
      <w:bookmarkStart w:id="243" w:name="zfbd00df25b0949d5a51f9315a3b02429"/>
      <w:bookmarkStart w:id="244" w:name="zfbd00df25b0949d5a51f9315a3b02429"/>
      <w:bookmarkEnd w:id="244"/>
    </w:p>
    <w:tbl>
      <w:tblPr>
        <w:tblW w:w="1750" w:type="dxa"/>
        <w:jc w:val="left"/>
        <w:tblInd w:w="0" w:type="dxa"/>
        <w:tblLayout w:type="fixed"/>
        <w:tblCellMar>
          <w:top w:w="0" w:type="dxa"/>
          <w:left w:w="0" w:type="dxa"/>
          <w:bottom w:w="0" w:type="dxa"/>
          <w:right w:w="0" w:type="dxa"/>
        </w:tblCellMar>
      </w:tblPr>
      <w:tblGrid>
        <w:gridCol w:w="530"/>
        <w:gridCol w:w="60"/>
        <w:gridCol w:w="60"/>
        <w:gridCol w:w="1100"/>
      </w:tblGrid>
      <w:tr>
        <w:trPr/>
        <w:tc>
          <w:tcPr>
            <w:tcW w:w="530" w:type="dxa"/>
            <w:tcBorders/>
            <w:vAlign w:val="center"/>
          </w:tcPr>
          <w:p>
            <w:pPr>
              <w:pStyle w:val="TableContents"/>
              <w:bidi w:val="0"/>
              <w:spacing w:before="0" w:after="283"/>
              <w:jc w:val="left"/>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jc w:val="left"/>
              <w:rPr/>
            </w:pPr>
            <w:r>
              <w:rPr/>
              <w:t> </w:t>
            </w:r>
          </w:p>
        </w:tc>
      </w:tr>
      <w:tr>
        <w:trPr/>
        <w:tc>
          <w:tcPr>
            <w:tcW w:w="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left"/>
              <w:rPr>
                <w:sz w:val="24"/>
              </w:rPr>
            </w:pPr>
            <w:r>
              <w:rPr>
                <w:sz w:val="24"/>
              </w:rPr>
              <w:t>Director</w:t>
            </w:r>
          </w:p>
        </w:tc>
      </w:tr>
      <w:tr>
        <w:trPr/>
        <w:tc>
          <w:tcPr>
            <w:tcW w:w="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jc w:val="left"/>
              <w:rPr/>
            </w:pPr>
            <w:r>
              <w:rPr/>
              <w:t> </w:t>
            </w:r>
          </w:p>
        </w:tc>
      </w:tr>
      <w:tr>
        <w:trPr/>
        <w:tc>
          <w:tcPr>
            <w:tcW w:w="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both"/>
              <w:rPr>
                <w:sz w:val="24"/>
              </w:rPr>
            </w:pPr>
            <w:r>
              <w:rPr>
                <w:sz w:val="24"/>
              </w:rPr>
              <w:t>Print Name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A-2</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TRUSTEE’S CERTIFICATE OF AUTHENTICATION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U.S. Bank Trust Company, National Association, as Trustee, certifies that this is one of the Notes referred to in the within-mentioned Indenture.</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45" w:name="z1cde54840d12476f9419c19803088e8a"/>
      <w:bookmarkStart w:id="246" w:name="z1cde54840d12476f9419c19803088e8a"/>
      <w:bookmarkEnd w:id="246"/>
    </w:p>
    <w:tbl>
      <w:tblPr>
        <w:tblW w:w="3075" w:type="dxa"/>
        <w:jc w:val="left"/>
        <w:tblInd w:w="0" w:type="dxa"/>
        <w:tblLayout w:type="fixed"/>
        <w:tblCellMar>
          <w:top w:w="0" w:type="dxa"/>
          <w:left w:w="0" w:type="dxa"/>
          <w:bottom w:w="0" w:type="dxa"/>
          <w:right w:w="0" w:type="dxa"/>
        </w:tblCellMar>
      </w:tblPr>
      <w:tblGrid>
        <w:gridCol w:w="530"/>
        <w:gridCol w:w="60"/>
        <w:gridCol w:w="60"/>
        <w:gridCol w:w="365"/>
        <w:gridCol w:w="2060"/>
      </w:tblGrid>
      <w:tr>
        <w:trPr/>
        <w:tc>
          <w:tcPr>
            <w:tcW w:w="530" w:type="dxa"/>
            <w:tcBorders/>
            <w:vAlign w:val="center"/>
          </w:tcPr>
          <w:p>
            <w:pPr>
              <w:pStyle w:val="TableContents"/>
              <w:bidi w:val="0"/>
              <w:spacing w:before="0" w:after="283"/>
              <w:jc w:val="left"/>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4"/>
              </w:rPr>
            </w:pPr>
            <w:r>
              <w:rPr>
                <w:sz w:val="24"/>
              </w:rPr>
              <w:t>By:</w:t>
            </w:r>
          </w:p>
        </w:tc>
        <w:tc>
          <w:tcPr>
            <w:tcW w:w="2060" w:type="dxa"/>
            <w:tcBorders>
              <w:bottom w:val="single" w:sz="2" w:space="0" w:color="000000"/>
            </w:tcBorders>
            <w:tcMar>
              <w:bottom w:w="28" w:type="dxa"/>
            </w:tcMar>
            <w:vAlign w:val="center"/>
          </w:tcPr>
          <w:p>
            <w:pPr>
              <w:pStyle w:val="TableContents"/>
              <w:bidi w:val="0"/>
              <w:spacing w:before="0" w:after="0"/>
              <w:jc w:val="left"/>
              <w:rPr/>
            </w:pPr>
            <w:r>
              <w:rPr/>
              <w:t> </w:t>
            </w:r>
          </w:p>
        </w:tc>
      </w:tr>
      <w:tr>
        <w:trPr/>
        <w:tc>
          <w:tcPr>
            <w:tcW w:w="530"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center"/>
              <w:rPr>
                <w:sz w:val="24"/>
              </w:rPr>
            </w:pPr>
            <w:r>
              <w:rPr>
                <w:sz w:val="24"/>
              </w:rPr>
              <w:t>Authorized Signatory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A-3</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IREN LIMITED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1.00% Convertible Senior Note due 2033</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This Note is one of a duly authorized issue of notes of IREN Limited (ACN 629 842 799), an Australian company (the “</w:t>
      </w:r>
      <w:r>
        <w:rPr>
          <w:rFonts w:ascii="Times New Roman" w:hAnsi="Times New Roman"/>
          <w:b/>
          <w:color w:val="000000"/>
          <w:sz w:val="24"/>
        </w:rPr>
        <w:t>Company</w:t>
      </w:r>
      <w:r>
        <w:rPr>
          <w:rFonts w:ascii="Times New Roman" w:hAnsi="Times New Roman"/>
          <w:color w:val="000000"/>
          <w:sz w:val="24"/>
        </w:rPr>
        <w:t>”), designated as its 1.00% Convertible Senior Notes due 2033 (the “</w:t>
      </w:r>
      <w:r>
        <w:rPr>
          <w:rFonts w:ascii="Times New Roman" w:hAnsi="Times New Roman"/>
          <w:b/>
          <w:color w:val="000000"/>
          <w:sz w:val="24"/>
        </w:rPr>
        <w:t>Notes</w:t>
      </w:r>
      <w:r>
        <w:rPr>
          <w:rFonts w:ascii="Times New Roman" w:hAnsi="Times New Roman"/>
          <w:color w:val="000000"/>
          <w:sz w:val="24"/>
        </w:rPr>
        <w:t>”), all issued or to be issued pursuant to an indenture, dated as of December 8, 2025 (as the same may be amended from time to time, the “</w:t>
      </w:r>
      <w:r>
        <w:rPr>
          <w:rFonts w:ascii="Times New Roman" w:hAnsi="Times New Roman"/>
          <w:b/>
          <w:color w:val="000000"/>
          <w:sz w:val="24"/>
        </w:rPr>
        <w:t>Indenture</w:t>
      </w:r>
      <w:r>
        <w:rPr>
          <w:rFonts w:ascii="Times New Roman" w:hAnsi="Times New Roman"/>
          <w:color w:val="000000"/>
          <w:sz w:val="24"/>
        </w:rPr>
        <w:t>”), between the Company and U.S. Bank Trust Company, National Association, as trustee. Capitalized terms used in this Note without definition have the respective meanings ascribed to them in the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b/>
          <w:color w:val="000000"/>
          <w:sz w:val="24"/>
        </w:rPr>
        <w:t>Interest</w:t>
      </w:r>
      <w:r>
        <w:rPr>
          <w:rFonts w:ascii="Times New Roman" w:hAnsi="Times New Roman"/>
          <w:color w:val="000000"/>
          <w:sz w:val="24"/>
        </w:rPr>
        <w:t>. This Note will accrue interest at a rate and in the manner set forth in Section 2.05 of the Indenture. Stated Interest on this Note will begin to accrue from, and including, [</w:t>
      </w:r>
      <w:r>
        <w:rPr>
          <w:rFonts w:ascii="Times New Roman" w:hAnsi="Times New Roman"/>
          <w:i/>
          <w:color w:val="000000"/>
          <w:sz w:val="24"/>
        </w:rPr>
        <w:t>date</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b/>
          <w:color w:val="000000"/>
          <w:sz w:val="24"/>
        </w:rPr>
        <w:t>Maturity</w:t>
      </w:r>
      <w:r>
        <w:rPr>
          <w:rFonts w:ascii="Times New Roman" w:hAnsi="Times New Roman"/>
          <w:color w:val="000000"/>
          <w:sz w:val="24"/>
        </w:rPr>
        <w:t>. This Note will mature on June 1, 2033, unless earlier repurchased, redeemed or Converted.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b/>
          <w:color w:val="000000"/>
          <w:sz w:val="24"/>
        </w:rPr>
        <w:t>Method of Payment</w:t>
      </w:r>
      <w:r>
        <w:rPr>
          <w:rFonts w:ascii="Times New Roman" w:hAnsi="Times New Roman"/>
          <w:color w:val="000000"/>
          <w:sz w:val="24"/>
        </w:rPr>
        <w:t>. Cash amounts due on this Note will be paid in the manner set forth in Section 2.04 of the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b/>
          <w:color w:val="000000"/>
          <w:sz w:val="24"/>
        </w:rPr>
        <w:t>Persons Deemed Owners</w:t>
      </w:r>
      <w:r>
        <w:rPr>
          <w:rFonts w:ascii="Times New Roman" w:hAnsi="Times New Roman"/>
          <w:color w:val="000000"/>
          <w:sz w:val="24"/>
        </w:rPr>
        <w:t>. The Holder of this Note will be treated as the owner of this Note for all purposes.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b/>
          <w:color w:val="000000"/>
          <w:sz w:val="24"/>
        </w:rPr>
        <w:t>Denominations; Transfers and Exchanges</w:t>
      </w:r>
      <w:r>
        <w:rPr>
          <w:rFonts w:ascii="Times New Roman" w:hAnsi="Times New Roman"/>
          <w:color w:val="000000"/>
          <w:sz w:val="24"/>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b/>
          <w:color w:val="000000"/>
          <w:sz w:val="24"/>
        </w:rPr>
        <w:t>Right of Holders to Require the Company to Repurchase Notes Upon a Fundamental Change</w:t>
      </w:r>
      <w:r>
        <w:rPr>
          <w:rFonts w:ascii="Times New Roman" w:hAnsi="Times New Roman"/>
          <w:color w:val="000000"/>
          <w:sz w:val="24"/>
        </w:rPr>
        <w:t>.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b/>
          <w:color w:val="000000"/>
          <w:sz w:val="24"/>
        </w:rPr>
        <w:t>Right of the Company to Redeem the Notes</w:t>
      </w:r>
      <w:r>
        <w:rPr>
          <w:rFonts w:ascii="Times New Roman" w:hAnsi="Times New Roman"/>
          <w:color w:val="000000"/>
          <w:sz w:val="24"/>
        </w:rPr>
        <w:t>. The Company will have the right to redeem the Notes for cash in the manner, and subject to the terms, set forth in Section 4.03 of the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8.</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4"/>
        </w:rPr>
        <w:t>. The Holder of this Note may Convert this Note into Conversion Consideration in the manner, and subject to the terms, set forth in Article 5 of the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A-4</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9.</w:t>
      </w:r>
      <w:r>
        <w:rPr>
          <w:rFonts w:ascii="Times New Roman" w:hAnsi="Times New Roman"/>
          <w:color w:val="000000"/>
          <w:sz w:val="20"/>
        </w:rPr>
        <w:t xml:space="preserve">        </w:t>
      </w:r>
      <w:r>
        <w:rPr>
          <w:rFonts w:ascii="Times New Roman" w:hAnsi="Times New Roman"/>
          <w:b/>
          <w:color w:val="000000"/>
          <w:sz w:val="24"/>
        </w:rPr>
        <w:t>When the Company May Merge, Etc</w:t>
      </w:r>
      <w:r>
        <w:rPr>
          <w:rFonts w:ascii="Times New Roman" w:hAnsi="Times New Roman"/>
          <w:color w:val="000000"/>
          <w:sz w:val="24"/>
        </w:rPr>
        <w:t>. Article 6 of the Indenture places limited restrictions on the Company’s ability to be a party to a Business Combination Event.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b/>
          <w:color w:val="000000"/>
          <w:sz w:val="24"/>
        </w:rPr>
        <w:t>Defaults and Remedies</w:t>
      </w:r>
      <w:r>
        <w:rPr>
          <w:rFonts w:ascii="Times New Roman" w:hAnsi="Times New Roman"/>
          <w:color w:val="000000"/>
          <w:sz w:val="24"/>
        </w:rPr>
        <w:t>. If an Event of Default occurs, then the principal amount of, and all accrued and unpaid interest on, all of the Notes then outstanding may (and, in certain circumstances, will automatically) become due and payable in the manner, and subject to the terms, set forth in Article 7 of the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11.</w:t>
      </w:r>
      <w:r>
        <w:rPr>
          <w:rFonts w:ascii="Times New Roman" w:hAnsi="Times New Roman"/>
          <w:color w:val="000000"/>
          <w:sz w:val="20"/>
        </w:rPr>
        <w:t xml:space="preserve">     </w:t>
      </w:r>
      <w:r>
        <w:rPr>
          <w:rFonts w:ascii="Times New Roman" w:hAnsi="Times New Roman"/>
          <w:b/>
          <w:color w:val="000000"/>
          <w:sz w:val="24"/>
        </w:rPr>
        <w:t>Amendments, Supplements and Waivers</w:t>
      </w:r>
      <w:r>
        <w:rPr>
          <w:rFonts w:ascii="Times New Roman" w:hAnsi="Times New Roman"/>
          <w:color w:val="000000"/>
          <w:sz w:val="24"/>
        </w:rPr>
        <w:t>. The Company and the Trustee may amend or supplement the Indenture or the Notes or waive compliance with any provision of the Indenture or the Notes in the manner, and subject to the terms, set forth in Section 7.05 and Article 8 of the Indenture.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b/>
          <w:color w:val="000000"/>
          <w:sz w:val="24"/>
        </w:rPr>
        <w:t>No Personal Liability of Directors, Officers, Employees and Shareholders</w:t>
      </w:r>
      <w:r>
        <w:rPr>
          <w:rFonts w:ascii="Times New Roman" w:hAnsi="Times New Roman"/>
          <w:color w:val="000000"/>
          <w:sz w:val="24"/>
        </w:rPr>
        <w:t>. No past, present or future director, officer, employee, incorporator or shareholder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13.</w:t>
      </w:r>
      <w:r>
        <w:rPr>
          <w:rFonts w:ascii="Times New Roman" w:hAnsi="Times New Roman"/>
          <w:color w:val="000000"/>
          <w:sz w:val="20"/>
        </w:rPr>
        <w:t xml:space="preserve">      </w:t>
      </w:r>
      <w:r>
        <w:rPr>
          <w:rFonts w:ascii="Times New Roman" w:hAnsi="Times New Roman"/>
          <w:b/>
          <w:color w:val="000000"/>
          <w:sz w:val="24"/>
        </w:rPr>
        <w:t>Authentication</w:t>
      </w:r>
      <w:r>
        <w:rPr>
          <w:rFonts w:ascii="Times New Roman" w:hAnsi="Times New Roman"/>
          <w:color w:val="000000"/>
          <w:sz w:val="24"/>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14.</w:t>
      </w:r>
      <w:r>
        <w:rPr>
          <w:rFonts w:ascii="Times New Roman" w:hAnsi="Times New Roman"/>
          <w:color w:val="000000"/>
          <w:sz w:val="20"/>
        </w:rPr>
        <w:t xml:space="preserve">      </w:t>
      </w:r>
      <w:r>
        <w:rPr>
          <w:rFonts w:ascii="Times New Roman" w:hAnsi="Times New Roman"/>
          <w:b/>
          <w:color w:val="000000"/>
          <w:sz w:val="24"/>
        </w:rPr>
        <w:t>Abbreviations</w:t>
      </w:r>
      <w:r>
        <w:rPr>
          <w:rFonts w:ascii="Times New Roman" w:hAnsi="Times New Roman"/>
          <w:color w:val="000000"/>
          <w:sz w:val="24"/>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b/>
          <w:color w:val="000000"/>
          <w:sz w:val="24"/>
        </w:rPr>
        <w:t>Governing Law</w:t>
      </w:r>
      <w:r>
        <w:rPr>
          <w:rFonts w:ascii="Times New Roman" w:hAnsi="Times New Roman"/>
          <w:color w:val="000000"/>
          <w:sz w:val="24"/>
        </w:rPr>
        <w:t>. THIS NOTE, AND ANY CLAIM, CONTROVERSY OR DISPUTE ARISING UNDER OR RELATED TO THIS NOTE, WILL BE GOVERNED BY AND CONSTRUED IN ACCORDANCE WITH THE LAWS OF THE STATE OF NEW YORK.</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 * *</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To request a copy of the Indenture, which the Company will provide to any Holder at no charge, please send a written request to the following address: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Level 6, 55 Market Street</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Sydney, NSW 2000 Australia</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Attention: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A-5</w:t>
      </w:r>
    </w:p>
    <w:p>
      <w:pPr>
        <w:pStyle w:val="HorizontalLine"/>
        <w:pBdr>
          <w:bottom w:val="single" w:sz="12" w:space="0" w:color="808080"/>
        </w:pBdr>
        <w:bidi w:val="0"/>
        <w:spacing w:before="180" w:after="180"/>
        <w:jc w:val="left"/>
        <w:rPr/>
      </w:pPr>
      <w:r>
        <w:rPr/>
      </w:r>
    </w:p>
    <w:p>
      <w:pPr>
        <w:pStyle w:val="TextBody"/>
        <w:bidi w:val="0"/>
        <w:spacing w:lineRule="auto" w:line="240" w:before="0" w:after="0"/>
        <w:jc w:val="center"/>
        <w:rPr>
          <w:rFonts w:ascii="Times New Roman;serif" w:hAnsi="Times New Roman;serif"/>
          <w:color w:val="000000"/>
          <w:sz w:val="24"/>
        </w:rPr>
      </w:pPr>
      <w:r>
        <w:rPr>
          <w:rFonts w:ascii="Times New Roman" w:hAnsi="Times New Roman"/>
          <w:b/>
          <w:color w:val="000000"/>
          <w:sz w:val="24"/>
        </w:rPr>
        <w:t>SCHEDULE OF EXCHANGES OF INTERESTS IN THE GLOBAL NOTE</w:t>
      </w:r>
      <w:r>
        <w:rPr>
          <w:rFonts w:ascii="Times New Roman;serif" w:hAnsi="Times New Roman;serif"/>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INITIAL PRINCIPAL AMOUNT OF THIS GLOBAL NOTE: $[___]</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following exchanges, transfers or cancellations of this Global Note have been made:</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47" w:name="za89c01a2486149988596aab22dc262df"/>
      <w:bookmarkStart w:id="248" w:name="za89c01a2486149988596aab22dc262df"/>
      <w:bookmarkEnd w:id="248"/>
    </w:p>
    <w:tbl>
      <w:tblPr>
        <w:tblW w:w="7085" w:type="dxa"/>
        <w:jc w:val="left"/>
        <w:tblInd w:w="0" w:type="dxa"/>
        <w:tblLayout w:type="fixed"/>
        <w:tblCellMar>
          <w:top w:w="0" w:type="dxa"/>
          <w:left w:w="0" w:type="dxa"/>
          <w:bottom w:w="28" w:type="dxa"/>
          <w:right w:w="0" w:type="dxa"/>
        </w:tblCellMar>
      </w:tblPr>
      <w:tblGrid>
        <w:gridCol w:w="515"/>
        <w:gridCol w:w="60"/>
        <w:gridCol w:w="2105"/>
        <w:gridCol w:w="60"/>
        <w:gridCol w:w="2165"/>
        <w:gridCol w:w="60"/>
        <w:gridCol w:w="2120"/>
      </w:tblGrid>
      <w:tr>
        <w:trPr/>
        <w:tc>
          <w:tcPr>
            <w:tcW w:w="515" w:type="dxa"/>
            <w:tcBorders>
              <w:bottom w:val="single" w:sz="2" w:space="0" w:color="000000"/>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Date</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Amount of Increase</w:t>
            </w:r>
          </w:p>
          <w:p>
            <w:pPr>
              <w:pStyle w:val="TableContents"/>
              <w:bidi w:val="0"/>
              <w:spacing w:before="0" w:after="0"/>
              <w:jc w:val="center"/>
              <w:rPr>
                <w:rFonts w:ascii="Times New Roman" w:hAnsi="Times New Roman"/>
                <w:b/>
                <w:sz w:val="24"/>
              </w:rPr>
            </w:pPr>
            <w:r>
              <w:rPr>
                <w:rFonts w:ascii="Times New Roman" w:hAnsi="Times New Roman"/>
                <w:b/>
                <w:sz w:val="24"/>
              </w:rPr>
              <w:t>(Decrease) in</w:t>
            </w:r>
          </w:p>
          <w:p>
            <w:pPr>
              <w:pStyle w:val="TableContents"/>
              <w:bidi w:val="0"/>
              <w:spacing w:before="0" w:after="0"/>
              <w:jc w:val="center"/>
              <w:rPr>
                <w:rFonts w:ascii="Times New Roman" w:hAnsi="Times New Roman"/>
                <w:b/>
                <w:sz w:val="24"/>
              </w:rPr>
            </w:pPr>
            <w:r>
              <w:rPr>
                <w:rFonts w:ascii="Times New Roman" w:hAnsi="Times New Roman"/>
                <w:b/>
                <w:sz w:val="24"/>
              </w:rPr>
              <w:t>Principal Amount of</w:t>
            </w:r>
          </w:p>
          <w:p>
            <w:pPr>
              <w:pStyle w:val="TableContents"/>
              <w:bidi w:val="0"/>
              <w:spacing w:before="0" w:after="0"/>
              <w:jc w:val="center"/>
              <w:rPr>
                <w:rFonts w:ascii="Times New Roman" w:hAnsi="Times New Roman"/>
                <w:b/>
                <w:sz w:val="24"/>
              </w:rPr>
            </w:pPr>
            <w:r>
              <w:rPr>
                <w:rFonts w:ascii="Times New Roman" w:hAnsi="Times New Roman"/>
                <w:b/>
                <w:sz w:val="24"/>
              </w:rPr>
              <w:t>this Global Note</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 xml:space="preserve">Principal Amount of </w:t>
            </w:r>
          </w:p>
          <w:p>
            <w:pPr>
              <w:pStyle w:val="TableContents"/>
              <w:bidi w:val="0"/>
              <w:spacing w:before="0" w:after="0"/>
              <w:jc w:val="center"/>
              <w:rPr>
                <w:rFonts w:ascii="Times New Roman" w:hAnsi="Times New Roman"/>
                <w:b/>
                <w:sz w:val="24"/>
              </w:rPr>
            </w:pPr>
            <w:r>
              <w:rPr>
                <w:rFonts w:ascii="Times New Roman" w:hAnsi="Times New Roman"/>
                <w:b/>
                <w:sz w:val="24"/>
              </w:rPr>
              <w:t>this Global Note</w:t>
            </w:r>
          </w:p>
          <w:p>
            <w:pPr>
              <w:pStyle w:val="TableContents"/>
              <w:bidi w:val="0"/>
              <w:spacing w:before="0" w:after="0"/>
              <w:jc w:val="center"/>
              <w:rPr>
                <w:rFonts w:ascii="Times New Roman" w:hAnsi="Times New Roman"/>
                <w:b/>
                <w:sz w:val="24"/>
              </w:rPr>
            </w:pPr>
            <w:r>
              <w:rPr>
                <w:rFonts w:ascii="Times New Roman" w:hAnsi="Times New Roman"/>
                <w:b/>
                <w:sz w:val="24"/>
              </w:rPr>
              <w:t xml:space="preserve">After Such Increase </w:t>
            </w:r>
          </w:p>
          <w:p>
            <w:pPr>
              <w:pStyle w:val="TableContents"/>
              <w:bidi w:val="0"/>
              <w:spacing w:before="0" w:after="0"/>
              <w:jc w:val="center"/>
              <w:rPr>
                <w:rFonts w:ascii="Times New Roman" w:hAnsi="Times New Roman"/>
                <w:b/>
                <w:sz w:val="24"/>
              </w:rPr>
            </w:pPr>
            <w:r>
              <w:rPr>
                <w:rFonts w:ascii="Times New Roman" w:hAnsi="Times New Roman"/>
                <w:b/>
                <w:sz w:val="24"/>
              </w:rPr>
              <w:t>(Decrease)</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 xml:space="preserve">Signature of </w:t>
            </w:r>
          </w:p>
          <w:p>
            <w:pPr>
              <w:pStyle w:val="TableContents"/>
              <w:bidi w:val="0"/>
              <w:spacing w:before="0" w:after="0"/>
              <w:jc w:val="center"/>
              <w:rPr>
                <w:rFonts w:ascii="Times New Roman" w:hAnsi="Times New Roman"/>
                <w:b/>
                <w:sz w:val="24"/>
              </w:rPr>
            </w:pPr>
            <w:r>
              <w:rPr>
                <w:rFonts w:ascii="Times New Roman" w:hAnsi="Times New Roman"/>
                <w:b/>
                <w:sz w:val="24"/>
              </w:rPr>
              <w:t xml:space="preserve">Authorized </w:t>
            </w:r>
          </w:p>
          <w:p>
            <w:pPr>
              <w:pStyle w:val="TableContents"/>
              <w:bidi w:val="0"/>
              <w:spacing w:before="0" w:after="0"/>
              <w:jc w:val="center"/>
              <w:rPr>
                <w:rFonts w:ascii="Times New Roman" w:hAnsi="Times New Roman"/>
                <w:b/>
                <w:sz w:val="24"/>
              </w:rPr>
            </w:pPr>
            <w:r>
              <w:rPr>
                <w:rFonts w:ascii="Times New Roman" w:hAnsi="Times New Roman"/>
                <w:b/>
                <w:sz w:val="24"/>
              </w:rPr>
              <w:t>Signatory of Trustee</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r>
        <w:trPr/>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49" w:name="z3485e90b6d5d4abea87bd5c483aa20d0"/>
      <w:bookmarkStart w:id="250" w:name="z3485e90b6d5d4abea87bd5c483aa20d0"/>
      <w:bookmarkEnd w:id="250"/>
    </w:p>
    <w:tbl>
      <w:tblPr>
        <w:tblW w:w="2470" w:type="dxa"/>
        <w:jc w:val="left"/>
        <w:tblInd w:w="0" w:type="dxa"/>
        <w:tblLayout w:type="fixed"/>
        <w:tblCellMar>
          <w:top w:w="0" w:type="dxa"/>
          <w:left w:w="0" w:type="dxa"/>
          <w:bottom w:w="0" w:type="dxa"/>
          <w:right w:w="0" w:type="dxa"/>
        </w:tblCellMar>
      </w:tblPr>
      <w:tblGrid>
        <w:gridCol w:w="140"/>
        <w:gridCol w:w="2330"/>
      </w:tblGrid>
      <w:tr>
        <w:trPr/>
        <w:tc>
          <w:tcPr>
            <w:tcW w:w="1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Insert for Global Notes only.</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A-6</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CONVERSION NOTICE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1.00% Convertible Senior Notes due 2033</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Subject to the terms of the Indenture, by executing and delivering this Conversion Notice, the undersigned Holder of the Note identified below directs the Company to Convert (check one):</w:t>
      </w:r>
    </w:p>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51" w:name="z0210f1de4d604f86a4b7e187dc202115"/>
      <w:bookmarkStart w:id="252" w:name="z0210f1de4d604f86a4b7e187dc202115"/>
      <w:bookmarkEnd w:id="252"/>
    </w:p>
    <w:tbl>
      <w:tblPr>
        <w:tblW w:w="3055" w:type="dxa"/>
        <w:jc w:val="left"/>
        <w:tblInd w:w="0" w:type="dxa"/>
        <w:tblLayout w:type="fixed"/>
        <w:tblCellMar>
          <w:top w:w="0" w:type="dxa"/>
          <w:left w:w="0" w:type="dxa"/>
          <w:bottom w:w="0" w:type="dxa"/>
          <w:right w:w="0" w:type="dxa"/>
        </w:tblCellMar>
      </w:tblPr>
      <w:tblGrid>
        <w:gridCol w:w="245"/>
        <w:gridCol w:w="2810"/>
      </w:tblGrid>
      <w:tr>
        <w:trPr/>
        <w:tc>
          <w:tcPr>
            <w:tcW w:w="245"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entire principal amount of</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53" w:name="zbf09ed4d55464afbb32a850749c54d46"/>
      <w:bookmarkStart w:id="254" w:name="zbf09ed4d55464afbb32a850749c54d46"/>
      <w:bookmarkEnd w:id="254"/>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4"/>
              </w:rPr>
              <w:t>$</w:t>
            </w:r>
            <w:r>
              <w:rPr>
                <w:rFonts w:ascii="Times New Roman" w:hAnsi="Times New Roman"/>
                <w:sz w:val="24"/>
                <w:u w:val="single"/>
              </w:rPr>
              <w:t xml:space="preserve">                     </w:t>
            </w:r>
            <w:r>
              <w:rPr>
                <w:rFonts w:ascii="Times New Roman" w:hAnsi="Times New Roman"/>
                <w:sz w:val="24"/>
              </w:rPr>
              <w:t>* aggregate principal amount of</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Note identified by CUSIP No. </w:t>
      </w:r>
      <w:r>
        <w:rPr>
          <w:rFonts w:ascii="Times New Roman" w:hAnsi="Times New Roman"/>
          <w:color w:val="000000"/>
          <w:sz w:val="24"/>
          <w:u w:val="single"/>
        </w:rPr>
        <w:t xml:space="preserve">                     </w:t>
      </w:r>
      <w:r>
        <w:rPr>
          <w:rFonts w:ascii="Times New Roman" w:hAnsi="Times New Roman"/>
          <w:color w:val="000000"/>
          <w:sz w:val="24"/>
        </w:rPr>
        <w:t xml:space="preserve">and Certificate No. </w:t>
      </w:r>
      <w:r>
        <w:rPr>
          <w:rFonts w:ascii="Times New Roman" w:hAnsi="Times New Roman"/>
          <w:color w:val="000000"/>
          <w:sz w:val="24"/>
          <w:u w:val="single"/>
        </w:rPr>
        <w:t xml:space="preserve">                     </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55" w:name="zd59cb730799640389fc203a7e1c3e62d"/>
      <w:bookmarkStart w:id="256" w:name="zd59cb730799640389fc203a7e1c3e62d"/>
      <w:bookmarkEnd w:id="256"/>
    </w:p>
    <w:tbl>
      <w:tblPr>
        <w:tblW w:w="2965" w:type="dxa"/>
        <w:jc w:val="left"/>
        <w:tblInd w:w="0" w:type="dxa"/>
        <w:tblLayout w:type="fixed"/>
        <w:tblCellMar>
          <w:top w:w="0" w:type="dxa"/>
          <w:left w:w="0" w:type="dxa"/>
          <w:bottom w:w="0" w:type="dxa"/>
          <w:right w:w="0" w:type="dxa"/>
        </w:tblCellMar>
      </w:tblPr>
      <w:tblGrid>
        <w:gridCol w:w="530"/>
        <w:gridCol w:w="60"/>
        <w:gridCol w:w="60"/>
        <w:gridCol w:w="2315"/>
      </w:tblGrid>
      <w:tr>
        <w:trPr/>
        <w:tc>
          <w:tcPr>
            <w:tcW w:w="530" w:type="dxa"/>
            <w:tcBorders/>
            <w:vAlign w:val="center"/>
          </w:tcPr>
          <w:p>
            <w:pPr>
              <w:pStyle w:val="TableContents"/>
              <w:bidi w:val="0"/>
              <w:spacing w:before="0" w:after="0"/>
              <w:jc w:val="both"/>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center"/>
              <w:rPr>
                <w:sz w:val="24"/>
              </w:rPr>
            </w:pPr>
            <w:r>
              <w:rPr>
                <w:sz w:val="24"/>
              </w:rPr>
              <w:t>(Legal Name of Holder)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7" w:name="z791e25c2a28f4cf592a31fcb5c26fe63"/>
      <w:bookmarkStart w:id="258" w:name="z791e25c2a28f4cf592a31fcb5c26fe63"/>
      <w:bookmarkEnd w:id="258"/>
    </w:p>
    <w:tbl>
      <w:tblPr>
        <w:tblW w:w="1075" w:type="dxa"/>
        <w:jc w:val="left"/>
        <w:tblInd w:w="0" w:type="dxa"/>
        <w:tblLayout w:type="fixed"/>
        <w:tblCellMar>
          <w:top w:w="0" w:type="dxa"/>
          <w:left w:w="0" w:type="dxa"/>
          <w:bottom w:w="0" w:type="dxa"/>
          <w:right w:w="0" w:type="dxa"/>
        </w:tblCellMar>
      </w:tblPr>
      <w:tblGrid>
        <w:gridCol w:w="60"/>
        <w:gridCol w:w="365"/>
        <w:gridCol w:w="65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65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Name:</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Title:</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59" w:name="zcb4d410b3a4f493ea014305733c1989c"/>
      <w:bookmarkStart w:id="260" w:name="zcb4d410b3a4f493ea014305733c1989c"/>
      <w:bookmarkEnd w:id="260"/>
    </w:p>
    <w:tbl>
      <w:tblPr>
        <w:tblW w:w="3635" w:type="dxa"/>
        <w:jc w:val="left"/>
        <w:tblInd w:w="0" w:type="dxa"/>
        <w:tblLayout w:type="fixed"/>
        <w:tblCellMar>
          <w:top w:w="0" w:type="dxa"/>
          <w:left w:w="0" w:type="dxa"/>
          <w:bottom w:w="0" w:type="dxa"/>
          <w:right w:w="0" w:type="dxa"/>
        </w:tblCellMar>
      </w:tblPr>
      <w:tblGrid>
        <w:gridCol w:w="60"/>
        <w:gridCol w:w="3575"/>
      </w:tblGrid>
      <w:tr>
        <w:trPr/>
        <w:tc>
          <w:tcPr>
            <w:tcW w:w="60" w:type="dxa"/>
            <w:tcBorders/>
            <w:vAlign w:val="center"/>
          </w:tcPr>
          <w:p>
            <w:pPr>
              <w:pStyle w:val="TableContents"/>
              <w:bidi w:val="0"/>
              <w:spacing w:before="0" w:after="0"/>
              <w:jc w:val="both"/>
              <w:rPr>
                <w:sz w:val="24"/>
                <w:szCs w:val="24"/>
              </w:rPr>
            </w:pPr>
            <w:r>
              <w:rPr>
                <w:sz w:val="24"/>
                <w:szCs w:val="24"/>
              </w:rPr>
            </w:r>
          </w:p>
        </w:tc>
        <w:tc>
          <w:tcPr>
            <w:tcW w:w="3575" w:type="dxa"/>
            <w:tcBorders/>
            <w:vAlign w:val="center"/>
          </w:tcPr>
          <w:p>
            <w:pPr>
              <w:pStyle w:val="TableContents"/>
              <w:bidi w:val="0"/>
              <w:spacing w:before="0" w:after="0"/>
              <w:jc w:val="both"/>
              <w:rPr>
                <w:sz w:val="24"/>
              </w:rPr>
            </w:pPr>
            <w:r>
              <w:rPr>
                <w:sz w:val="24"/>
              </w:rPr>
              <w:t>Signature Guaranteed:</w:t>
            </w:r>
          </w:p>
        </w:tc>
      </w:tr>
      <w:tr>
        <w:trPr/>
        <w:tc>
          <w:tcPr>
            <w:tcW w:w="60" w:type="dxa"/>
            <w:tcBorders/>
            <w:vAlign w:val="center"/>
          </w:tcPr>
          <w:p>
            <w:pPr>
              <w:pStyle w:val="TableContents"/>
              <w:bidi w:val="0"/>
              <w:spacing w:before="0" w:after="283"/>
              <w:jc w:val="left"/>
              <w:rPr/>
            </w:pPr>
            <w:r>
              <w:rPr/>
              <w:t> </w:t>
            </w:r>
          </w:p>
        </w:tc>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Participant in a Recognized Signature</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Guarantee Medallion Program</w:t>
            </w:r>
          </w:p>
        </w:tc>
      </w:tr>
    </w:tbl>
    <w:p>
      <w:pPr>
        <w:pStyle w:val="TextBody"/>
        <w:bidi w:val="0"/>
        <w:spacing w:before="0" w:after="0"/>
        <w:jc w:val="left"/>
        <w:rPr>
          <w:color w:val="000000"/>
        </w:rPr>
      </w:pPr>
      <w:r>
        <w:rPr>
          <w:color w:val="000000"/>
        </w:rPr>
        <w:t xml:space="preserve">  </w:t>
      </w:r>
      <w:bookmarkStart w:id="261" w:name="z3b71078ae6a9491db1e595c5857a08de"/>
      <w:bookmarkEnd w:id="261"/>
    </w:p>
    <w:tbl>
      <w:tblPr>
        <w:tblW w:w="2485" w:type="dxa"/>
        <w:jc w:val="left"/>
        <w:tblInd w:w="0" w:type="dxa"/>
        <w:tblLayout w:type="fixed"/>
        <w:tblCellMar>
          <w:top w:w="0" w:type="dxa"/>
          <w:left w:w="0" w:type="dxa"/>
          <w:bottom w:w="0" w:type="dxa"/>
          <w:right w:w="0" w:type="dxa"/>
        </w:tblCellMar>
      </w:tblPr>
      <w:tblGrid>
        <w:gridCol w:w="60"/>
        <w:gridCol w:w="365"/>
        <w:gridCol w:w="206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20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sz w:val="24"/>
              </w:rPr>
            </w:pPr>
            <w:r>
              <w:rPr>
                <w:sz w:val="24"/>
              </w:rPr>
              <w:t>Authorized Signatory</w:t>
            </w:r>
          </w:p>
        </w:tc>
      </w:tr>
    </w:tbl>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62" w:name="z6be30e9e30134293892096100301cd81"/>
      <w:bookmarkStart w:id="263" w:name="z6be30e9e30134293892096100301cd81"/>
      <w:bookmarkEnd w:id="263"/>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Must be an Authorized Denomination.</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A-7</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FUNDAMENTAL CHANGE REPURCHASE NOTICE</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1.00% Convertible Senior Notes due 2033</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64" w:name="z32be5797d49842e6802e8e5105f6e3fd"/>
      <w:bookmarkStart w:id="265" w:name="z32be5797d49842e6802e8e5105f6e3fd"/>
      <w:bookmarkEnd w:id="265"/>
    </w:p>
    <w:tbl>
      <w:tblPr>
        <w:tblW w:w="3055" w:type="dxa"/>
        <w:jc w:val="left"/>
        <w:tblInd w:w="0" w:type="dxa"/>
        <w:tblLayout w:type="fixed"/>
        <w:tblCellMar>
          <w:top w:w="0" w:type="dxa"/>
          <w:left w:w="0" w:type="dxa"/>
          <w:bottom w:w="0" w:type="dxa"/>
          <w:right w:w="0" w:type="dxa"/>
        </w:tblCellMar>
      </w:tblPr>
      <w:tblGrid>
        <w:gridCol w:w="245"/>
        <w:gridCol w:w="2810"/>
      </w:tblGrid>
      <w:tr>
        <w:trPr/>
        <w:tc>
          <w:tcPr>
            <w:tcW w:w="245"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entire principal amount of</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66" w:name="z2b6ab390b54143688bb59312fe41b651"/>
      <w:bookmarkStart w:id="267" w:name="z2b6ab390b54143688bb59312fe41b651"/>
      <w:bookmarkEnd w:id="267"/>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4"/>
              </w:rPr>
              <w:t>$</w:t>
            </w:r>
            <w:r>
              <w:rPr>
                <w:rFonts w:ascii="Times New Roman" w:hAnsi="Times New Roman"/>
                <w:sz w:val="24"/>
                <w:u w:val="single"/>
              </w:rPr>
              <w:t xml:space="preserve">                     </w:t>
            </w:r>
            <w:r>
              <w:rPr>
                <w:rFonts w:ascii="Times New Roman" w:hAnsi="Times New Roman"/>
                <w:sz w:val="24"/>
              </w:rPr>
              <w:t>* aggregate principal amount of</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Note identified by CUSIP No. </w:t>
      </w:r>
      <w:r>
        <w:rPr>
          <w:rFonts w:ascii="Times New Roman" w:hAnsi="Times New Roman"/>
          <w:color w:val="000000"/>
          <w:sz w:val="24"/>
          <w:u w:val="single"/>
        </w:rPr>
        <w:t xml:space="preserve">                     </w:t>
      </w:r>
      <w:r>
        <w:rPr>
          <w:rFonts w:ascii="Times New Roman" w:hAnsi="Times New Roman"/>
          <w:color w:val="000000"/>
          <w:sz w:val="24"/>
        </w:rPr>
        <w:t xml:space="preserve">and Certificate No. </w:t>
      </w:r>
      <w:r>
        <w:rPr>
          <w:rFonts w:ascii="Times New Roman" w:hAnsi="Times New Roman"/>
          <w:color w:val="000000"/>
          <w:sz w:val="24"/>
          <w:u w:val="single"/>
        </w:rPr>
        <w:t xml:space="preserve">                     </w:t>
      </w:r>
      <w:r>
        <w:rPr>
          <w:rFonts w:ascii="Times New Roman" w:hAnsi="Times New Roman"/>
          <w:color w:val="000000"/>
          <w:sz w:val="24"/>
        </w:rPr>
        <w: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undersigned acknowledges that this Note, duly endorsed for transfer, must be delivered to the Paying Agent before the Fundamental Change Repurchase Price will be paid.</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68" w:name="za78b12d5d1be4579b6ac93f9c9b68cc2"/>
      <w:bookmarkStart w:id="269" w:name="za78b12d5d1be4579b6ac93f9c9b68cc2"/>
      <w:bookmarkEnd w:id="269"/>
    </w:p>
    <w:tbl>
      <w:tblPr>
        <w:tblW w:w="2965" w:type="dxa"/>
        <w:jc w:val="left"/>
        <w:tblInd w:w="0" w:type="dxa"/>
        <w:tblLayout w:type="fixed"/>
        <w:tblCellMar>
          <w:top w:w="0" w:type="dxa"/>
          <w:left w:w="0" w:type="dxa"/>
          <w:bottom w:w="0" w:type="dxa"/>
          <w:right w:w="0" w:type="dxa"/>
        </w:tblCellMar>
      </w:tblPr>
      <w:tblGrid>
        <w:gridCol w:w="530"/>
        <w:gridCol w:w="60"/>
        <w:gridCol w:w="60"/>
        <w:gridCol w:w="2315"/>
      </w:tblGrid>
      <w:tr>
        <w:trPr/>
        <w:tc>
          <w:tcPr>
            <w:tcW w:w="530" w:type="dxa"/>
            <w:tcBorders/>
            <w:vAlign w:val="center"/>
          </w:tcPr>
          <w:p>
            <w:pPr>
              <w:pStyle w:val="TableContents"/>
              <w:bidi w:val="0"/>
              <w:spacing w:before="0" w:after="0"/>
              <w:jc w:val="both"/>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center"/>
              <w:rPr>
                <w:sz w:val="24"/>
              </w:rPr>
            </w:pPr>
            <w:r>
              <w:rPr>
                <w:sz w:val="24"/>
              </w:rPr>
              <w:t>(Legal Name of Holder)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0" w:name="zf72f0c1680c34ec4be995f22d21f90fa"/>
      <w:bookmarkStart w:id="271" w:name="zf72f0c1680c34ec4be995f22d21f90fa"/>
      <w:bookmarkEnd w:id="271"/>
    </w:p>
    <w:tbl>
      <w:tblPr>
        <w:tblW w:w="1075" w:type="dxa"/>
        <w:jc w:val="left"/>
        <w:tblInd w:w="0" w:type="dxa"/>
        <w:tblLayout w:type="fixed"/>
        <w:tblCellMar>
          <w:top w:w="0" w:type="dxa"/>
          <w:left w:w="0" w:type="dxa"/>
          <w:bottom w:w="0" w:type="dxa"/>
          <w:right w:w="0" w:type="dxa"/>
        </w:tblCellMar>
      </w:tblPr>
      <w:tblGrid>
        <w:gridCol w:w="60"/>
        <w:gridCol w:w="365"/>
        <w:gridCol w:w="65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65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Name:</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Title:</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72" w:name="z815d44a3697946f59f133f38a18648a2"/>
      <w:bookmarkStart w:id="273" w:name="z815d44a3697946f59f133f38a18648a2"/>
      <w:bookmarkEnd w:id="273"/>
    </w:p>
    <w:tbl>
      <w:tblPr>
        <w:tblW w:w="3635" w:type="dxa"/>
        <w:jc w:val="left"/>
        <w:tblInd w:w="0" w:type="dxa"/>
        <w:tblLayout w:type="fixed"/>
        <w:tblCellMar>
          <w:top w:w="0" w:type="dxa"/>
          <w:left w:w="0" w:type="dxa"/>
          <w:bottom w:w="0" w:type="dxa"/>
          <w:right w:w="0" w:type="dxa"/>
        </w:tblCellMar>
      </w:tblPr>
      <w:tblGrid>
        <w:gridCol w:w="60"/>
        <w:gridCol w:w="3575"/>
      </w:tblGrid>
      <w:tr>
        <w:trPr/>
        <w:tc>
          <w:tcPr>
            <w:tcW w:w="60" w:type="dxa"/>
            <w:tcBorders/>
            <w:vAlign w:val="center"/>
          </w:tcPr>
          <w:p>
            <w:pPr>
              <w:pStyle w:val="TableContents"/>
              <w:bidi w:val="0"/>
              <w:spacing w:before="0" w:after="0"/>
              <w:jc w:val="both"/>
              <w:rPr>
                <w:sz w:val="24"/>
                <w:szCs w:val="24"/>
              </w:rPr>
            </w:pPr>
            <w:r>
              <w:rPr>
                <w:sz w:val="24"/>
                <w:szCs w:val="24"/>
              </w:rPr>
            </w:r>
          </w:p>
        </w:tc>
        <w:tc>
          <w:tcPr>
            <w:tcW w:w="3575" w:type="dxa"/>
            <w:tcBorders/>
            <w:vAlign w:val="center"/>
          </w:tcPr>
          <w:p>
            <w:pPr>
              <w:pStyle w:val="TableContents"/>
              <w:bidi w:val="0"/>
              <w:spacing w:before="0" w:after="0"/>
              <w:jc w:val="both"/>
              <w:rPr>
                <w:sz w:val="24"/>
              </w:rPr>
            </w:pPr>
            <w:r>
              <w:rPr>
                <w:sz w:val="24"/>
              </w:rPr>
              <w:t>Signature Guaranteed:</w:t>
            </w:r>
          </w:p>
        </w:tc>
      </w:tr>
      <w:tr>
        <w:trPr/>
        <w:tc>
          <w:tcPr>
            <w:tcW w:w="60" w:type="dxa"/>
            <w:tcBorders/>
            <w:vAlign w:val="center"/>
          </w:tcPr>
          <w:p>
            <w:pPr>
              <w:pStyle w:val="TableContents"/>
              <w:bidi w:val="0"/>
              <w:spacing w:before="0" w:after="283"/>
              <w:jc w:val="left"/>
              <w:rPr/>
            </w:pPr>
            <w:r>
              <w:rPr/>
              <w:t> </w:t>
            </w:r>
          </w:p>
        </w:tc>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Participant in a Recognized Signature</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Guarantee Medallion Program</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74" w:name="z90c8214f3cef4f95bb721636e4f22cc1"/>
      <w:bookmarkStart w:id="275" w:name="z90c8214f3cef4f95bb721636e4f22cc1"/>
      <w:bookmarkEnd w:id="275"/>
    </w:p>
    <w:tbl>
      <w:tblPr>
        <w:tblW w:w="2485" w:type="dxa"/>
        <w:jc w:val="left"/>
        <w:tblInd w:w="0" w:type="dxa"/>
        <w:tblLayout w:type="fixed"/>
        <w:tblCellMar>
          <w:top w:w="0" w:type="dxa"/>
          <w:left w:w="0" w:type="dxa"/>
          <w:bottom w:w="0" w:type="dxa"/>
          <w:right w:w="0" w:type="dxa"/>
        </w:tblCellMar>
      </w:tblPr>
      <w:tblGrid>
        <w:gridCol w:w="60"/>
        <w:gridCol w:w="365"/>
        <w:gridCol w:w="206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20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sz w:val="24"/>
              </w:rPr>
            </w:pPr>
            <w:r>
              <w:rPr>
                <w:sz w:val="24"/>
              </w:rPr>
              <w:t>Authorized Signatory</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76" w:name="z872ef890f6d24132a26b832020082481"/>
      <w:bookmarkStart w:id="277" w:name="z872ef890f6d24132a26b832020082481"/>
      <w:bookmarkEnd w:id="277"/>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w:t>
            </w:r>
          </w:p>
        </w:tc>
        <w:tc>
          <w:tcPr>
            <w:tcW w:w="3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Must be an Authorized Denomination.</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A-8</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ASSIGNMENT FORM</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IREN LIMITED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1.00% Convertible Senior Notes due 2033</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Subject to the terms of the Indenture, the undersigned Holder of the Note identified below assigns (check one):</w:t>
      </w:r>
    </w:p>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78" w:name="zf48c1c966772451eb80fc2d082470001"/>
      <w:bookmarkStart w:id="279" w:name="zf48c1c966772451eb80fc2d082470001"/>
      <w:bookmarkEnd w:id="279"/>
    </w:p>
    <w:tbl>
      <w:tblPr>
        <w:tblW w:w="3055" w:type="dxa"/>
        <w:jc w:val="left"/>
        <w:tblInd w:w="0" w:type="dxa"/>
        <w:tblLayout w:type="fixed"/>
        <w:tblCellMar>
          <w:top w:w="0" w:type="dxa"/>
          <w:left w:w="0" w:type="dxa"/>
          <w:bottom w:w="0" w:type="dxa"/>
          <w:right w:w="0" w:type="dxa"/>
        </w:tblCellMar>
      </w:tblPr>
      <w:tblGrid>
        <w:gridCol w:w="245"/>
        <w:gridCol w:w="2810"/>
      </w:tblGrid>
      <w:tr>
        <w:trPr/>
        <w:tc>
          <w:tcPr>
            <w:tcW w:w="245"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the entire principal amount of</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80" w:name="z0207b55a432f465394fc134bc0494d62"/>
      <w:bookmarkStart w:id="281" w:name="z0207b55a432f465394fc134bc0494d62"/>
      <w:bookmarkEnd w:id="281"/>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4"/>
              </w:rPr>
              <w:t>$</w:t>
            </w:r>
            <w:r>
              <w:rPr>
                <w:rFonts w:ascii="Times New Roman" w:hAnsi="Times New Roman"/>
                <w:sz w:val="24"/>
                <w:u w:val="single"/>
              </w:rPr>
              <w:t xml:space="preserve">                     </w:t>
            </w:r>
            <w:r>
              <w:rPr>
                <w:rFonts w:ascii="Times New Roman" w:hAnsi="Times New Roman"/>
                <w:sz w:val="24"/>
              </w:rPr>
              <w:t>* aggregate principal amount of</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Note identified by CUSIP No. </w:t>
      </w:r>
      <w:r>
        <w:rPr>
          <w:rFonts w:ascii="Times New Roman" w:hAnsi="Times New Roman"/>
          <w:color w:val="000000"/>
          <w:sz w:val="24"/>
          <w:u w:val="single"/>
        </w:rPr>
        <w:t xml:space="preserve">                     </w:t>
      </w:r>
      <w:r>
        <w:rPr>
          <w:rFonts w:ascii="Times New Roman" w:hAnsi="Times New Roman"/>
          <w:color w:val="000000"/>
          <w:sz w:val="24"/>
        </w:rPr>
        <w:t xml:space="preserve">and Certificate No. </w:t>
      </w:r>
      <w:r>
        <w:rPr>
          <w:rFonts w:ascii="Times New Roman" w:hAnsi="Times New Roman"/>
          <w:color w:val="000000"/>
          <w:sz w:val="24"/>
          <w:u w:val="single"/>
        </w:rPr>
        <w:t xml:space="preserve">                     </w:t>
      </w:r>
      <w:r>
        <w:rPr>
          <w:rFonts w:ascii="Times New Roman" w:hAnsi="Times New Roman"/>
          <w:color w:val="000000"/>
          <w:sz w:val="24"/>
        </w:rPr>
        <w:t>, and all rights thereunder, to:</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82" w:name="z2693035a346c4341a487460b78da0156"/>
      <w:bookmarkStart w:id="283" w:name="z2693035a346c4341a487460b78da0156"/>
      <w:bookmarkEnd w:id="283"/>
    </w:p>
    <w:tbl>
      <w:tblPr>
        <w:tblW w:w="2810" w:type="dxa"/>
        <w:jc w:val="left"/>
        <w:tblInd w:w="0" w:type="dxa"/>
        <w:tblLayout w:type="fixed"/>
        <w:tblCellMar>
          <w:top w:w="0" w:type="dxa"/>
          <w:left w:w="0" w:type="dxa"/>
          <w:bottom w:w="0" w:type="dxa"/>
          <w:right w:w="0" w:type="dxa"/>
        </w:tblCellMar>
      </w:tblPr>
      <w:tblGrid>
        <w:gridCol w:w="75"/>
        <w:gridCol w:w="2660"/>
        <w:gridCol w:w="75"/>
      </w:tblGrid>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sz w:val="24"/>
              </w:rPr>
            </w:pPr>
            <w:r>
              <w:rPr>
                <w:sz w:val="24"/>
              </w:rPr>
              <w:t>Name: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sz w:val="24"/>
              </w:rPr>
            </w:pPr>
            <w:r>
              <w:rPr>
                <w:sz w:val="24"/>
              </w:rPr>
              <w:t>Address:</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lineRule="auto" w:line="240" w:before="0" w:after="0"/>
              <w:jc w:val="both"/>
              <w:rPr>
                <w:sz w:val="24"/>
              </w:rPr>
            </w:pPr>
            <w:r>
              <w:rPr>
                <w:sz w:val="24"/>
              </w:rPr>
              <w:t>Social security or tax id.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35" w:type="dxa"/>
            <w:gridSpan w:val="2"/>
            <w:tcBorders/>
            <w:vAlign w:val="center"/>
          </w:tcPr>
          <w:p>
            <w:pPr>
              <w:pStyle w:val="TableContents"/>
              <w:bidi w:val="0"/>
              <w:spacing w:before="0" w:after="0"/>
              <w:jc w:val="both"/>
              <w:rPr>
                <w:sz w:val="24"/>
              </w:rPr>
            </w:pPr>
            <w:r>
              <w:rPr>
                <w:sz w:val="24"/>
              </w:rPr>
              <w:t>and irrevocably appoints:</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as agent to transfer the within Note on the books of the Company. The agent may substitute another to act for him/her.</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84" w:name="z8f1e4c545d1d4445a0f1424aac70ca26"/>
      <w:bookmarkStart w:id="285" w:name="z8f1e4c545d1d4445a0f1424aac70ca26"/>
      <w:bookmarkEnd w:id="285"/>
    </w:p>
    <w:tbl>
      <w:tblPr>
        <w:tblW w:w="2965" w:type="dxa"/>
        <w:jc w:val="left"/>
        <w:tblInd w:w="0" w:type="dxa"/>
        <w:tblLayout w:type="fixed"/>
        <w:tblCellMar>
          <w:top w:w="0" w:type="dxa"/>
          <w:left w:w="0" w:type="dxa"/>
          <w:bottom w:w="0" w:type="dxa"/>
          <w:right w:w="0" w:type="dxa"/>
        </w:tblCellMar>
      </w:tblPr>
      <w:tblGrid>
        <w:gridCol w:w="530"/>
        <w:gridCol w:w="60"/>
        <w:gridCol w:w="60"/>
        <w:gridCol w:w="2315"/>
      </w:tblGrid>
      <w:tr>
        <w:trPr/>
        <w:tc>
          <w:tcPr>
            <w:tcW w:w="530" w:type="dxa"/>
            <w:tcBorders/>
            <w:vAlign w:val="center"/>
          </w:tcPr>
          <w:p>
            <w:pPr>
              <w:pStyle w:val="TableContents"/>
              <w:bidi w:val="0"/>
              <w:spacing w:before="0" w:after="0"/>
              <w:jc w:val="both"/>
              <w:rPr>
                <w:sz w:val="24"/>
              </w:rPr>
            </w:pPr>
            <w:r>
              <w:rPr>
                <w:sz w:val="24"/>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center"/>
              <w:rPr>
                <w:sz w:val="24"/>
              </w:rPr>
            </w:pPr>
            <w:r>
              <w:rPr>
                <w:sz w:val="24"/>
              </w:rPr>
              <w:t>(Legal Name of Holder)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6" w:name="z78d323884a274e37a4fc5209c9fdc325"/>
      <w:bookmarkStart w:id="287" w:name="z78d323884a274e37a4fc5209c9fdc325"/>
      <w:bookmarkEnd w:id="287"/>
    </w:p>
    <w:tbl>
      <w:tblPr>
        <w:tblW w:w="1075" w:type="dxa"/>
        <w:jc w:val="left"/>
        <w:tblInd w:w="0" w:type="dxa"/>
        <w:tblLayout w:type="fixed"/>
        <w:tblCellMar>
          <w:top w:w="0" w:type="dxa"/>
          <w:left w:w="0" w:type="dxa"/>
          <w:bottom w:w="0" w:type="dxa"/>
          <w:right w:w="0" w:type="dxa"/>
        </w:tblCellMar>
      </w:tblPr>
      <w:tblGrid>
        <w:gridCol w:w="60"/>
        <w:gridCol w:w="365"/>
        <w:gridCol w:w="65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65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Name:</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sz w:val="24"/>
              </w:rPr>
            </w:pPr>
            <w:r>
              <w:rPr>
                <w:sz w:val="24"/>
              </w:rPr>
              <w:t>Title:</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88" w:name="z5f7ceef8525e4c5a92bb55f508dbe8df"/>
      <w:bookmarkStart w:id="289" w:name="z5f7ceef8525e4c5a92bb55f508dbe8df"/>
      <w:bookmarkEnd w:id="289"/>
    </w:p>
    <w:tbl>
      <w:tblPr>
        <w:tblW w:w="3635" w:type="dxa"/>
        <w:jc w:val="left"/>
        <w:tblInd w:w="0" w:type="dxa"/>
        <w:tblLayout w:type="fixed"/>
        <w:tblCellMar>
          <w:top w:w="0" w:type="dxa"/>
          <w:left w:w="0" w:type="dxa"/>
          <w:bottom w:w="0" w:type="dxa"/>
          <w:right w:w="0" w:type="dxa"/>
        </w:tblCellMar>
      </w:tblPr>
      <w:tblGrid>
        <w:gridCol w:w="60"/>
        <w:gridCol w:w="3575"/>
      </w:tblGrid>
      <w:tr>
        <w:trPr/>
        <w:tc>
          <w:tcPr>
            <w:tcW w:w="60" w:type="dxa"/>
            <w:tcBorders/>
            <w:vAlign w:val="center"/>
          </w:tcPr>
          <w:p>
            <w:pPr>
              <w:pStyle w:val="TableContents"/>
              <w:bidi w:val="0"/>
              <w:spacing w:before="0" w:after="0"/>
              <w:jc w:val="both"/>
              <w:rPr>
                <w:sz w:val="24"/>
                <w:szCs w:val="24"/>
              </w:rPr>
            </w:pPr>
            <w:r>
              <w:rPr>
                <w:sz w:val="24"/>
                <w:szCs w:val="24"/>
              </w:rPr>
            </w:r>
          </w:p>
        </w:tc>
        <w:tc>
          <w:tcPr>
            <w:tcW w:w="3575" w:type="dxa"/>
            <w:tcBorders/>
            <w:vAlign w:val="center"/>
          </w:tcPr>
          <w:p>
            <w:pPr>
              <w:pStyle w:val="TableContents"/>
              <w:bidi w:val="0"/>
              <w:spacing w:before="0" w:after="0"/>
              <w:jc w:val="both"/>
              <w:rPr>
                <w:sz w:val="24"/>
              </w:rPr>
            </w:pPr>
            <w:r>
              <w:rPr>
                <w:sz w:val="24"/>
              </w:rPr>
              <w:t>Signature Guaranteed:</w:t>
            </w:r>
          </w:p>
        </w:tc>
      </w:tr>
      <w:tr>
        <w:trPr/>
        <w:tc>
          <w:tcPr>
            <w:tcW w:w="60" w:type="dxa"/>
            <w:tcBorders/>
            <w:vAlign w:val="center"/>
          </w:tcPr>
          <w:p>
            <w:pPr>
              <w:pStyle w:val="TableContents"/>
              <w:bidi w:val="0"/>
              <w:spacing w:before="0" w:after="283"/>
              <w:jc w:val="left"/>
              <w:rPr/>
            </w:pPr>
            <w:r>
              <w:rPr/>
              <w:t> </w:t>
            </w:r>
          </w:p>
        </w:tc>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Participant in a Recognized Signature</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center"/>
              <w:rPr>
                <w:sz w:val="24"/>
              </w:rPr>
            </w:pPr>
            <w:r>
              <w:rPr>
                <w:sz w:val="24"/>
              </w:rPr>
              <w:t>Guarantee Medallion Program</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90" w:name="z5f54523c7f824625a555720a942f893f"/>
      <w:bookmarkStart w:id="291" w:name="z5f54523c7f824625a555720a942f893f"/>
      <w:bookmarkEnd w:id="291"/>
    </w:p>
    <w:tbl>
      <w:tblPr>
        <w:tblW w:w="2485" w:type="dxa"/>
        <w:jc w:val="left"/>
        <w:tblInd w:w="0" w:type="dxa"/>
        <w:tblLayout w:type="fixed"/>
        <w:tblCellMar>
          <w:top w:w="0" w:type="dxa"/>
          <w:left w:w="0" w:type="dxa"/>
          <w:bottom w:w="0" w:type="dxa"/>
          <w:right w:w="0" w:type="dxa"/>
        </w:tblCellMar>
      </w:tblPr>
      <w:tblGrid>
        <w:gridCol w:w="60"/>
        <w:gridCol w:w="365"/>
        <w:gridCol w:w="206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sz w:val="24"/>
              </w:rPr>
            </w:pPr>
            <w:r>
              <w:rPr>
                <w:sz w:val="24"/>
              </w:rPr>
              <w:t>By:</w:t>
            </w:r>
          </w:p>
        </w:tc>
        <w:tc>
          <w:tcPr>
            <w:tcW w:w="20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sz w:val="24"/>
              </w:rPr>
            </w:pPr>
            <w:r>
              <w:rPr>
                <w:sz w:val="24"/>
              </w:rPr>
              <w:t>Authorized Signatory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 Must be an Authorized Denomination.</w:t>
      </w:r>
    </w:p>
    <w:p>
      <w:pPr>
        <w:pStyle w:val="TextBody"/>
        <w:bidi w:val="0"/>
        <w:spacing w:lineRule="auto" w:line="240" w:before="0" w:after="0"/>
        <w:jc w:val="both"/>
        <w:rPr>
          <w:color w:val="000000"/>
        </w:rPr>
      </w:pPr>
      <w:r>
        <w:rPr>
          <w:color w:val="000000"/>
        </w:rPr>
        <w:t xml:space="preserve">† </w:t>
      </w:r>
      <w:r>
        <w:rPr>
          <w:rFonts w:ascii="Times New Roman" w:hAnsi="Times New Roman"/>
          <w:color w:val="000000"/>
          <w:sz w:val="20"/>
        </w:rPr>
        <w:t>The transferee is not required to quote an Australian tax file number; however, if an Australian tax file number is not quoted, tax may be deducted from interest payments, if required by law, at the highest marginal tax rate (plus any applicable government levy) in relation to investors who are Australian tax residents or non-residents of Australia who are investing in carrying on business at or through a permanent establishment in Australia. This tax will not be deducted if the transferee supplies an Australian business number (if applicable) or an appropriate exemption applies to its investment. If an Australian tax file number, Australian business number or proof of exemption is not supplied, the issuer may not be obliged to pay any additional amounts pursuant to Section 3.05 of the Indenture. The use and disclosure of Australian tax file numbers is strictly regulated by Australian tax and privacy laws.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A-9</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TRANSFEROR ACKNOWLEDGMENT</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If the within Note bears a Restricted Note Legend, the undersigned further certifies that (check one):</w:t>
      </w:r>
    </w:p>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92" w:name="zf4a83d3ead1340aba409525c7da35ea1"/>
      <w:bookmarkStart w:id="293" w:name="zf4a83d3ead1340aba409525c7da35ea1"/>
      <w:bookmarkEnd w:id="293"/>
    </w:p>
    <w:tbl>
      <w:tblPr>
        <w:tblW w:w="7870" w:type="dxa"/>
        <w:jc w:val="left"/>
        <w:tblInd w:w="0" w:type="dxa"/>
        <w:tblLayout w:type="fixed"/>
        <w:tblCellMar>
          <w:top w:w="0" w:type="dxa"/>
          <w:left w:w="0" w:type="dxa"/>
          <w:bottom w:w="0" w:type="dxa"/>
          <w:right w:w="0" w:type="dxa"/>
        </w:tblCellMar>
      </w:tblPr>
      <w:tblGrid>
        <w:gridCol w:w="425"/>
        <w:gridCol w:w="7445"/>
      </w:tblGrid>
      <w:tr>
        <w:trPr/>
        <w:tc>
          <w:tcPr>
            <w:tcW w:w="425"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1.☐</w:t>
            </w:r>
          </w:p>
        </w:tc>
        <w:tc>
          <w:tcPr>
            <w:tcW w:w="744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Such Transfer is being made to the Company or a Subsidiary of the Company.</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94" w:name="zcf58538373f745bd9cda9da686c0894b"/>
      <w:bookmarkStart w:id="295" w:name="zcf58538373f745bd9cda9da686c0894b"/>
      <w:bookmarkEnd w:id="295"/>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2.☐</w:t>
            </w:r>
          </w:p>
        </w:tc>
        <w:tc>
          <w:tcPr>
            <w:tcW w:w="9824"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Such Transfer is being made pursuant to, and in accordance with, a registration statement that is effective under the Securities Act at the time of the Transfer.</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96" w:name="z23505ce299324454b35e7e7946d35a94"/>
      <w:bookmarkStart w:id="297" w:name="z23505ce299324454b35e7e7946d35a94"/>
      <w:bookmarkEnd w:id="297"/>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3.☐</w:t>
            </w:r>
          </w:p>
        </w:tc>
        <w:tc>
          <w:tcPr>
            <w:tcW w:w="9882"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298" w:name="z1e1b949edfa3430d8b0c0a755542ed84"/>
      <w:bookmarkStart w:id="299" w:name="z1e1b949edfa3430d8b0c0a755542ed84"/>
      <w:bookmarkEnd w:id="299"/>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4.☐</w:t>
            </w:r>
          </w:p>
        </w:tc>
        <w:tc>
          <w:tcPr>
            <w:tcW w:w="9852"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Such Transfer is being made pursuant to, and in accordance with, any other available exemption from the registration requirements of the Securities Act (including, if available, the exemption provided by Rule 144 under the Securities Act).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00" w:name="z4ea39ead22794a25bdddca594566596e"/>
      <w:bookmarkStart w:id="301" w:name="z4ea39ead22794a25bdddca594566596e"/>
      <w:bookmarkEnd w:id="301"/>
    </w:p>
    <w:tbl>
      <w:tblPr>
        <w:tblW w:w="2374" w:type="dxa"/>
        <w:jc w:val="left"/>
        <w:tblInd w:w="0" w:type="dxa"/>
        <w:tblLayout w:type="fixed"/>
        <w:tblCellMar>
          <w:top w:w="0" w:type="dxa"/>
          <w:left w:w="0" w:type="dxa"/>
          <w:bottom w:w="0" w:type="dxa"/>
          <w:right w:w="0" w:type="dxa"/>
        </w:tblCellMar>
      </w:tblPr>
      <w:tblGrid>
        <w:gridCol w:w="2119"/>
        <w:gridCol w:w="195"/>
        <w:gridCol w:w="60"/>
      </w:tblGrid>
      <w:tr>
        <w:trPr/>
        <w:tc>
          <w:tcPr>
            <w:tcW w:w="2119" w:type="dxa"/>
            <w:tcBorders/>
            <w:vAlign w:val="center"/>
          </w:tcPr>
          <w:p>
            <w:pPr>
              <w:pStyle w:val="TableContents"/>
              <w:bidi w:val="0"/>
              <w:spacing w:before="0" w:after="283"/>
              <w:jc w:val="left"/>
              <w:rPr>
                <w:sz w:val="24"/>
              </w:rPr>
            </w:pPr>
            <w:r>
              <w:rPr>
                <w:sz w:val="24"/>
              </w:rPr>
              <w:t>Dated:</w:t>
            </w:r>
          </w:p>
        </w:tc>
        <w:tc>
          <w:tcPr>
            <w:tcW w:w="195"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2314"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2314" w:type="dxa"/>
            <w:gridSpan w:val="2"/>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4" w:type="dxa"/>
            <w:gridSpan w:val="2"/>
            <w:tcBorders/>
            <w:vAlign w:val="center"/>
          </w:tcPr>
          <w:p>
            <w:pPr>
              <w:pStyle w:val="TableContents"/>
              <w:bidi w:val="0"/>
              <w:spacing w:before="0" w:after="0"/>
              <w:jc w:val="center"/>
              <w:rPr>
                <w:sz w:val="24"/>
              </w:rPr>
            </w:pPr>
            <w:r>
              <w:rPr>
                <w:sz w:val="24"/>
              </w:rPr>
              <w:t>(Legal Name of Holder)</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02" w:name="za8bb77299bc144b7998c6ef0bf54941a"/>
      <w:bookmarkStart w:id="303" w:name="za8bb77299bc144b7998c6ef0bf54941a"/>
      <w:bookmarkEnd w:id="303"/>
    </w:p>
    <w:tbl>
      <w:tblPr>
        <w:tblW w:w="1135" w:type="dxa"/>
        <w:jc w:val="left"/>
        <w:tblInd w:w="0" w:type="dxa"/>
        <w:tblLayout w:type="fixed"/>
        <w:tblCellMar>
          <w:top w:w="0" w:type="dxa"/>
          <w:left w:w="0" w:type="dxa"/>
          <w:bottom w:w="0" w:type="dxa"/>
          <w:right w:w="0" w:type="dxa"/>
        </w:tblCellMar>
      </w:tblPr>
      <w:tblGrid>
        <w:gridCol w:w="425"/>
        <w:gridCol w:w="650"/>
        <w:gridCol w:w="60"/>
      </w:tblGrid>
      <w:tr>
        <w:trPr/>
        <w:tc>
          <w:tcPr>
            <w:tcW w:w="425" w:type="dxa"/>
            <w:tcBorders/>
            <w:vAlign w:val="center"/>
          </w:tcPr>
          <w:p>
            <w:pPr>
              <w:pStyle w:val="TableContents"/>
              <w:bidi w:val="0"/>
              <w:spacing w:before="0" w:after="283"/>
              <w:jc w:val="left"/>
              <w:rPr>
                <w:sz w:val="24"/>
              </w:rPr>
            </w:pPr>
            <w:r>
              <w:rPr>
                <w:sz w:val="24"/>
              </w:rPr>
              <w:t xml:space="preserve">By: </w:t>
            </w:r>
          </w:p>
        </w:tc>
        <w:tc>
          <w:tcPr>
            <w:tcW w:w="65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42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left"/>
              <w:rPr>
                <w:sz w:val="24"/>
              </w:rPr>
            </w:pPr>
            <w:r>
              <w:rPr>
                <w:sz w:val="24"/>
              </w:rPr>
              <w:t>Name:</w:t>
            </w:r>
          </w:p>
        </w:tc>
        <w:tc>
          <w:tcPr>
            <w:tcW w:w="60" w:type="dxa"/>
            <w:tcBorders/>
            <w:vAlign w:val="center"/>
          </w:tcPr>
          <w:p>
            <w:pPr>
              <w:pStyle w:val="TableContents"/>
              <w:bidi w:val="0"/>
              <w:spacing w:before="0" w:after="0"/>
              <w:jc w:val="left"/>
              <w:rPr/>
            </w:pPr>
            <w:r>
              <w:rPr/>
              <w:t> </w:t>
            </w:r>
          </w:p>
        </w:tc>
      </w:tr>
      <w:tr>
        <w:trPr/>
        <w:tc>
          <w:tcPr>
            <w:tcW w:w="42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left"/>
              <w:rPr>
                <w:sz w:val="24"/>
              </w:rPr>
            </w:pPr>
            <w:r>
              <w:rPr>
                <w:sz w:val="24"/>
              </w:rPr>
              <w:t>Title:</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4"/>
        </w:rPr>
      </w:r>
      <w:bookmarkStart w:id="304" w:name="z12fe6a5463cf475cabfdd81175c2a616"/>
      <w:bookmarkStart w:id="305" w:name="z12fe6a5463cf475cabfdd81175c2a616"/>
      <w:bookmarkEnd w:id="305"/>
    </w:p>
    <w:tbl>
      <w:tblPr>
        <w:tblW w:w="3710" w:type="dxa"/>
        <w:jc w:val="left"/>
        <w:tblInd w:w="0" w:type="dxa"/>
        <w:tblLayout w:type="fixed"/>
        <w:tblCellMar>
          <w:top w:w="0" w:type="dxa"/>
          <w:left w:w="0" w:type="dxa"/>
          <w:bottom w:w="0" w:type="dxa"/>
          <w:right w:w="0" w:type="dxa"/>
        </w:tblCellMar>
      </w:tblPr>
      <w:tblGrid>
        <w:gridCol w:w="3650"/>
        <w:gridCol w:w="60"/>
      </w:tblGrid>
      <w:tr>
        <w:trPr/>
        <w:tc>
          <w:tcPr>
            <w:tcW w:w="3650" w:type="dxa"/>
            <w:tcBorders/>
            <w:vAlign w:val="center"/>
          </w:tcPr>
          <w:p>
            <w:pPr>
              <w:pStyle w:val="TableContents"/>
              <w:bidi w:val="0"/>
              <w:spacing w:before="0" w:after="0"/>
              <w:jc w:val="both"/>
              <w:rPr>
                <w:sz w:val="24"/>
              </w:rPr>
            </w:pPr>
            <w:r>
              <w:rPr>
                <w:sz w:val="24"/>
              </w:rPr>
              <w:t>Signature Guaranteed:</w:t>
            </w:r>
          </w:p>
        </w:tc>
        <w:tc>
          <w:tcPr>
            <w:tcW w:w="60" w:type="dxa"/>
            <w:tcBorders/>
            <w:vAlign w:val="center"/>
          </w:tcPr>
          <w:p>
            <w:pPr>
              <w:pStyle w:val="TableContents"/>
              <w:bidi w:val="0"/>
              <w:spacing w:before="0" w:after="0"/>
              <w:jc w:val="left"/>
              <w:rPr/>
            </w:pPr>
            <w:r>
              <w:rPr/>
              <w:t> </w:t>
            </w:r>
          </w:p>
        </w:tc>
      </w:tr>
      <w:tr>
        <w:trPr/>
        <w:tc>
          <w:tcPr>
            <w:tcW w:w="365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3650" w:type="dxa"/>
            <w:tcBorders/>
            <w:vAlign w:val="center"/>
          </w:tcPr>
          <w:p>
            <w:pPr>
              <w:pStyle w:val="TableContents"/>
              <w:bidi w:val="0"/>
              <w:spacing w:before="0" w:after="0"/>
              <w:jc w:val="center"/>
              <w:rPr>
                <w:sz w:val="24"/>
              </w:rPr>
            </w:pPr>
            <w:r>
              <w:rPr>
                <w:sz w:val="24"/>
              </w:rPr>
              <w:t>(Participant in a Recognized Signature</w:t>
            </w:r>
          </w:p>
          <w:p>
            <w:pPr>
              <w:pStyle w:val="TableContents"/>
              <w:bidi w:val="0"/>
              <w:spacing w:before="0" w:after="0"/>
              <w:jc w:val="center"/>
              <w:rPr>
                <w:sz w:val="24"/>
              </w:rPr>
            </w:pPr>
            <w:r>
              <w:rPr>
                <w:sz w:val="24"/>
              </w:rPr>
              <w:t>Guarantee Medallion Program)</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06" w:name="z9ad6b965727c4469822834817fc9e28d"/>
      <w:bookmarkStart w:id="307" w:name="z9ad6b965727c4469822834817fc9e28d"/>
      <w:bookmarkEnd w:id="307"/>
    </w:p>
    <w:tbl>
      <w:tblPr>
        <w:tblW w:w="2545" w:type="dxa"/>
        <w:jc w:val="left"/>
        <w:tblInd w:w="0" w:type="dxa"/>
        <w:tblLayout w:type="fixed"/>
        <w:tblCellMar>
          <w:top w:w="0" w:type="dxa"/>
          <w:left w:w="0" w:type="dxa"/>
          <w:bottom w:w="0" w:type="dxa"/>
          <w:right w:w="0" w:type="dxa"/>
        </w:tblCellMar>
      </w:tblPr>
      <w:tblGrid>
        <w:gridCol w:w="425"/>
        <w:gridCol w:w="2060"/>
        <w:gridCol w:w="60"/>
      </w:tblGrid>
      <w:tr>
        <w:trPr/>
        <w:tc>
          <w:tcPr>
            <w:tcW w:w="425" w:type="dxa"/>
            <w:tcBorders/>
            <w:vAlign w:val="center"/>
          </w:tcPr>
          <w:p>
            <w:pPr>
              <w:pStyle w:val="TableContents"/>
              <w:bidi w:val="0"/>
              <w:spacing w:before="0" w:after="283"/>
              <w:jc w:val="left"/>
              <w:rPr>
                <w:sz w:val="24"/>
              </w:rPr>
            </w:pPr>
            <w:r>
              <w:rPr>
                <w:sz w:val="24"/>
              </w:rPr>
              <w:t xml:space="preserve">By: </w:t>
            </w:r>
          </w:p>
        </w:tc>
        <w:tc>
          <w:tcPr>
            <w:tcW w:w="2060" w:type="dxa"/>
            <w:tcBorders>
              <w:bottom w:val="single" w:sz="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r>
        <w:trPr/>
        <w:tc>
          <w:tcPr>
            <w:tcW w:w="425"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center"/>
              <w:rPr>
                <w:sz w:val="24"/>
              </w:rPr>
            </w:pPr>
            <w:r>
              <w:rPr>
                <w:sz w:val="24"/>
              </w:rPr>
              <w:t>Authorized Signatory</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A-10</w:t>
      </w:r>
    </w:p>
    <w:p>
      <w:pPr>
        <w:pStyle w:val="HorizontalLine"/>
        <w:pBdr>
          <w:bottom w:val="single" w:sz="12" w:space="0" w:color="808080"/>
        </w:pBdr>
        <w:bidi w:val="0"/>
        <w:spacing w:before="180" w:after="180"/>
        <w:jc w:val="left"/>
        <w:rPr/>
      </w:pPr>
      <w:r>
        <w:rPr/>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EXHIBIT B-1</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FORM OF RESTRICTED NOTE LEGEND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OFFER AND SALE OF THIS NOTE AND THE ORDINARY SHARES,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pStyle w:val="TextBody"/>
        <w:bidi w:val="0"/>
        <w:spacing w:before="0" w:after="0"/>
        <w:jc w:val="both"/>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08" w:name="zc01cae5f923f4a559e74f0e0a1dcb5e8"/>
      <w:bookmarkStart w:id="309" w:name="zc01cae5f923f4a559e74f0e0a1dcb5e8"/>
      <w:bookmarkEnd w:id="309"/>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(1)</w:t>
            </w:r>
          </w:p>
        </w:tc>
        <w:tc>
          <w:tcPr>
            <w:tcW w:w="9956"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REPRESENTS THAT IT AND ANY ACCOUNT FOR WHICH IT IS ACTING IS A “QUALIFIED INSTITUTIONAL BUYER” (WITHIN THE MEANING OF RULE 144A UNDER THE SECURITIES ACT) AND THAT IT EXERCISES SOLE INVESTMENT DISCRETION WITH RESPECT TO EACH SUCH ACCOUNT; AND</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10" w:name="z20eb592ac46f4f30bbe3c46635c24eed"/>
      <w:bookmarkStart w:id="311" w:name="z20eb592ac46f4f30bbe3c46635c24eed"/>
      <w:bookmarkEnd w:id="311"/>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(2)</w:t>
            </w:r>
          </w:p>
        </w:tc>
        <w:tc>
          <w:tcPr>
            <w:tcW w:w="9943"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AGREES FOR THE BENEFIT OF THE COMPANY THAT IT WILL NOT OFFER TO SELL, SELL OR OTHERWISE TRANSFER THIS NOTE OR ANY BENEFICIAL INTEREST HEREIN, EXCEPT ONLY:</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12" w:name="z319a9481982e4f9482553ae19629fa72"/>
      <w:bookmarkStart w:id="313" w:name="z319a9481982e4f9482553ae19629fa72"/>
      <w:bookmarkEnd w:id="313"/>
    </w:p>
    <w:tbl>
      <w:tblPr>
        <w:tblW w:w="6348" w:type="dxa"/>
        <w:jc w:val="left"/>
        <w:tblInd w:w="0" w:type="dxa"/>
        <w:tblLayout w:type="fixed"/>
        <w:tblCellMar>
          <w:top w:w="0" w:type="dxa"/>
          <w:left w:w="0" w:type="dxa"/>
          <w:bottom w:w="0" w:type="dxa"/>
          <w:right w:w="0" w:type="dxa"/>
        </w:tblCellMar>
      </w:tblPr>
      <w:tblGrid>
        <w:gridCol w:w="38"/>
        <w:gridCol w:w="350"/>
        <w:gridCol w:w="596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(A)</w:t>
            </w:r>
          </w:p>
        </w:tc>
        <w:tc>
          <w:tcPr>
            <w:tcW w:w="596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TO THE COMPANY OR ANY SUBSIDIARY THEREOF;</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14" w:name="z54895a0c03ab498783d984311439b7e3"/>
      <w:bookmarkStart w:id="315" w:name="z54895a0c03ab498783d984311439b7e3"/>
      <w:bookmarkEnd w:id="315"/>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pPr>
            <w:r>
              <w:rPr/>
            </w:r>
          </w:p>
        </w:tc>
        <w:tc>
          <w:tcPr>
            <w:tcW w:w="324"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(B)</w:t>
            </w:r>
          </w:p>
        </w:tc>
        <w:tc>
          <w:tcPr>
            <w:tcW w:w="9843"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PURSUANT TO A REGISTRATION STATEMENT THAT IS EFFECTIVE UNDER THE SECURITIES ACT;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16" w:name="za48d96ec42b64f3f86e6768a44ead6c0"/>
      <w:bookmarkStart w:id="317" w:name="za48d96ec42b64f3f86e6768a44ead6c0"/>
      <w:bookmarkEnd w:id="317"/>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pPr>
            <w:r>
              <w:rPr/>
            </w:r>
          </w:p>
        </w:tc>
        <w:tc>
          <w:tcPr>
            <w:tcW w:w="298"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(C)</w:t>
            </w:r>
          </w:p>
        </w:tc>
        <w:tc>
          <w:tcPr>
            <w:tcW w:w="9869"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TO A PERSON REASONABLY BELIEVED TO BE A QUALIFIED INSTITUTIONAL BUYER IN COMPLIANCE WITH RULE 144A UNDER THE SECURITIES ACT;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18" w:name="zf2120401c16d42bcbeb5c3dfaf9a4168"/>
      <w:bookmarkStart w:id="319" w:name="zf2120401c16d42bcbeb5c3dfaf9a4168"/>
      <w:bookmarkEnd w:id="319"/>
    </w:p>
    <w:tbl>
      <w:tblPr>
        <w:tblW w:w="7158" w:type="dxa"/>
        <w:jc w:val="left"/>
        <w:tblInd w:w="0" w:type="dxa"/>
        <w:tblLayout w:type="fixed"/>
        <w:tblCellMar>
          <w:top w:w="0" w:type="dxa"/>
          <w:left w:w="0" w:type="dxa"/>
          <w:bottom w:w="0" w:type="dxa"/>
          <w:right w:w="0" w:type="dxa"/>
        </w:tblCellMar>
      </w:tblPr>
      <w:tblGrid>
        <w:gridCol w:w="38"/>
        <w:gridCol w:w="350"/>
        <w:gridCol w:w="677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(D)</w:t>
            </w:r>
          </w:p>
        </w:tc>
        <w:tc>
          <w:tcPr>
            <w:tcW w:w="6770"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PURSUANT TO RULE 144 UNDER THE SECURITIES ACT; OR</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320" w:name="z6676dbb05fb44498ac57bd0ff89d8eea"/>
      <w:bookmarkStart w:id="321" w:name="z6676dbb05fb44498ac57bd0ff89d8eea"/>
      <w:bookmarkEnd w:id="321"/>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pPr>
            <w:r>
              <w:rPr/>
            </w:r>
          </w:p>
        </w:tc>
        <w:tc>
          <w:tcPr>
            <w:tcW w:w="282"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(E)</w:t>
            </w:r>
          </w:p>
        </w:tc>
        <w:tc>
          <w:tcPr>
            <w:tcW w:w="9885" w:type="dxa"/>
            <w:tcBorders/>
            <w:vAlign w:val="center"/>
          </w:tcPr>
          <w:p>
            <w:pPr>
              <w:pStyle w:val="TableContents"/>
              <w:bidi w:val="0"/>
              <w:spacing w:before="0" w:after="0"/>
              <w:jc w:val="both"/>
              <w:rPr>
                <w:rFonts w:ascii="Times New Roman" w:hAnsi="Times New Roman"/>
                <w:sz w:val="24"/>
              </w:rPr>
            </w:pPr>
            <w:r>
              <w:rPr>
                <w:rFonts w:ascii="Times New Roman" w:hAnsi="Times New Roman"/>
                <w:sz w:val="24"/>
              </w:rPr>
              <w:t>PURSUANT TO ANY OTHER EXEMPTION FROM, OR IN A TRANSACTION NOT SUBJECT TO, THE REGISTRATION REQUIREMENTS OF THE SECURITIES ACT.</w:t>
            </w:r>
          </w:p>
        </w:tc>
      </w:tr>
    </w:tbl>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lineRule="auto" w:line="240" w:before="0" w:after="0"/>
        <w:jc w:val="both"/>
        <w:rPr>
          <w:rFonts w:ascii="Times New Roman" w:hAnsi="Times New Roman"/>
          <w:color w:val="000000"/>
          <w:sz w:val="24"/>
        </w:rPr>
      </w:pPr>
      <w:r>
        <w:rPr>
          <w:rFonts w:ascii="Times New Roman" w:hAnsi="Times New Roman"/>
          <w:color w:val="000000"/>
          <w:sz w:val="24"/>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322" w:name="zd1fd95a01f5242cfb7ffdc9ed0e1780a"/>
      <w:bookmarkStart w:id="323" w:name="zd1fd95a01f5242cfb7ffdc9ed0e1780a"/>
      <w:bookmarkEnd w:id="323"/>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w:t>
            </w:r>
          </w:p>
        </w:tc>
        <w:tc>
          <w:tcPr>
            <w:tcW w:w="10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This paragraph and the immediately preceding paragraph will be deemed to be removed from the face of this Note at such time when the Company delivers written notice to the Trustee of such deemed removal pursuant to Section 2.12 of the within-mentioned Indenture.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B1-1</w:t>
      </w:r>
    </w:p>
    <w:p>
      <w:pPr>
        <w:pStyle w:val="HorizontalLine"/>
        <w:pBdr>
          <w:bottom w:val="single" w:sz="12" w:space="0" w:color="808080"/>
        </w:pBdr>
        <w:bidi w:val="0"/>
        <w:spacing w:before="180" w:after="180"/>
        <w:jc w:val="left"/>
        <w:rPr/>
      </w:pPr>
      <w:r>
        <w:rPr/>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EXHIBIT B-2</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FORM OF GLOBAL NOTE LEGEND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B2-1</w:t>
      </w:r>
    </w:p>
    <w:p>
      <w:pPr>
        <w:pStyle w:val="HorizontalLine"/>
        <w:pBdr>
          <w:bottom w:val="single" w:sz="12" w:space="0" w:color="808080"/>
        </w:pBdr>
        <w:bidi w:val="0"/>
        <w:spacing w:before="180" w:after="180"/>
        <w:jc w:val="left"/>
        <w:rPr/>
      </w:pPr>
      <w:r>
        <w:rPr/>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EXHIBIT B-3</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center"/>
        <w:rPr>
          <w:rFonts w:ascii="Times New Roman" w:hAnsi="Times New Roman"/>
          <w:color w:val="000000"/>
          <w:sz w:val="24"/>
          <w:u w:val="single"/>
        </w:rPr>
      </w:pPr>
      <w:r>
        <w:rPr>
          <w:rFonts w:ascii="Times New Roman" w:hAnsi="Times New Roman"/>
          <w:color w:val="000000"/>
          <w:sz w:val="24"/>
          <w:u w:val="single"/>
        </w:rPr>
        <w:t>FORM OF NON-AFFILIATE LEGEND</w:t>
      </w:r>
    </w:p>
    <w:p>
      <w:pPr>
        <w:pStyle w:val="TextBody"/>
        <w:bidi w:val="0"/>
        <w:spacing w:before="0" w:after="0"/>
        <w:jc w:val="left"/>
        <w:rPr>
          <w:rFonts w:ascii="Times New Roman" w:hAnsi="Times New Roman"/>
          <w:sz w:val="24"/>
        </w:rPr>
      </w:pPr>
      <w:r>
        <w:rPr>
          <w:rFonts w:ascii="Times New Roman" w:hAnsi="Times New Roman"/>
          <w:sz w:val="24"/>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AFFILIATE (AS DEFINED IN RULE 144 UNDER THE SECURITIES ACT OF 1933, AS AMENDED) OF THE COMPANY MAY PURCHASE OR OTHERWISE ACQUIRE THIS NOTE OR ANY BENEFICIAL INTEREST HEREIN.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B3-1</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24" w:name="ef20060782_ex5-1.htm"/>
      <w:bookmarkStart w:id="325" w:name="ksef20060782_ex51"/>
      <w:bookmarkStart w:id="326" w:name="ef20060782_ex5-1.htm"/>
      <w:bookmarkStart w:id="327" w:name="ksef20060782_ex51"/>
      <w:bookmarkEnd w:id="326"/>
      <w:bookmarkEnd w:id="32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8" w:name="z13fd867cb4ad455fa5dae2f7b60b9de9"/>
      <w:bookmarkStart w:id="329" w:name="z13fd867cb4ad455fa5dae2f7b60b9de9"/>
      <w:bookmarkEnd w:id="329"/>
    </w:p>
    <w:tbl>
      <w:tblPr>
        <w:tblW w:w="3970" w:type="dxa"/>
        <w:jc w:val="left"/>
        <w:tblInd w:w="0" w:type="dxa"/>
        <w:tblLayout w:type="fixed"/>
        <w:tblCellMar>
          <w:top w:w="0" w:type="dxa"/>
          <w:left w:w="0" w:type="dxa"/>
          <w:bottom w:w="0" w:type="dxa"/>
          <w:right w:w="0" w:type="dxa"/>
        </w:tblCellMar>
      </w:tblPr>
      <w:tblGrid>
        <w:gridCol w:w="2045"/>
        <w:gridCol w:w="1865"/>
        <w:gridCol w:w="60"/>
      </w:tblGrid>
      <w:tr>
        <w:trPr/>
        <w:tc>
          <w:tcPr>
            <w:tcW w:w="2045" w:type="dxa"/>
            <w:tcBorders/>
            <w:shd w:fill="FFFFFF" w:val="clear"/>
            <w:vAlign w:val="center"/>
          </w:tcPr>
          <w:p>
            <w:pPr>
              <w:pStyle w:val="TableContents"/>
              <w:bidi w:val="0"/>
              <w:spacing w:before="0" w:after="0"/>
              <w:jc w:val="left"/>
              <w:rPr>
                <w:rFonts w:ascii="Times New Roman" w:hAnsi="Times New Roman"/>
                <w:b/>
                <w:i w:val="false"/>
                <w:caps w:val="false"/>
                <w:smallCaps w:val="false"/>
                <w:color w:val="4F8ABD"/>
                <w:sz w:val="16"/>
              </w:rPr>
            </w:pPr>
            <w:r>
              <w:rPr>
                <w:rFonts w:ascii="Times New Roman" w:hAnsi="Times New Roman"/>
                <w:b/>
                <w:i w:val="false"/>
                <w:caps w:val="false"/>
                <w:smallCaps w:val="false"/>
                <w:color w:val="4F8ABD"/>
                <w:sz w:val="16"/>
              </w:rPr>
              <w:t>Allens</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15"/>
              </w:rPr>
            </w:pPr>
            <w:r>
              <w:rPr>
                <w:rFonts w:ascii="Times New Roman" w:hAnsi="Times New Roman"/>
                <w:sz w:val="15"/>
              </w:rPr>
              <w:t>Deutsche Bank Place</w:t>
            </w:r>
          </w:p>
          <w:p>
            <w:pPr>
              <w:pStyle w:val="TableContents"/>
              <w:bidi w:val="0"/>
              <w:spacing w:before="0" w:after="0"/>
              <w:jc w:val="left"/>
              <w:rPr>
                <w:rFonts w:ascii="Times New Roman" w:hAnsi="Times New Roman"/>
                <w:sz w:val="15"/>
              </w:rPr>
            </w:pPr>
            <w:r>
              <w:rPr>
                <w:rFonts w:ascii="Times New Roman" w:hAnsi="Times New Roman"/>
                <w:sz w:val="15"/>
              </w:rPr>
              <w:t>Corner Hunter and Phillip Streets</w:t>
            </w:r>
          </w:p>
          <w:p>
            <w:pPr>
              <w:pStyle w:val="TableContents"/>
              <w:bidi w:val="0"/>
              <w:spacing w:before="0" w:after="0"/>
              <w:jc w:val="left"/>
              <w:rPr>
                <w:rFonts w:ascii="Times New Roman" w:hAnsi="Times New Roman"/>
                <w:sz w:val="15"/>
              </w:rPr>
            </w:pPr>
            <w:r>
              <w:rPr>
                <w:rFonts w:ascii="Times New Roman" w:hAnsi="Times New Roman"/>
                <w:sz w:val="15"/>
              </w:rPr>
              <w:t>Sydney  NSW  2000 Australia</w:t>
            </w:r>
          </w:p>
        </w:tc>
        <w:tc>
          <w:tcPr>
            <w:tcW w:w="1865" w:type="dxa"/>
            <w:tcBorders/>
            <w:vAlign w:val="center"/>
          </w:tcPr>
          <w:p>
            <w:pPr>
              <w:pStyle w:val="TableContents"/>
              <w:bidi w:val="0"/>
              <w:spacing w:before="0" w:after="0"/>
              <w:jc w:val="left"/>
              <w:rPr>
                <w:rFonts w:ascii="Times New Roman" w:hAnsi="Times New Roman"/>
                <w:sz w:val="15"/>
              </w:rPr>
            </w:pPr>
            <w:r>
              <w:rPr>
                <w:rFonts w:ascii="Times New Roman" w:hAnsi="Times New Roman"/>
                <w:sz w:val="15"/>
              </w:rPr>
              <w:t>GPO Box 50</w:t>
            </w:r>
          </w:p>
          <w:p>
            <w:pPr>
              <w:pStyle w:val="TableContents"/>
              <w:bidi w:val="0"/>
              <w:spacing w:before="0" w:after="0"/>
              <w:jc w:val="left"/>
              <w:rPr>
                <w:rFonts w:ascii="Times New Roman" w:hAnsi="Times New Roman"/>
                <w:sz w:val="15"/>
              </w:rPr>
            </w:pPr>
            <w:r>
              <w:rPr>
                <w:rFonts w:ascii="Times New Roman" w:hAnsi="Times New Roman"/>
                <w:sz w:val="15"/>
              </w:rPr>
              <w:t>Sydney  NSW  2001 Australia</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4690" w:type="dxa"/>
        <w:jc w:val="left"/>
        <w:tblInd w:w="0" w:type="dxa"/>
        <w:tblLayout w:type="fixed"/>
        <w:tblCellMar>
          <w:top w:w="0" w:type="dxa"/>
          <w:left w:w="0" w:type="dxa"/>
          <w:bottom w:w="0" w:type="dxa"/>
          <w:right w:w="0" w:type="dxa"/>
        </w:tblCellMar>
      </w:tblPr>
      <w:tblGrid>
        <w:gridCol w:w="1310"/>
        <w:gridCol w:w="1340"/>
        <w:gridCol w:w="2040"/>
      </w:tblGrid>
      <w:tr>
        <w:trPr/>
        <w:tc>
          <w:tcPr>
            <w:tcW w:w="1310" w:type="dxa"/>
            <w:tcBorders/>
            <w:vAlign w:val="center"/>
          </w:tcPr>
          <w:p>
            <w:pPr>
              <w:pStyle w:val="TableContents"/>
              <w:bidi w:val="0"/>
              <w:spacing w:before="0" w:after="0"/>
              <w:jc w:val="left"/>
              <w:rPr>
                <w:rFonts w:ascii="Times New Roman" w:hAnsi="Times New Roman"/>
                <w:sz w:val="15"/>
              </w:rPr>
            </w:pPr>
            <w:r>
              <w:rPr>
                <w:rFonts w:ascii="Times New Roman" w:hAnsi="Times New Roman"/>
                <w:b/>
                <w:i w:val="false"/>
                <w:caps w:val="false"/>
                <w:smallCaps w:val="false"/>
                <w:color w:val="4F8ABD"/>
                <w:sz w:val="15"/>
                <w:shd w:fill="FFFFFF" w:val="clear"/>
              </w:rPr>
              <w:t>T</w:t>
            </w:r>
            <w:r>
              <w:rPr>
                <w:rFonts w:ascii="Times New Roman" w:hAnsi="Times New Roman"/>
                <w:sz w:val="15"/>
              </w:rPr>
              <w:t xml:space="preserve">  +61 2 9230 4000 </w:t>
            </w:r>
          </w:p>
          <w:p>
            <w:pPr>
              <w:pStyle w:val="TableContents"/>
              <w:bidi w:val="0"/>
              <w:spacing w:before="0" w:after="0"/>
              <w:jc w:val="left"/>
              <w:rPr>
                <w:rFonts w:ascii="Times New Roman" w:hAnsi="Times New Roman"/>
                <w:sz w:val="15"/>
              </w:rPr>
            </w:pPr>
            <w:r>
              <w:rPr>
                <w:rFonts w:ascii="Times New Roman" w:hAnsi="Times New Roman"/>
                <w:b/>
                <w:i w:val="false"/>
                <w:caps w:val="false"/>
                <w:smallCaps w:val="false"/>
                <w:color w:val="4F8ABD"/>
                <w:sz w:val="15"/>
                <w:shd w:fill="FFFFFF" w:val="clear"/>
              </w:rPr>
              <w:t>F</w:t>
            </w:r>
            <w:r>
              <w:rPr>
                <w:rFonts w:ascii="Times New Roman" w:hAnsi="Times New Roman"/>
                <w:sz w:val="15"/>
              </w:rPr>
              <w:t>  +61 2 9230 5333</w:t>
            </w:r>
          </w:p>
        </w:tc>
        <w:tc>
          <w:tcPr>
            <w:tcW w:w="1340" w:type="dxa"/>
            <w:tcBorders/>
            <w:vAlign w:val="center"/>
          </w:tcPr>
          <w:p>
            <w:pPr>
              <w:pStyle w:val="TableContents"/>
              <w:bidi w:val="0"/>
              <w:spacing w:before="0" w:after="283"/>
              <w:jc w:val="left"/>
              <w:rPr/>
            </w:pPr>
            <w:r>
              <w:rPr/>
              <w:t> </w:t>
            </w:r>
          </w:p>
        </w:tc>
        <w:tc>
          <w:tcPr>
            <w:tcW w:w="204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15"/>
              </w:rPr>
            </w:pPr>
            <w:r>
              <w:rPr>
                <w:rFonts w:ascii="Times New Roman" w:hAnsi="Times New Roman"/>
                <w:sz w:val="15"/>
              </w:rPr>
              <w:t>www.allens.com.au</w:t>
            </w:r>
          </w:p>
        </w:tc>
        <w:tc>
          <w:tcPr>
            <w:tcW w:w="1340" w:type="dxa"/>
            <w:tcBorders/>
            <w:vAlign w:val="center"/>
          </w:tcPr>
          <w:p>
            <w:pPr>
              <w:pStyle w:val="TableContents"/>
              <w:bidi w:val="0"/>
              <w:spacing w:before="0" w:after="0"/>
              <w:jc w:val="left"/>
              <w:rPr>
                <w:rFonts w:ascii="Times New Roman" w:hAnsi="Times New Roman"/>
                <w:sz w:val="15"/>
              </w:rPr>
            </w:pPr>
            <w:r>
              <w:rPr>
                <w:rFonts w:ascii="Times New Roman" w:hAnsi="Times New Roman"/>
                <w:sz w:val="15"/>
              </w:rPr>
              <w:t>ABN 47 702 595 758</w:t>
            </w:r>
          </w:p>
        </w:tc>
        <w:tc>
          <w:tcPr>
            <w:tcW w:w="2040" w:type="dxa"/>
            <w:tcBorders/>
            <w:vAlign w:val="center"/>
          </w:tcPr>
          <w:p>
            <w:pPr>
              <w:pStyle w:val="TableContents"/>
              <w:bidi w:val="0"/>
              <w:spacing w:before="0" w:after="283"/>
              <w:jc w:val="right"/>
              <w:rPr/>
            </w:pPr>
            <w:r>
              <w:rPr/>
              <w:drawing>
                <wp:inline distT="0" distB="0" distL="0" distR="0">
                  <wp:extent cx="1295400" cy="323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95400" cy="323850"/>
                          </a:xfrm>
                          <a:prstGeom prst="rect">
                            <a:avLst/>
                          </a:prstGeom>
                        </pic:spPr>
                      </pic:pic>
                    </a:graphicData>
                  </a:graphic>
                </wp:inline>
              </w:drawing>
            </w:r>
          </w:p>
        </w:tc>
      </w:tr>
    </w:tbl>
    <w:p>
      <w:pPr>
        <w:pStyle w:val="TextBody"/>
        <w:bidi w:val="0"/>
        <w:spacing w:before="100" w:after="283"/>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 December 2025</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IREN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6, 55 Market Street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Sydney, NSW 2000</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ind w:left="0" w:right="1985" w:hanging="0"/>
        <w:jc w:val="left"/>
        <w:rPr>
          <w:rFonts w:ascii="Times New Roman" w:hAnsi="Times New Roman"/>
          <w:b/>
          <w:color w:val="000000"/>
          <w:sz w:val="22"/>
        </w:rPr>
      </w:pPr>
      <w:r>
        <w:rPr>
          <w:rFonts w:ascii="Times New Roman" w:hAnsi="Times New Roman"/>
          <w:b/>
          <w:color w:val="000000"/>
          <w:sz w:val="22"/>
        </w:rPr>
        <w:t xml:space="preserve">IREN Limited (ACN 629 842 799) (the </w:t>
      </w:r>
      <w:r>
        <w:rPr>
          <w:rFonts w:ascii="Times New Roman" w:hAnsi="Times New Roman"/>
          <w:b/>
          <w:i/>
          <w:color w:val="000000"/>
          <w:sz w:val="22"/>
        </w:rPr>
        <w:t>Company</w:t>
      </w:r>
      <w:r>
        <w:rPr>
          <w:rFonts w:ascii="Times New Roman" w:hAnsi="Times New Roman"/>
          <w:b/>
          <w:color w:val="000000"/>
          <w:sz w:val="22"/>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have acted as Australian legal advisers to the Company in connection with the preparation and filing by the Company on the date hereof with the U.S. Securities and Exchange Commission (the </w:t>
      </w:r>
      <w:r>
        <w:rPr>
          <w:rFonts w:ascii="Times New Roman" w:hAnsi="Times New Roman"/>
          <w:b/>
          <w:i/>
          <w:color w:val="000000"/>
          <w:sz w:val="20"/>
        </w:rPr>
        <w:t>Commission</w:t>
      </w:r>
      <w:r>
        <w:rPr>
          <w:rFonts w:ascii="Times New Roman" w:hAnsi="Times New Roman"/>
          <w:color w:val="000000"/>
          <w:sz w:val="20"/>
        </w:rPr>
        <w:t>) of</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30" w:name="zbe5786faa55d4c3d90e562b142138088"/>
      <w:bookmarkStart w:id="331" w:name="zbe5786faa55d4c3d90e562b142138088"/>
      <w:bookmarkEnd w:id="331"/>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registration statement on Form S-3 (File No. 333-284369) and Post-Effective Amendment No. 1 thereto filed with the Commission on August 28, 2025 (as so amended, the </w:t>
            </w:r>
            <w:r>
              <w:rPr>
                <w:rFonts w:ascii="Times New Roman" w:hAnsi="Times New Roman"/>
                <w:b/>
                <w:i/>
                <w:sz w:val="20"/>
              </w:rPr>
              <w:t>Registration Statement</w:t>
            </w:r>
            <w:r>
              <w:rPr>
                <w:rFonts w:ascii="Times New Roman" w:hAnsi="Times New Roman"/>
                <w:sz w:val="20"/>
              </w:rPr>
              <w:t>) under the Securities Act 1993 (U.S.), as amended from time to time (</w:t>
            </w:r>
            <w:r>
              <w:rPr>
                <w:rFonts w:ascii="Times New Roman" w:hAnsi="Times New Roman"/>
                <w:b/>
                <w:i/>
                <w:sz w:val="20"/>
              </w:rPr>
              <w:t>Securities Act</w:t>
            </w:r>
            <w:r>
              <w:rPr>
                <w:rFonts w:ascii="Times New Roman" w:hAnsi="Times New Roman"/>
                <w:sz w:val="20"/>
              </w:rPr>
              <w:t>), including the prospectus contained therein (</w:t>
            </w:r>
            <w:r>
              <w:rPr>
                <w:rFonts w:ascii="Times New Roman" w:hAnsi="Times New Roman"/>
                <w:b/>
                <w:i/>
                <w:sz w:val="20"/>
              </w:rPr>
              <w:t>Base Prospectus</w:t>
            </w:r>
            <w:r>
              <w:rPr>
                <w:rFonts w:ascii="Times New Roman" w:hAnsi="Times New Roman"/>
                <w:sz w:val="20"/>
              </w:rPr>
              <w:t>), registering certain securities, including:</w:t>
            </w:r>
          </w:p>
        </w:tc>
      </w:tr>
    </w:tbl>
    <w:p>
      <w:pPr>
        <w:pStyle w:val="Normal"/>
        <w:bidi w:val="0"/>
        <w:spacing w:before="0" w:after="0"/>
        <w:jc w:val="left"/>
        <w:rPr>
          <w:sz w:val="4"/>
          <w:szCs w:val="4"/>
        </w:rPr>
      </w:pPr>
      <w:r>
        <w:rPr>
          <w:sz w:val="4"/>
          <w:szCs w:val="4"/>
        </w:rPr>
      </w:r>
      <w:bookmarkStart w:id="332" w:name="z69cd347dcc434fbc891add94d4200f61"/>
      <w:bookmarkStart w:id="333" w:name="z69cd347dcc434fbc891add94d4200f61"/>
      <w:bookmarkEnd w:id="333"/>
    </w:p>
    <w:tbl>
      <w:tblPr>
        <w:tblW w:w="5965" w:type="dxa"/>
        <w:jc w:val="left"/>
        <w:tblInd w:w="0" w:type="dxa"/>
        <w:tblLayout w:type="fixed"/>
        <w:tblCellMar>
          <w:top w:w="0" w:type="dxa"/>
          <w:left w:w="0" w:type="dxa"/>
          <w:bottom w:w="0" w:type="dxa"/>
          <w:right w:w="0" w:type="dxa"/>
        </w:tblCellMar>
      </w:tblPr>
      <w:tblGrid>
        <w:gridCol w:w="75"/>
        <w:gridCol w:w="200"/>
        <w:gridCol w:w="56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ordinary shares of the Company, with no par value (</w:t>
            </w:r>
            <w:r>
              <w:rPr>
                <w:rFonts w:ascii="Times New Roman" w:hAnsi="Times New Roman"/>
                <w:b/>
                <w:i/>
                <w:sz w:val="20"/>
              </w:rPr>
              <w:t>Ordinary Shares</w:t>
            </w:r>
            <w:r>
              <w:rPr>
                <w:rFonts w:ascii="Times New Roman" w:hAnsi="Times New Roman"/>
                <w:sz w:val="20"/>
              </w:rPr>
              <w:t>);</w:t>
            </w:r>
          </w:p>
        </w:tc>
      </w:tr>
    </w:tbl>
    <w:p>
      <w:pPr>
        <w:pStyle w:val="Normal"/>
        <w:bidi w:val="0"/>
        <w:spacing w:before="0" w:after="0"/>
        <w:jc w:val="left"/>
        <w:rPr>
          <w:sz w:val="4"/>
          <w:szCs w:val="4"/>
        </w:rPr>
      </w:pPr>
      <w:r>
        <w:rPr>
          <w:sz w:val="4"/>
          <w:szCs w:val="4"/>
        </w:rPr>
      </w:r>
      <w:bookmarkStart w:id="334" w:name="z2f427278a8034b4181508531c0720b61"/>
      <w:bookmarkStart w:id="335" w:name="z2f427278a8034b4181508531c0720b61"/>
      <w:bookmarkEnd w:id="335"/>
    </w:p>
    <w:tbl>
      <w:tblPr>
        <w:tblW w:w="2913" w:type="dxa"/>
        <w:jc w:val="left"/>
        <w:tblInd w:w="0" w:type="dxa"/>
        <w:tblLayout w:type="fixed"/>
        <w:tblCellMar>
          <w:top w:w="0" w:type="dxa"/>
          <w:left w:w="0" w:type="dxa"/>
          <w:bottom w:w="0" w:type="dxa"/>
          <w:right w:w="0" w:type="dxa"/>
        </w:tblCellMar>
      </w:tblPr>
      <w:tblGrid>
        <w:gridCol w:w="38"/>
        <w:gridCol w:w="260"/>
        <w:gridCol w:w="261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securities of the Company;</w:t>
            </w:r>
          </w:p>
        </w:tc>
      </w:tr>
    </w:tbl>
    <w:p>
      <w:pPr>
        <w:pStyle w:val="Normal"/>
        <w:bidi w:val="0"/>
        <w:spacing w:before="0" w:after="0"/>
        <w:jc w:val="left"/>
        <w:rPr>
          <w:sz w:val="4"/>
          <w:szCs w:val="4"/>
        </w:rPr>
      </w:pPr>
      <w:r>
        <w:rPr>
          <w:sz w:val="4"/>
          <w:szCs w:val="4"/>
        </w:rPr>
      </w:r>
      <w:bookmarkStart w:id="336" w:name="z381c7c1a9ed34efa855b742ca8a6a561"/>
      <w:bookmarkStart w:id="337" w:name="z381c7c1a9ed34efa855b742ca8a6a561"/>
      <w:bookmarkEnd w:id="337"/>
    </w:p>
    <w:tbl>
      <w:tblPr>
        <w:tblW w:w="2478" w:type="dxa"/>
        <w:jc w:val="left"/>
        <w:tblInd w:w="0" w:type="dxa"/>
        <w:tblLayout w:type="fixed"/>
        <w:tblCellMar>
          <w:top w:w="0" w:type="dxa"/>
          <w:left w:w="0" w:type="dxa"/>
          <w:bottom w:w="0" w:type="dxa"/>
          <w:right w:w="0" w:type="dxa"/>
        </w:tblCellMar>
      </w:tblPr>
      <w:tblGrid>
        <w:gridCol w:w="38"/>
        <w:gridCol w:w="320"/>
        <w:gridCol w:w="21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warrants of the Company;</w:t>
            </w:r>
          </w:p>
        </w:tc>
      </w:tr>
    </w:tbl>
    <w:p>
      <w:pPr>
        <w:pStyle w:val="Normal"/>
        <w:bidi w:val="0"/>
        <w:spacing w:before="0" w:after="0"/>
        <w:jc w:val="left"/>
        <w:rPr>
          <w:sz w:val="4"/>
          <w:szCs w:val="4"/>
        </w:rPr>
      </w:pPr>
      <w:r>
        <w:rPr>
          <w:sz w:val="4"/>
          <w:szCs w:val="4"/>
        </w:rPr>
      </w:r>
      <w:bookmarkStart w:id="338" w:name="z6b1f42d496884a8cbcdb448b11373706"/>
      <w:bookmarkStart w:id="339" w:name="z6b1f42d496884a8cbcdb448b11373706"/>
      <w:bookmarkEnd w:id="339"/>
    </w:p>
    <w:tbl>
      <w:tblPr>
        <w:tblW w:w="1938" w:type="dxa"/>
        <w:jc w:val="left"/>
        <w:tblInd w:w="0" w:type="dxa"/>
        <w:tblLayout w:type="fixed"/>
        <w:tblCellMar>
          <w:top w:w="0" w:type="dxa"/>
          <w:left w:w="0" w:type="dxa"/>
          <w:bottom w:w="0" w:type="dxa"/>
          <w:right w:w="0" w:type="dxa"/>
        </w:tblCellMar>
      </w:tblPr>
      <w:tblGrid>
        <w:gridCol w:w="38"/>
        <w:gridCol w:w="305"/>
        <w:gridCol w:w="1595"/>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(iv)</w:t>
            </w:r>
          </w:p>
        </w:tc>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contracts;</w:t>
            </w:r>
          </w:p>
        </w:tc>
      </w:tr>
    </w:tbl>
    <w:p>
      <w:pPr>
        <w:pStyle w:val="Normal"/>
        <w:bidi w:val="0"/>
        <w:spacing w:before="0" w:after="0"/>
        <w:jc w:val="left"/>
        <w:rPr>
          <w:sz w:val="4"/>
          <w:szCs w:val="4"/>
        </w:rPr>
      </w:pPr>
      <w:r>
        <w:rPr>
          <w:sz w:val="4"/>
          <w:szCs w:val="4"/>
        </w:rPr>
      </w:r>
      <w:bookmarkStart w:id="340" w:name="z518aa3b95102462fa151db139f52903a"/>
      <w:bookmarkStart w:id="341" w:name="z518aa3b95102462fa151db139f52903a"/>
      <w:bookmarkEnd w:id="341"/>
    </w:p>
    <w:tbl>
      <w:tblPr>
        <w:tblW w:w="1128" w:type="dxa"/>
        <w:jc w:val="left"/>
        <w:tblInd w:w="0" w:type="dxa"/>
        <w:tblLayout w:type="fixed"/>
        <w:tblCellMar>
          <w:top w:w="0" w:type="dxa"/>
          <w:left w:w="0" w:type="dxa"/>
          <w:bottom w:w="0" w:type="dxa"/>
          <w:right w:w="0" w:type="dxa"/>
        </w:tblCellMar>
      </w:tblPr>
      <w:tblGrid>
        <w:gridCol w:w="38"/>
        <w:gridCol w:w="245"/>
        <w:gridCol w:w="84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w:t>
            </w:r>
          </w:p>
        </w:tc>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units; and</w:t>
            </w:r>
          </w:p>
        </w:tc>
      </w:tr>
    </w:tbl>
    <w:p>
      <w:pPr>
        <w:pStyle w:val="Normal"/>
        <w:bidi w:val="0"/>
        <w:spacing w:before="0" w:after="0"/>
        <w:jc w:val="left"/>
        <w:rPr>
          <w:sz w:val="4"/>
          <w:szCs w:val="4"/>
        </w:rPr>
      </w:pPr>
      <w:r>
        <w:rPr>
          <w:sz w:val="4"/>
          <w:szCs w:val="4"/>
        </w:rPr>
      </w:r>
      <w:bookmarkStart w:id="342" w:name="z14640c4508b24223881d72653f5340b6"/>
      <w:bookmarkStart w:id="343" w:name="z14640c4508b24223881d72653f5340b6"/>
      <w:bookmarkEnd w:id="343"/>
    </w:p>
    <w:tbl>
      <w:tblPr>
        <w:tblW w:w="2298" w:type="dxa"/>
        <w:jc w:val="left"/>
        <w:tblInd w:w="0" w:type="dxa"/>
        <w:tblLayout w:type="fixed"/>
        <w:tblCellMar>
          <w:top w:w="0" w:type="dxa"/>
          <w:left w:w="0" w:type="dxa"/>
          <w:bottom w:w="0" w:type="dxa"/>
          <w:right w:w="0" w:type="dxa"/>
        </w:tblCellMar>
      </w:tblPr>
      <w:tblGrid>
        <w:gridCol w:w="38"/>
        <w:gridCol w:w="305"/>
        <w:gridCol w:w="1955"/>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subscription rights; and</w:t>
            </w:r>
          </w:p>
        </w:tc>
      </w:tr>
    </w:tbl>
    <w:p>
      <w:pPr>
        <w:pStyle w:val="Normal"/>
        <w:bidi w:val="0"/>
        <w:spacing w:before="0" w:after="0"/>
        <w:jc w:val="left"/>
        <w:rPr>
          <w:sz w:val="4"/>
          <w:szCs w:val="4"/>
        </w:rPr>
      </w:pPr>
      <w:r>
        <w:rPr>
          <w:sz w:val="4"/>
          <w:szCs w:val="4"/>
        </w:rPr>
      </w:r>
      <w:bookmarkStart w:id="344" w:name="z729b52630f9d4aeaade77b0763fd6934"/>
      <w:bookmarkStart w:id="345" w:name="z729b52630f9d4aeaade77b0763fd6934"/>
      <w:bookmarkEnd w:id="345"/>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prospectus supplement included in the Registration Statement, relating to the registration of securities (to be issued from time to time by the Company), and dated the date hereof (the </w:t>
            </w:r>
            <w:r>
              <w:rPr>
                <w:rFonts w:ascii="Times New Roman" w:hAnsi="Times New Roman"/>
                <w:b/>
                <w:i/>
                <w:sz w:val="20"/>
              </w:rPr>
              <w:t>Prospectus Supplement</w:t>
            </w:r>
            <w:r>
              <w:rPr>
                <w:rFonts w:ascii="Times New Roman" w:hAnsi="Times New Roman"/>
                <w:sz w:val="20"/>
              </w:rPr>
              <w:t xml:space="preserve">) relating to the offer and sale of Shares, with an aggregate offering price of US$1,632,427,074.24 pursuant to each Share Purchase Agreement (as defined below) (the </w:t>
            </w:r>
            <w:r>
              <w:rPr>
                <w:rFonts w:ascii="Times New Roman" w:hAnsi="Times New Roman"/>
                <w:b/>
                <w:i/>
                <w:sz w:val="20"/>
              </w:rPr>
              <w:t>Shares</w:t>
            </w:r>
            <w:r>
              <w:rPr>
                <w:rFonts w:ascii="Times New Roman" w:hAnsi="Times New Roman"/>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opinion letter (</w:t>
      </w:r>
      <w:r>
        <w:rPr>
          <w:rFonts w:ascii="Times New Roman" w:hAnsi="Times New Roman"/>
          <w:b/>
          <w:i/>
          <w:color w:val="000000"/>
          <w:sz w:val="20"/>
        </w:rPr>
        <w:t>Opinion</w:t>
      </w:r>
      <w:r>
        <w:rPr>
          <w:rFonts w:ascii="Times New Roman" w:hAnsi="Times New Roman"/>
          <w:color w:val="000000"/>
          <w:sz w:val="20"/>
        </w:rPr>
        <w:t>) is being furnished in accordance with Item 601(b)(5) of Regulation S-K under the Securities Act, and no opinion is expressed herein as to any matter pertaining to the contexts of the Registration Statement or related prospectus, other than as expressly stated herein.</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46" w:name="zf705a5ae4b5342a1bf2a7d890b0e3963"/>
      <w:bookmarkStart w:id="347" w:name="zf705a5ae4b5342a1bf2a7d890b0e3963"/>
      <w:bookmarkEnd w:id="347"/>
    </w:p>
    <w:tbl>
      <w:tblPr>
        <w:tblW w:w="1240" w:type="dxa"/>
        <w:jc w:val="left"/>
        <w:tblInd w:w="0" w:type="dxa"/>
        <w:tblLayout w:type="fixed"/>
        <w:tblCellMar>
          <w:top w:w="0" w:type="dxa"/>
          <w:left w:w="0" w:type="dxa"/>
          <w:bottom w:w="0" w:type="dxa"/>
          <w:right w:w="0" w:type="dxa"/>
        </w:tblCellMar>
      </w:tblPr>
      <w:tblGrid>
        <w:gridCol w:w="155"/>
        <w:gridCol w:w="1085"/>
      </w:tblGrid>
      <w:tr>
        <w:trPr/>
        <w:tc>
          <w:tcPr>
            <w:tcW w:w="155" w:type="dxa"/>
            <w:tcBorders/>
            <w:vAlign w:val="center"/>
          </w:tcPr>
          <w:p>
            <w:pPr>
              <w:pStyle w:val="TableContents"/>
              <w:bidi w:val="0"/>
              <w:spacing w:before="0" w:after="283"/>
              <w:jc w:val="left"/>
              <w:rPr>
                <w:rFonts w:ascii="Times New Roman" w:hAnsi="Times New Roman"/>
                <w:b/>
                <w:sz w:val="22"/>
              </w:rPr>
            </w:pPr>
            <w:r>
              <w:rPr>
                <w:rFonts w:ascii="Times New Roman" w:hAnsi="Times New Roman"/>
                <w:b/>
                <w:sz w:val="22"/>
              </w:rPr>
              <w:t>2</w:t>
            </w:r>
          </w:p>
        </w:tc>
        <w:tc>
          <w:tcPr>
            <w:tcW w:w="1085"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Definitions</w:t>
            </w:r>
          </w:p>
        </w:tc>
      </w:tr>
    </w:tbl>
    <w:p>
      <w:pPr>
        <w:pStyle w:val="TextBody"/>
        <w:bidi w:val="0"/>
        <w:spacing w:before="0" w:after="0"/>
        <w:jc w:val="left"/>
        <w:rPr/>
      </w:pPr>
      <w:r>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In this opinion, the following definitions apply.</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48" w:name="z94ca4261992b40c8a98816fc08c2b63a"/>
      <w:bookmarkStart w:id="349" w:name="z94ca4261992b40c8a98816fc08c2b63a"/>
      <w:bookmarkEnd w:id="349"/>
    </w:p>
    <w:tbl>
      <w:tblPr>
        <w:tblW w:w="5808" w:type="dxa"/>
        <w:jc w:val="left"/>
        <w:tblInd w:w="0" w:type="dxa"/>
        <w:tblLayout w:type="fixed"/>
        <w:tblCellMar>
          <w:top w:w="0" w:type="dxa"/>
          <w:left w:w="0" w:type="dxa"/>
          <w:bottom w:w="0" w:type="dxa"/>
          <w:right w:w="0" w:type="dxa"/>
        </w:tblCellMar>
      </w:tblPr>
      <w:tblGrid>
        <w:gridCol w:w="38"/>
        <w:gridCol w:w="230"/>
        <w:gridCol w:w="554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ASIC</w:t>
            </w:r>
            <w:r>
              <w:rPr>
                <w:rFonts w:ascii="Times New Roman" w:hAnsi="Times New Roman"/>
                <w:sz w:val="20"/>
              </w:rPr>
              <w:t xml:space="preserve"> means the Australian Securities and Investments Commission.</w:t>
            </w:r>
          </w:p>
        </w:tc>
      </w:tr>
    </w:tbl>
    <w:p>
      <w:pPr>
        <w:pStyle w:val="Normal"/>
        <w:bidi w:val="0"/>
        <w:spacing w:before="0" w:after="0"/>
        <w:jc w:val="left"/>
        <w:rPr>
          <w:sz w:val="4"/>
          <w:szCs w:val="4"/>
        </w:rPr>
      </w:pPr>
      <w:r>
        <w:rPr>
          <w:sz w:val="4"/>
          <w:szCs w:val="4"/>
        </w:rPr>
      </w:r>
      <w:bookmarkStart w:id="350" w:name="z2ab8e17fd5d54c1fa84ff418d47a79ef"/>
      <w:bookmarkStart w:id="351" w:name="z2ab8e17fd5d54c1fa84ff418d47a79ef"/>
      <w:bookmarkEnd w:id="351"/>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pPr>
            <w:r>
              <w:rPr/>
            </w:r>
          </w:p>
        </w:tc>
        <w:tc>
          <w:tcPr>
            <w:tcW w:w="2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Constitution</w:t>
            </w:r>
            <w:r>
              <w:rPr>
                <w:rFonts w:ascii="Times New Roman" w:hAnsi="Times New Roman"/>
                <w:sz w:val="20"/>
              </w:rPr>
              <w:t xml:space="preserve"> means the constitution of the Company adopted on 20 November 2025 and in force as at the date of this Opinion.</w:t>
            </w:r>
          </w:p>
        </w:tc>
      </w:tr>
    </w:tbl>
    <w:p>
      <w:pPr>
        <w:pStyle w:val="Normal"/>
        <w:bidi w:val="0"/>
        <w:spacing w:before="0" w:after="0"/>
        <w:jc w:val="left"/>
        <w:rPr>
          <w:sz w:val="4"/>
          <w:szCs w:val="4"/>
        </w:rPr>
      </w:pPr>
      <w:r>
        <w:rPr>
          <w:sz w:val="4"/>
          <w:szCs w:val="4"/>
        </w:rPr>
      </w:r>
      <w:bookmarkStart w:id="352" w:name="z140776a531de4503bd8d0f2363ec18d5"/>
      <w:bookmarkStart w:id="353" w:name="z140776a531de4503bd8d0f2363ec18d5"/>
      <w:bookmarkEnd w:id="353"/>
    </w:p>
    <w:tbl>
      <w:tblPr>
        <w:tblW w:w="5043" w:type="dxa"/>
        <w:jc w:val="left"/>
        <w:tblInd w:w="0" w:type="dxa"/>
        <w:tblLayout w:type="fixed"/>
        <w:tblCellMar>
          <w:top w:w="0" w:type="dxa"/>
          <w:left w:w="0" w:type="dxa"/>
          <w:bottom w:w="0" w:type="dxa"/>
          <w:right w:w="0" w:type="dxa"/>
        </w:tblCellMar>
      </w:tblPr>
      <w:tblGrid>
        <w:gridCol w:w="38"/>
        <w:gridCol w:w="230"/>
        <w:gridCol w:w="477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Corporations Act</w:t>
            </w:r>
            <w:r>
              <w:rPr>
                <w:rFonts w:ascii="Times New Roman" w:hAnsi="Times New Roman"/>
                <w:sz w:val="20"/>
              </w:rPr>
              <w:t xml:space="preserve"> means the </w:t>
            </w:r>
            <w:r>
              <w:rPr>
                <w:rFonts w:ascii="Times New Roman" w:hAnsi="Times New Roman"/>
                <w:i/>
                <w:sz w:val="20"/>
              </w:rPr>
              <w:t>Corporations Act 2001</w:t>
            </w:r>
            <w:r>
              <w:rPr>
                <w:rFonts w:ascii="Times New Roman" w:hAnsi="Times New Roman"/>
                <w:sz w:val="20"/>
              </w:rPr>
              <w:t xml:space="preserve"> (Cth).</w:t>
            </w:r>
          </w:p>
        </w:tc>
      </w:tr>
    </w:tbl>
    <w:p>
      <w:pPr>
        <w:pStyle w:val="Normal"/>
        <w:bidi w:val="0"/>
        <w:spacing w:before="0" w:after="0"/>
        <w:jc w:val="left"/>
        <w:rPr>
          <w:sz w:val="4"/>
          <w:szCs w:val="4"/>
        </w:rPr>
      </w:pPr>
      <w:r>
        <w:rPr>
          <w:sz w:val="4"/>
          <w:szCs w:val="4"/>
        </w:rPr>
      </w:r>
      <w:bookmarkStart w:id="354" w:name="ze61eb365396e4238ba1b2c8d0538b4ec"/>
      <w:bookmarkStart w:id="355" w:name="ze61eb365396e4238ba1b2c8d0538b4ec"/>
      <w:bookmarkEnd w:id="355"/>
    </w:p>
    <w:tbl>
      <w:tblPr>
        <w:tblW w:w="5823" w:type="dxa"/>
        <w:jc w:val="left"/>
        <w:tblInd w:w="0" w:type="dxa"/>
        <w:tblLayout w:type="fixed"/>
        <w:tblCellMar>
          <w:top w:w="0" w:type="dxa"/>
          <w:left w:w="0" w:type="dxa"/>
          <w:bottom w:w="0" w:type="dxa"/>
          <w:right w:w="0" w:type="dxa"/>
        </w:tblCellMar>
      </w:tblPr>
      <w:tblGrid>
        <w:gridCol w:w="38"/>
        <w:gridCol w:w="245"/>
        <w:gridCol w:w="554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Document</w:t>
            </w:r>
            <w:r>
              <w:rPr>
                <w:rFonts w:ascii="Times New Roman" w:hAnsi="Times New Roman"/>
                <w:sz w:val="20"/>
              </w:rPr>
              <w:t xml:space="preserve"> means a document listed in paragraphs 3(a) to 3(f) below.</w:t>
            </w:r>
          </w:p>
        </w:tc>
      </w:tr>
    </w:tbl>
    <w:p>
      <w:pPr>
        <w:pStyle w:val="Normal"/>
        <w:bidi w:val="0"/>
        <w:spacing w:before="0" w:after="0"/>
        <w:jc w:val="left"/>
        <w:rPr>
          <w:sz w:val="4"/>
          <w:szCs w:val="4"/>
        </w:rPr>
      </w:pPr>
      <w:r>
        <w:rPr>
          <w:sz w:val="4"/>
          <w:szCs w:val="4"/>
        </w:rPr>
      </w:r>
      <w:bookmarkStart w:id="356" w:name="ze84d6512beec4fa59fac18bfa0163f00"/>
      <w:bookmarkStart w:id="357" w:name="ze84d6512beec4fa59fac18bfa0163f00"/>
      <w:bookmarkEnd w:id="357"/>
    </w:p>
    <w:tbl>
      <w:tblPr>
        <w:tblW w:w="6738" w:type="dxa"/>
        <w:jc w:val="left"/>
        <w:tblInd w:w="0" w:type="dxa"/>
        <w:tblLayout w:type="fixed"/>
        <w:tblCellMar>
          <w:top w:w="0" w:type="dxa"/>
          <w:left w:w="0" w:type="dxa"/>
          <w:bottom w:w="0" w:type="dxa"/>
          <w:right w:w="0" w:type="dxa"/>
        </w:tblCellMar>
      </w:tblPr>
      <w:tblGrid>
        <w:gridCol w:w="38"/>
        <w:gridCol w:w="230"/>
        <w:gridCol w:w="647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Governing Jurisdiction</w:t>
            </w:r>
            <w:r>
              <w:rPr>
                <w:rFonts w:ascii="Times New Roman" w:hAnsi="Times New Roman"/>
                <w:sz w:val="20"/>
              </w:rPr>
              <w:t xml:space="preserve"> means the State of New York, United States of America.</w:t>
            </w:r>
          </w:p>
        </w:tc>
      </w:tr>
    </w:tbl>
    <w:p>
      <w:pPr>
        <w:pStyle w:val="TextBody"/>
        <w:bidi w:val="0"/>
        <w:spacing w:before="0" w:after="0"/>
        <w:jc w:val="left"/>
        <w:rPr/>
      </w:pPr>
      <w:r>
        <w:rPr/>
      </w:r>
    </w:p>
    <w:p>
      <w:pPr>
        <w:pStyle w:val="TextBody"/>
        <w:bidi w:val="0"/>
        <w:spacing w:before="0" w:after="0"/>
        <w:jc w:val="right"/>
        <w:rPr>
          <w:color w:val="000000"/>
        </w:rPr>
      </w:pPr>
      <w:r>
        <w:rPr>
          <w:color w:val="000000"/>
        </w:rPr>
        <w:drawing>
          <wp:inline distT="0" distB="0" distL="0" distR="0">
            <wp:extent cx="828675" cy="23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28675" cy="238125"/>
                    </a:xfrm>
                    <a:prstGeom prst="rect">
                      <a:avLst/>
                    </a:prstGeom>
                  </pic:spPr>
                </pic:pic>
              </a:graphicData>
            </a:graphic>
          </wp:inline>
        </w:drawing>
      </w:r>
    </w:p>
    <w:p>
      <w:pPr>
        <w:pStyle w:val="TextBody"/>
        <w:bidi w:val="0"/>
        <w:spacing w:before="0" w:after="0"/>
        <w:jc w:val="right"/>
        <w:rPr/>
      </w:pPr>
      <w:r>
        <w:rPr/>
      </w:r>
    </w:p>
    <w:p>
      <w:pPr>
        <w:pStyle w:val="HorizontalLine"/>
        <w:pBdr>
          <w:bottom w:val="single" w:sz="12" w:space="0" w:color="808080"/>
        </w:pBdr>
        <w:bidi w:val="0"/>
        <w:spacing w:before="200" w:after="200"/>
        <w:jc w:val="left"/>
        <w:rPr/>
      </w:pPr>
      <w:r>
        <w:rPr/>
      </w:r>
    </w:p>
    <w:p>
      <w:pPr>
        <w:pStyle w:val="TextBody"/>
        <w:bidi w:val="0"/>
        <w:spacing w:before="200" w:after="200"/>
        <w:jc w:val="right"/>
        <w:rPr>
          <w:color w:val="000000"/>
        </w:rPr>
      </w:pPr>
      <w:r>
        <w:rPr>
          <w:color w:val="000000"/>
        </w:rPr>
        <w:drawing>
          <wp:inline distT="0" distB="0" distL="0" distR="0">
            <wp:extent cx="1295400" cy="323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95400" cy="323850"/>
                    </a:xfrm>
                    <a:prstGeom prst="rect">
                      <a:avLst/>
                    </a:prstGeom>
                  </pic:spPr>
                </pic:pic>
              </a:graphicData>
            </a:graphic>
          </wp:inline>
        </w:drawing>
      </w:r>
    </w:p>
    <w:p>
      <w:pPr>
        <w:pStyle w:val="Normal"/>
        <w:bidi w:val="0"/>
        <w:spacing w:before="0" w:after="0"/>
        <w:jc w:val="left"/>
        <w:rPr>
          <w:sz w:val="4"/>
          <w:szCs w:val="4"/>
        </w:rPr>
      </w:pPr>
      <w:r>
        <w:rPr>
          <w:sz w:val="4"/>
          <w:szCs w:val="4"/>
        </w:rPr>
      </w:r>
      <w:bookmarkStart w:id="358" w:name="z8a448dc472c2424293d996fe9bde3396"/>
      <w:bookmarkStart w:id="359" w:name="z8a448dc472c2424293d996fe9bde3396"/>
      <w:bookmarkEnd w:id="359"/>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pPr>
            <w:r>
              <w:rPr/>
            </w:r>
          </w:p>
        </w:tc>
        <w:tc>
          <w:tcPr>
            <w:tcW w:w="17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law of a Relevant Jurisdiction</w:t>
            </w:r>
            <w:r>
              <w:rPr>
                <w:rFonts w:ascii="Times New Roman" w:hAnsi="Times New Roman"/>
                <w:sz w:val="20"/>
              </w:rPr>
              <w:t xml:space="preserve"> means the common law, principles of equity and laws constituted by legislation that is available to the public generally, in force in the Relevant Jurisdictions.</w:t>
            </w:r>
          </w:p>
        </w:tc>
      </w:tr>
    </w:tbl>
    <w:p>
      <w:pPr>
        <w:pStyle w:val="Normal"/>
        <w:bidi w:val="0"/>
        <w:spacing w:before="0" w:after="0"/>
        <w:jc w:val="left"/>
        <w:rPr>
          <w:sz w:val="4"/>
          <w:szCs w:val="4"/>
        </w:rPr>
      </w:pPr>
      <w:r>
        <w:rPr>
          <w:sz w:val="4"/>
          <w:szCs w:val="4"/>
        </w:rPr>
      </w:r>
      <w:bookmarkStart w:id="360" w:name="z1d87ce1c9c304a2080f5c92c1ad8a88c"/>
      <w:bookmarkStart w:id="361" w:name="z1d87ce1c9c304a2080f5c92c1ad8a88c"/>
      <w:bookmarkEnd w:id="361"/>
    </w:p>
    <w:tbl>
      <w:tblPr>
        <w:tblW w:w="9108" w:type="dxa"/>
        <w:jc w:val="left"/>
        <w:tblInd w:w="0" w:type="dxa"/>
        <w:tblLayout w:type="fixed"/>
        <w:tblCellMar>
          <w:top w:w="0" w:type="dxa"/>
          <w:left w:w="0" w:type="dxa"/>
          <w:bottom w:w="0" w:type="dxa"/>
          <w:right w:w="0" w:type="dxa"/>
        </w:tblCellMar>
      </w:tblPr>
      <w:tblGrid>
        <w:gridCol w:w="38"/>
        <w:gridCol w:w="245"/>
        <w:gridCol w:w="882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Relevant Jurisdiction</w:t>
            </w:r>
            <w:r>
              <w:rPr>
                <w:rFonts w:ascii="Times New Roman" w:hAnsi="Times New Roman"/>
                <w:sz w:val="20"/>
              </w:rPr>
              <w:t xml:space="preserve"> means New South Wales or the federal jurisdiction of the Commonwealth of Australia.</w:t>
            </w:r>
          </w:p>
        </w:tc>
      </w:tr>
    </w:tbl>
    <w:p>
      <w:pPr>
        <w:pStyle w:val="Normal"/>
        <w:bidi w:val="0"/>
        <w:spacing w:before="0" w:after="0"/>
        <w:jc w:val="left"/>
        <w:rPr>
          <w:sz w:val="4"/>
          <w:szCs w:val="4"/>
        </w:rPr>
      </w:pPr>
      <w:r>
        <w:rPr>
          <w:sz w:val="4"/>
          <w:szCs w:val="4"/>
        </w:rPr>
      </w:r>
      <w:bookmarkStart w:id="362" w:name="ze119c3e7d778413198352864b2ae6c33"/>
      <w:bookmarkStart w:id="363" w:name="ze119c3e7d778413198352864b2ae6c33"/>
      <w:bookmarkEnd w:id="363"/>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Share Purchase Agreement</w:t>
            </w:r>
            <w:r>
              <w:rPr>
                <w:rFonts w:ascii="Times New Roman" w:hAnsi="Times New Roman"/>
                <w:sz w:val="20"/>
              </w:rPr>
              <w:t> means each document entitled 'Share Purchase Agreement' dated 2 December 2025 entered into between the Company and the holder of the Company's outstanding 3.25% convertible senior notes due 2030 and 3.50% convertible senior notes due 2029 party thereto relating to the issuance and sale of the Shares</w:t>
            </w:r>
            <w:r>
              <w:rPr>
                <w:rFonts w:ascii="Times New Roman" w:hAnsi="Times New Roman"/>
                <w:i/>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4" w:name="z1b33c8166f254adfa4b593031a9b6616"/>
      <w:bookmarkStart w:id="365" w:name="z1b33c8166f254adfa4b593031a9b6616"/>
      <w:bookmarkEnd w:id="365"/>
    </w:p>
    <w:tbl>
      <w:tblPr>
        <w:tblW w:w="1270" w:type="dxa"/>
        <w:jc w:val="left"/>
        <w:tblInd w:w="0" w:type="dxa"/>
        <w:tblLayout w:type="fixed"/>
        <w:tblCellMar>
          <w:top w:w="0" w:type="dxa"/>
          <w:left w:w="0" w:type="dxa"/>
          <w:bottom w:w="0" w:type="dxa"/>
          <w:right w:w="0" w:type="dxa"/>
        </w:tblCellMar>
      </w:tblPr>
      <w:tblGrid>
        <w:gridCol w:w="155"/>
        <w:gridCol w:w="1115"/>
      </w:tblGrid>
      <w:tr>
        <w:trPr/>
        <w:tc>
          <w:tcPr>
            <w:tcW w:w="155" w:type="dxa"/>
            <w:tcBorders/>
            <w:vAlign w:val="center"/>
          </w:tcPr>
          <w:p>
            <w:pPr>
              <w:pStyle w:val="TableContents"/>
              <w:bidi w:val="0"/>
              <w:spacing w:before="0" w:after="283"/>
              <w:jc w:val="left"/>
              <w:rPr>
                <w:rFonts w:ascii="Times New Roman" w:hAnsi="Times New Roman"/>
                <w:b/>
                <w:sz w:val="22"/>
              </w:rPr>
            </w:pPr>
            <w:r>
              <w:rPr>
                <w:rFonts w:ascii="Times New Roman" w:hAnsi="Times New Roman"/>
                <w:b/>
                <w:sz w:val="22"/>
              </w:rPr>
              <w:t>3</w:t>
            </w:r>
          </w:p>
        </w:tc>
        <w:tc>
          <w:tcPr>
            <w:tcW w:w="1115"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Documents</w:t>
            </w:r>
          </w:p>
        </w:tc>
      </w:tr>
    </w:tbl>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have examined and rely on originals or copies of the following documents.</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66" w:name="zd4298b68bcea4fac9db1a3326b878d77"/>
      <w:bookmarkStart w:id="367" w:name="zd4298b68bcea4fac9db1a3326b878d77"/>
      <w:bookmarkEnd w:id="367"/>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Constitution;</w:t>
            </w:r>
          </w:p>
        </w:tc>
      </w:tr>
    </w:tbl>
    <w:p>
      <w:pPr>
        <w:pStyle w:val="Normal"/>
        <w:bidi w:val="0"/>
        <w:spacing w:before="0" w:after="0"/>
        <w:jc w:val="left"/>
        <w:rPr>
          <w:sz w:val="4"/>
          <w:szCs w:val="4"/>
        </w:rPr>
      </w:pPr>
      <w:r>
        <w:rPr>
          <w:sz w:val="4"/>
          <w:szCs w:val="4"/>
        </w:rPr>
      </w:r>
      <w:bookmarkStart w:id="368" w:name="ze4650d90f7594b829ca37327ea21f5e0"/>
      <w:bookmarkStart w:id="369" w:name="ze4650d90f7594b829ca37327ea21f5e0"/>
      <w:bookmarkEnd w:id="369"/>
    </w:p>
    <w:tbl>
      <w:tblPr>
        <w:tblW w:w="2943" w:type="dxa"/>
        <w:jc w:val="left"/>
        <w:tblInd w:w="0" w:type="dxa"/>
        <w:tblLayout w:type="fixed"/>
        <w:tblCellMar>
          <w:top w:w="0" w:type="dxa"/>
          <w:left w:w="0" w:type="dxa"/>
          <w:bottom w:w="0" w:type="dxa"/>
          <w:right w:w="0" w:type="dxa"/>
        </w:tblCellMar>
      </w:tblPr>
      <w:tblGrid>
        <w:gridCol w:w="38"/>
        <w:gridCol w:w="245"/>
        <w:gridCol w:w="266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Share Purchase Agreement;</w:t>
            </w:r>
          </w:p>
        </w:tc>
      </w:tr>
    </w:tbl>
    <w:p>
      <w:pPr>
        <w:pStyle w:val="Normal"/>
        <w:bidi w:val="0"/>
        <w:spacing w:before="0" w:after="0"/>
        <w:jc w:val="left"/>
        <w:rPr>
          <w:sz w:val="4"/>
          <w:szCs w:val="4"/>
        </w:rPr>
      </w:pPr>
      <w:r>
        <w:rPr>
          <w:sz w:val="4"/>
          <w:szCs w:val="4"/>
        </w:rPr>
      </w:r>
      <w:bookmarkStart w:id="370" w:name="z8742c5ebd90444c2bccf142451522590"/>
      <w:bookmarkStart w:id="371" w:name="z8742c5ebd90444c2bccf142451522590"/>
      <w:bookmarkEnd w:id="371"/>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Registration Statement;</w:t>
            </w:r>
          </w:p>
        </w:tc>
      </w:tr>
    </w:tbl>
    <w:p>
      <w:pPr>
        <w:pStyle w:val="Normal"/>
        <w:bidi w:val="0"/>
        <w:spacing w:before="0" w:after="0"/>
        <w:jc w:val="left"/>
        <w:rPr>
          <w:sz w:val="4"/>
          <w:szCs w:val="4"/>
        </w:rPr>
      </w:pPr>
      <w:r>
        <w:rPr>
          <w:sz w:val="4"/>
          <w:szCs w:val="4"/>
        </w:rPr>
      </w:r>
      <w:bookmarkStart w:id="372" w:name="z9fa419826b45496384543a1fad1c2a26"/>
      <w:bookmarkStart w:id="373" w:name="z9fa419826b45496384543a1fad1c2a26"/>
      <w:bookmarkEnd w:id="373"/>
    </w:p>
    <w:tbl>
      <w:tblPr>
        <w:tblW w:w="1683" w:type="dxa"/>
        <w:jc w:val="left"/>
        <w:tblInd w:w="0" w:type="dxa"/>
        <w:tblLayout w:type="fixed"/>
        <w:tblCellMar>
          <w:top w:w="0" w:type="dxa"/>
          <w:left w:w="0" w:type="dxa"/>
          <w:bottom w:w="0" w:type="dxa"/>
          <w:right w:w="0" w:type="dxa"/>
        </w:tblCellMar>
      </w:tblPr>
      <w:tblGrid>
        <w:gridCol w:w="38"/>
        <w:gridCol w:w="245"/>
        <w:gridCol w:w="140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 Prospectus;</w:t>
            </w:r>
          </w:p>
        </w:tc>
      </w:tr>
    </w:tbl>
    <w:p>
      <w:pPr>
        <w:pStyle w:val="Normal"/>
        <w:bidi w:val="0"/>
        <w:spacing w:before="0" w:after="0"/>
        <w:jc w:val="left"/>
        <w:rPr>
          <w:sz w:val="4"/>
          <w:szCs w:val="4"/>
        </w:rPr>
      </w:pPr>
      <w:r>
        <w:rPr>
          <w:sz w:val="4"/>
          <w:szCs w:val="4"/>
        </w:rPr>
      </w:r>
      <w:bookmarkStart w:id="374" w:name="z40bc421e775e48eaa4289081ddd2c1a5"/>
      <w:bookmarkStart w:id="375" w:name="z40bc421e775e48eaa4289081ddd2c1a5"/>
      <w:bookmarkEnd w:id="375"/>
    </w:p>
    <w:tbl>
      <w:tblPr>
        <w:tblW w:w="2598" w:type="dxa"/>
        <w:jc w:val="left"/>
        <w:tblInd w:w="0" w:type="dxa"/>
        <w:tblLayout w:type="fixed"/>
        <w:tblCellMar>
          <w:top w:w="0" w:type="dxa"/>
          <w:left w:w="0" w:type="dxa"/>
          <w:bottom w:w="0" w:type="dxa"/>
          <w:right w:w="0" w:type="dxa"/>
        </w:tblCellMar>
      </w:tblPr>
      <w:tblGrid>
        <w:gridCol w:w="38"/>
        <w:gridCol w:w="230"/>
        <w:gridCol w:w="233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Prospectus Supplement; and</w:t>
            </w:r>
          </w:p>
        </w:tc>
      </w:tr>
    </w:tbl>
    <w:p>
      <w:pPr>
        <w:pStyle w:val="Normal"/>
        <w:bidi w:val="0"/>
        <w:spacing w:before="0" w:after="0"/>
        <w:jc w:val="left"/>
        <w:rPr>
          <w:sz w:val="4"/>
          <w:szCs w:val="4"/>
        </w:rPr>
      </w:pPr>
      <w:r>
        <w:rPr>
          <w:sz w:val="4"/>
          <w:szCs w:val="4"/>
        </w:rPr>
      </w:r>
      <w:bookmarkStart w:id="376" w:name="z49357d57413549bebb25ce3e7d2fbab2"/>
      <w:bookmarkStart w:id="377" w:name="z49357d57413549bebb25ce3e7d2fbab2"/>
      <w:bookmarkEnd w:id="377"/>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99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certificate of the secretary of the Company, with the attachments referred to therein, including certified copies of circulating resolutions passed by the board of directors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8" w:name="z83bfa532a7b04f018fb6972ec6415fd4"/>
      <w:bookmarkStart w:id="379" w:name="z83bfa532a7b04f018fb6972ec6415fd4"/>
      <w:bookmarkEnd w:id="379"/>
    </w:p>
    <w:tbl>
      <w:tblPr>
        <w:tblW w:w="760" w:type="dxa"/>
        <w:jc w:val="left"/>
        <w:tblInd w:w="0" w:type="dxa"/>
        <w:tblLayout w:type="fixed"/>
        <w:tblCellMar>
          <w:top w:w="0" w:type="dxa"/>
          <w:left w:w="0" w:type="dxa"/>
          <w:bottom w:w="0" w:type="dxa"/>
          <w:right w:w="0" w:type="dxa"/>
        </w:tblCellMar>
      </w:tblPr>
      <w:tblGrid>
        <w:gridCol w:w="155"/>
        <w:gridCol w:w="605"/>
      </w:tblGrid>
      <w:tr>
        <w:trPr/>
        <w:tc>
          <w:tcPr>
            <w:tcW w:w="155" w:type="dxa"/>
            <w:tcBorders/>
            <w:vAlign w:val="center"/>
          </w:tcPr>
          <w:p>
            <w:pPr>
              <w:pStyle w:val="TableContents"/>
              <w:bidi w:val="0"/>
              <w:spacing w:before="0" w:after="283"/>
              <w:jc w:val="left"/>
              <w:rPr>
                <w:rFonts w:ascii="Times New Roman" w:hAnsi="Times New Roman"/>
                <w:b/>
                <w:sz w:val="22"/>
              </w:rPr>
            </w:pPr>
            <w:r>
              <w:rPr>
                <w:rFonts w:ascii="Times New Roman" w:hAnsi="Times New Roman"/>
                <w:b/>
                <w:sz w:val="22"/>
              </w:rPr>
              <w:t>4</w:t>
            </w:r>
          </w:p>
        </w:tc>
        <w:tc>
          <w:tcPr>
            <w:tcW w:w="605"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Scope</w:t>
            </w:r>
          </w:p>
        </w:tc>
      </w:tr>
    </w:tbl>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This opinion relates only to the laws of the Relevant Jurisdictions, as interpreted by courts of the Relevant Jurisdictions, at 9am (Sydney, Australia time) on the date of this opinion.</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This opinion is given on the basis that it will be construed in accordance with the laws of New South Wales, Australia. Anyone relying on this opinion agrees that this opinion and all matters (including any liability) arising in any way from it are to be governed by the laws of New South Wales and will be subject to the non-exclusive jurisdiction of the courts of New South Wales.</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have not reviewed any documents other than the Documents listed in Section 2 for the purposes of this Opinion, and this Opinion does not purport to address any legal issues that arise in relation to such other documents that may be or come into force, even if there is a reference to any such documents in the Documents or on the impact such documents may have on the opinions expressed in this Opinion.</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have not considered and do not opine on the Registration Statement or/and any securities law disclosure requirements, other than as expressly stated herein with respect to the issue of the Shares.</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express no opinion as to any taxation matters or transfer pricing matters generally or liability to tax which may arise or be suffered as a result of or in connection with each Share Purchase Agreement or on the impact which any tax laws may have on the opinions expressed in this Opinion.</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express no opinion on any applicable licensing or similar requirements.</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This Opinion does not contain any undertaking to update it or to inform the Company of any changes in the laws of the Relevant Jurisdictions or any other laws which would affect the content thereof in any manner.</w:t>
      </w:r>
    </w:p>
    <w:p>
      <w:pPr>
        <w:pStyle w:val="TextBody"/>
        <w:bidi w:val="0"/>
        <w:spacing w:before="0" w:after="0"/>
        <w:jc w:val="left"/>
        <w:rPr/>
      </w:pPr>
      <w:r>
        <w:rPr/>
      </w:r>
    </w:p>
    <w:tbl>
      <w:tblPr>
        <w:tblW w:w="485" w:type="dxa"/>
        <w:jc w:val="left"/>
        <w:tblInd w:w="0" w:type="dxa"/>
        <w:tblLayout w:type="fixed"/>
        <w:tblCellMar>
          <w:top w:w="28" w:type="dxa"/>
          <w:left w:w="0" w:type="dxa"/>
          <w:bottom w:w="0" w:type="dxa"/>
          <w:right w:w="0" w:type="dxa"/>
        </w:tblCellMar>
      </w:tblPr>
      <w:tblGrid>
        <w:gridCol w:w="485"/>
      </w:tblGrid>
      <w:tr>
        <w:trPr/>
        <w:tc>
          <w:tcPr>
            <w:tcW w:w="485" w:type="dxa"/>
            <w:tcBorders>
              <w:top w:val="single" w:sz="2" w:space="0" w:color="000000"/>
            </w:tcBorders>
            <w:vAlign w:val="center"/>
          </w:tcPr>
          <w:p>
            <w:pPr>
              <w:pStyle w:val="TableContents"/>
              <w:bidi w:val="0"/>
              <w:spacing w:before="0" w:after="283"/>
              <w:jc w:val="right"/>
              <w:rPr>
                <w:sz w:val="16"/>
              </w:rPr>
            </w:pPr>
            <w:r>
              <w:rPr>
                <w:sz w:val="16"/>
              </w:rPr>
              <w:t>page 2</w:t>
            </w:r>
          </w:p>
        </w:tc>
      </w:tr>
    </w:tbl>
    <w:p>
      <w:pPr>
        <w:pStyle w:val="HorizontalLine"/>
        <w:pBdr>
          <w:bottom w:val="single" w:sz="12" w:space="0" w:color="808080"/>
        </w:pBdr>
        <w:bidi w:val="0"/>
        <w:spacing w:before="200" w:after="200"/>
        <w:jc w:val="left"/>
        <w:rPr/>
      </w:pPr>
      <w:r>
        <w:rPr/>
      </w:r>
    </w:p>
    <w:p>
      <w:pPr>
        <w:pStyle w:val="TextBody"/>
        <w:bidi w:val="0"/>
        <w:spacing w:before="200" w:after="200"/>
        <w:jc w:val="right"/>
        <w:rPr>
          <w:color w:val="000000"/>
        </w:rPr>
      </w:pPr>
      <w:r>
        <w:rPr>
          <w:color w:val="000000"/>
        </w:rPr>
        <w:drawing>
          <wp:inline distT="0" distB="0" distL="0" distR="0">
            <wp:extent cx="1295400" cy="323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95400" cy="323850"/>
                    </a:xfrm>
                    <a:prstGeom prst="rect">
                      <a:avLst/>
                    </a:prstGeom>
                  </pic:spPr>
                </pic:pic>
              </a:graphicData>
            </a:graphic>
          </wp:inline>
        </w:drawing>
      </w:r>
    </w:p>
    <w:p>
      <w:pPr>
        <w:pStyle w:val="Normal"/>
        <w:bidi w:val="0"/>
        <w:spacing w:before="0" w:after="0"/>
        <w:jc w:val="left"/>
        <w:rPr>
          <w:sz w:val="4"/>
          <w:szCs w:val="4"/>
        </w:rPr>
      </w:pPr>
      <w:r>
        <w:rPr>
          <w:sz w:val="4"/>
          <w:szCs w:val="4"/>
        </w:rPr>
      </w:r>
      <w:bookmarkStart w:id="380" w:name="zc18c9e645601455bbb582e5e5dbb9368"/>
      <w:bookmarkStart w:id="381" w:name="zc18c9e645601455bbb582e5e5dbb9368"/>
      <w:bookmarkEnd w:id="381"/>
    </w:p>
    <w:tbl>
      <w:tblPr>
        <w:tblW w:w="1060" w:type="dxa"/>
        <w:jc w:val="left"/>
        <w:tblInd w:w="0" w:type="dxa"/>
        <w:tblLayout w:type="fixed"/>
        <w:tblCellMar>
          <w:top w:w="0" w:type="dxa"/>
          <w:left w:w="0" w:type="dxa"/>
          <w:bottom w:w="0" w:type="dxa"/>
          <w:right w:w="0" w:type="dxa"/>
        </w:tblCellMar>
      </w:tblPr>
      <w:tblGrid>
        <w:gridCol w:w="155"/>
        <w:gridCol w:w="905"/>
      </w:tblGrid>
      <w:tr>
        <w:trPr/>
        <w:tc>
          <w:tcPr>
            <w:tcW w:w="155" w:type="dxa"/>
            <w:tcBorders/>
            <w:vAlign w:val="center"/>
          </w:tcPr>
          <w:p>
            <w:pPr>
              <w:pStyle w:val="TableContents"/>
              <w:bidi w:val="0"/>
              <w:spacing w:before="0" w:after="283"/>
              <w:jc w:val="left"/>
              <w:rPr>
                <w:rFonts w:ascii="Times New Roman" w:hAnsi="Times New Roman"/>
                <w:b/>
                <w:sz w:val="22"/>
              </w:rPr>
            </w:pPr>
            <w:r>
              <w:rPr>
                <w:rFonts w:ascii="Times New Roman" w:hAnsi="Times New Roman"/>
                <w:b/>
                <w:sz w:val="22"/>
              </w:rPr>
              <w:t>5</w:t>
            </w:r>
          </w:p>
        </w:tc>
        <w:tc>
          <w:tcPr>
            <w:tcW w:w="905"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Searches</w:t>
            </w:r>
          </w:p>
        </w:tc>
      </w:tr>
    </w:tbl>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have relied on the following.</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82" w:name="z8bf454d73cbc4e38951f1de31d33c36f"/>
      <w:bookmarkStart w:id="383" w:name="z8bf454d73cbc4e38951f1de31d33c36f"/>
      <w:bookmarkEnd w:id="383"/>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 extract of the public records of the Company produced by ASIC on 8 December 2025 at 8:25am Sydney, Australia time.</w:t>
            </w:r>
          </w:p>
        </w:tc>
      </w:tr>
    </w:tbl>
    <w:p>
      <w:pPr>
        <w:pStyle w:val="Normal"/>
        <w:bidi w:val="0"/>
        <w:spacing w:before="0" w:after="0"/>
        <w:jc w:val="left"/>
        <w:rPr>
          <w:sz w:val="4"/>
          <w:szCs w:val="4"/>
        </w:rPr>
      </w:pPr>
      <w:r>
        <w:rPr>
          <w:sz w:val="4"/>
          <w:szCs w:val="4"/>
        </w:rPr>
      </w:r>
      <w:bookmarkStart w:id="384" w:name="za9f4508b1a764e89917ac27fd646a84a"/>
      <w:bookmarkStart w:id="385" w:name="za9f4508b1a764e89917ac27fd646a84a"/>
      <w:bookmarkEnd w:id="385"/>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0"/>
              <w:jc w:val="left"/>
              <w:rPr/>
            </w:pPr>
            <w:r>
              <w:rPr/>
            </w:r>
          </w:p>
        </w:tc>
        <w:tc>
          <w:tcPr>
            <w:tcW w:w="2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search of the insolvency notices website maintained by ASIC in respect of the Company on 8 December 2025 at 8:25am Sydney, Australia time.</w:t>
            </w:r>
          </w:p>
        </w:tc>
      </w:tr>
    </w:tbl>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have assumed that the extracts produced by ASIC are the same as information provided by the Company to ASIC. We have not examined any documents that the Company may have filed with ASIC. The information in the extracts, or produced by the searches, may not be correct, complete or up to date.</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have not conducted any other searches or investigations for the purposes of this opinion.</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86" w:name="z3b5550a9ca89425a89403cf2e235bbc5"/>
      <w:bookmarkStart w:id="387" w:name="z3b5550a9ca89425a89403cf2e235bbc5"/>
      <w:bookmarkEnd w:id="387"/>
    </w:p>
    <w:tbl>
      <w:tblPr>
        <w:tblW w:w="970" w:type="dxa"/>
        <w:jc w:val="left"/>
        <w:tblInd w:w="0" w:type="dxa"/>
        <w:tblLayout w:type="fixed"/>
        <w:tblCellMar>
          <w:top w:w="0" w:type="dxa"/>
          <w:left w:w="0" w:type="dxa"/>
          <w:bottom w:w="0" w:type="dxa"/>
          <w:right w:w="0" w:type="dxa"/>
        </w:tblCellMar>
      </w:tblPr>
      <w:tblGrid>
        <w:gridCol w:w="155"/>
        <w:gridCol w:w="815"/>
      </w:tblGrid>
      <w:tr>
        <w:trPr/>
        <w:tc>
          <w:tcPr>
            <w:tcW w:w="155" w:type="dxa"/>
            <w:tcBorders/>
            <w:vAlign w:val="center"/>
          </w:tcPr>
          <w:p>
            <w:pPr>
              <w:pStyle w:val="TableContents"/>
              <w:bidi w:val="0"/>
              <w:spacing w:before="0" w:after="283"/>
              <w:jc w:val="left"/>
              <w:rPr>
                <w:rFonts w:ascii="Times New Roman" w:hAnsi="Times New Roman"/>
                <w:b/>
                <w:sz w:val="22"/>
              </w:rPr>
            </w:pPr>
            <w:r>
              <w:rPr>
                <w:rFonts w:ascii="Times New Roman" w:hAnsi="Times New Roman"/>
                <w:b/>
                <w:sz w:val="22"/>
              </w:rPr>
              <w:t>6</w:t>
            </w:r>
          </w:p>
        </w:tc>
        <w:tc>
          <w:tcPr>
            <w:tcW w:w="815"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Opinion</w:t>
            </w:r>
          </w:p>
        </w:tc>
      </w:tr>
    </w:tbl>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br/>
        <w:t>Our opinion is as follows, subject to the assumptions in Schedule 1:</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88" w:name="z91e96b96e87d4d569ae7d8e2c01e5fcc"/>
      <w:bookmarkStart w:id="389" w:name="z91e96b96e87d4d569ae7d8e2c01e5fcc"/>
      <w:bookmarkEnd w:id="389"/>
    </w:p>
    <w:tbl>
      <w:tblPr>
        <w:tblW w:w="4308" w:type="dxa"/>
        <w:jc w:val="left"/>
        <w:tblInd w:w="0" w:type="dxa"/>
        <w:tblLayout w:type="fixed"/>
        <w:tblCellMar>
          <w:top w:w="0" w:type="dxa"/>
          <w:left w:w="0" w:type="dxa"/>
          <w:bottom w:w="0" w:type="dxa"/>
          <w:right w:w="0" w:type="dxa"/>
        </w:tblCellMar>
      </w:tblPr>
      <w:tblGrid>
        <w:gridCol w:w="38"/>
        <w:gridCol w:w="230"/>
        <w:gridCol w:w="404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Shares have been authorised and if and once:</w:t>
            </w:r>
          </w:p>
        </w:tc>
      </w:tr>
    </w:tbl>
    <w:p>
      <w:pPr>
        <w:pStyle w:val="Normal"/>
        <w:bidi w:val="0"/>
        <w:spacing w:before="0" w:after="0"/>
        <w:jc w:val="left"/>
        <w:rPr>
          <w:sz w:val="4"/>
          <w:szCs w:val="4"/>
        </w:rPr>
      </w:pPr>
      <w:r>
        <w:rPr>
          <w:sz w:val="4"/>
          <w:szCs w:val="4"/>
        </w:rPr>
      </w:r>
      <w:bookmarkStart w:id="390" w:name="z2a294858021d4eb3bdcda600c3501c78"/>
      <w:bookmarkStart w:id="391" w:name="z2a294858021d4eb3bdcda600c3501c78"/>
      <w:bookmarkEnd w:id="391"/>
    </w:p>
    <w:tbl>
      <w:tblPr>
        <w:tblW w:w="8553" w:type="dxa"/>
        <w:jc w:val="left"/>
        <w:tblInd w:w="0" w:type="dxa"/>
        <w:tblLayout w:type="fixed"/>
        <w:tblCellMar>
          <w:top w:w="0" w:type="dxa"/>
          <w:left w:w="0" w:type="dxa"/>
          <w:bottom w:w="0" w:type="dxa"/>
          <w:right w:w="0" w:type="dxa"/>
        </w:tblCellMar>
      </w:tblPr>
      <w:tblGrid>
        <w:gridCol w:w="38"/>
        <w:gridCol w:w="200"/>
        <w:gridCol w:w="831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duly registered on the books of the transfer agent and registrar therefor in the name of Cede &amp; Co.; and</w:t>
            </w:r>
          </w:p>
        </w:tc>
      </w:tr>
    </w:tbl>
    <w:p>
      <w:pPr>
        <w:pStyle w:val="Normal"/>
        <w:bidi w:val="0"/>
        <w:spacing w:before="0" w:after="0"/>
        <w:jc w:val="left"/>
        <w:rPr>
          <w:sz w:val="4"/>
          <w:szCs w:val="4"/>
        </w:rPr>
      </w:pPr>
      <w:r>
        <w:rPr>
          <w:sz w:val="4"/>
          <w:szCs w:val="4"/>
        </w:rPr>
      </w:r>
      <w:bookmarkStart w:id="392" w:name="z9c7b311b11e24c24a72e2c92b607cefe"/>
      <w:bookmarkStart w:id="393" w:name="z9c7b311b11e24c24a72e2c92b607cefe"/>
      <w:bookmarkEnd w:id="393"/>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fully paid and issued in accordance with the terms of the Constitution, are validly issued, issued as fully paid-up shares and are non-assessable.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4" w:name="z4f2ba2978d5e4b74b1a799eefe530968"/>
      <w:bookmarkStart w:id="395" w:name="z4f2ba2978d5e4b74b1a799eefe530968"/>
      <w:bookmarkEnd w:id="395"/>
    </w:p>
    <w:tbl>
      <w:tblPr>
        <w:tblW w:w="880" w:type="dxa"/>
        <w:jc w:val="left"/>
        <w:tblInd w:w="0" w:type="dxa"/>
        <w:tblLayout w:type="fixed"/>
        <w:tblCellMar>
          <w:top w:w="0" w:type="dxa"/>
          <w:left w:w="0" w:type="dxa"/>
          <w:bottom w:w="0" w:type="dxa"/>
          <w:right w:w="0" w:type="dxa"/>
        </w:tblCellMar>
      </w:tblPr>
      <w:tblGrid>
        <w:gridCol w:w="155"/>
        <w:gridCol w:w="725"/>
      </w:tblGrid>
      <w:tr>
        <w:trPr/>
        <w:tc>
          <w:tcPr>
            <w:tcW w:w="155" w:type="dxa"/>
            <w:tcBorders/>
            <w:vAlign w:val="center"/>
          </w:tcPr>
          <w:p>
            <w:pPr>
              <w:pStyle w:val="TableContents"/>
              <w:bidi w:val="0"/>
              <w:spacing w:before="0" w:after="283"/>
              <w:jc w:val="left"/>
              <w:rPr>
                <w:rFonts w:ascii="Times New Roman" w:hAnsi="Times New Roman"/>
                <w:b/>
                <w:sz w:val="22"/>
              </w:rPr>
            </w:pPr>
            <w:r>
              <w:rPr>
                <w:rFonts w:ascii="Times New Roman" w:hAnsi="Times New Roman"/>
                <w:b/>
                <w:sz w:val="22"/>
              </w:rPr>
              <w:t>7</w:t>
            </w:r>
          </w:p>
        </w:tc>
        <w:tc>
          <w:tcPr>
            <w:tcW w:w="725"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Benefit</w:t>
            </w:r>
          </w:p>
        </w:tc>
      </w:tr>
    </w:tbl>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are providing this opinion in connection with the Documents and the Registration Statement. We hereby consent to the filing of this Opinion as an exhibit to the Registration Statement. In giving such consent, we do not thereby admit that we are in the category of persons whose consent is required under Section 7 of the Securities Act.</w:t>
      </w:r>
    </w:p>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Yours faithfully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 Allens</w:t>
      </w:r>
    </w:p>
    <w:p>
      <w:pPr>
        <w:pStyle w:val="TextBody"/>
        <w:bidi w:val="0"/>
        <w:spacing w:before="0" w:after="0"/>
        <w:jc w:val="left"/>
        <w:rPr>
          <w:rFonts w:ascii="Times New Roman" w:hAnsi="Times New Roman"/>
          <w:b/>
          <w:sz w:val="20"/>
        </w:rPr>
      </w:pPr>
      <w:r>
        <w:rPr>
          <w:rFonts w:ascii="Times New Roman" w:hAnsi="Times New Roman"/>
          <w:b/>
          <w:sz w:val="20"/>
        </w:rPr>
      </w:r>
    </w:p>
    <w:tbl>
      <w:tblPr>
        <w:tblW w:w="485" w:type="dxa"/>
        <w:jc w:val="left"/>
        <w:tblInd w:w="0" w:type="dxa"/>
        <w:tblLayout w:type="fixed"/>
        <w:tblCellMar>
          <w:top w:w="28" w:type="dxa"/>
          <w:left w:w="0" w:type="dxa"/>
          <w:bottom w:w="0" w:type="dxa"/>
          <w:right w:w="0" w:type="dxa"/>
        </w:tblCellMar>
      </w:tblPr>
      <w:tblGrid>
        <w:gridCol w:w="485"/>
      </w:tblGrid>
      <w:tr>
        <w:trPr/>
        <w:tc>
          <w:tcPr>
            <w:tcW w:w="485" w:type="dxa"/>
            <w:tcBorders>
              <w:top w:val="single" w:sz="2" w:space="0" w:color="000000"/>
            </w:tcBorders>
            <w:vAlign w:val="center"/>
          </w:tcPr>
          <w:p>
            <w:pPr>
              <w:pStyle w:val="TableContents"/>
              <w:bidi w:val="0"/>
              <w:spacing w:before="0" w:after="283"/>
              <w:jc w:val="right"/>
              <w:rPr>
                <w:sz w:val="16"/>
              </w:rPr>
            </w:pPr>
            <w:r>
              <w:rPr>
                <w:sz w:val="16"/>
              </w:rPr>
              <w:t>page 3</w:t>
            </w:r>
          </w:p>
        </w:tc>
      </w:tr>
    </w:tbl>
    <w:p>
      <w:pPr>
        <w:pStyle w:val="HorizontalLine"/>
        <w:pBdr>
          <w:bottom w:val="single" w:sz="12" w:space="0" w:color="808080"/>
        </w:pBdr>
        <w:bidi w:val="0"/>
        <w:spacing w:before="200" w:after="200"/>
        <w:jc w:val="left"/>
        <w:rPr/>
      </w:pPr>
      <w:r>
        <w:rPr/>
      </w:r>
    </w:p>
    <w:p>
      <w:pPr>
        <w:pStyle w:val="TextBody"/>
        <w:bidi w:val="0"/>
        <w:spacing w:before="200" w:after="200"/>
        <w:jc w:val="right"/>
        <w:rPr>
          <w:color w:val="000000"/>
        </w:rPr>
      </w:pPr>
      <w:r>
        <w:rPr>
          <w:color w:val="000000"/>
        </w:rPr>
        <w:drawing>
          <wp:inline distT="0" distB="0" distL="0" distR="0">
            <wp:extent cx="1295400" cy="3238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95400" cy="323850"/>
                    </a:xfrm>
                    <a:prstGeom prst="rect">
                      <a:avLst/>
                    </a:prstGeom>
                  </pic:spPr>
                </pic:pic>
              </a:graphicData>
            </a:graphic>
          </wp:inline>
        </w:drawing>
      </w:r>
    </w:p>
    <w:p>
      <w:pPr>
        <w:pStyle w:val="TextBody"/>
        <w:bidi w:val="0"/>
        <w:spacing w:before="0" w:after="0"/>
        <w:ind w:left="709" w:right="0" w:hanging="709"/>
        <w:jc w:val="left"/>
        <w:rPr>
          <w:rFonts w:ascii="Times New Roman" w:hAnsi="Times New Roman"/>
          <w:b/>
          <w:color w:val="000000"/>
          <w:sz w:val="22"/>
        </w:rPr>
      </w:pPr>
      <w:r>
        <w:rPr>
          <w:rFonts w:ascii="Times New Roman" w:hAnsi="Times New Roman"/>
          <w:b/>
          <w:color w:val="000000"/>
          <w:sz w:val="22"/>
        </w:rPr>
        <w:t>Schedule 1</w:t>
      </w:r>
    </w:p>
    <w:p>
      <w:pPr>
        <w:pStyle w:val="TextBody"/>
        <w:bidi w:val="0"/>
        <w:spacing w:before="0" w:after="0"/>
        <w:ind w:left="709" w:right="0" w:hanging="709"/>
        <w:jc w:val="left"/>
        <w:rPr>
          <w:rFonts w:ascii="Times New Roman" w:hAnsi="Times New Roman"/>
          <w:b/>
          <w:sz w:val="22"/>
        </w:rPr>
      </w:pPr>
      <w:r>
        <w:rPr>
          <w:rFonts w:ascii="Times New Roman" w:hAnsi="Times New Roman"/>
          <w:b/>
          <w:sz w:val="22"/>
        </w:rPr>
      </w:r>
    </w:p>
    <w:p>
      <w:pPr>
        <w:pStyle w:val="TextBody"/>
        <w:bidi w:val="0"/>
        <w:spacing w:before="0" w:after="0"/>
        <w:ind w:left="709" w:right="0" w:hanging="709"/>
        <w:jc w:val="left"/>
        <w:rPr>
          <w:rFonts w:ascii="Times New Roman" w:hAnsi="Times New Roman"/>
          <w:b/>
          <w:color w:val="000000"/>
          <w:sz w:val="22"/>
        </w:rPr>
      </w:pPr>
      <w:r>
        <w:rPr>
          <w:rFonts w:ascii="Times New Roman" w:hAnsi="Times New Roman"/>
          <w:b/>
          <w:color w:val="000000"/>
          <w:sz w:val="22"/>
        </w:rPr>
        <w:t>Assumptions</w:t>
      </w:r>
    </w:p>
    <w:p>
      <w:pPr>
        <w:pStyle w:val="TextBody"/>
        <w:bidi w:val="0"/>
        <w:spacing w:before="0" w:after="0"/>
        <w:ind w:left="709" w:right="0" w:hanging="709"/>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396" w:name="z8d69aee0cf3d48e89b456df71eb663c5"/>
      <w:bookmarkStart w:id="397" w:name="z8d69aee0cf3d48e89b456df71eb663c5"/>
      <w:bookmarkEnd w:id="397"/>
    </w:p>
    <w:tbl>
      <w:tblPr>
        <w:tblW w:w="5118" w:type="dxa"/>
        <w:jc w:val="left"/>
        <w:tblInd w:w="0" w:type="dxa"/>
        <w:tblLayout w:type="fixed"/>
        <w:tblCellMar>
          <w:top w:w="0" w:type="dxa"/>
          <w:left w:w="0" w:type="dxa"/>
          <w:bottom w:w="0" w:type="dxa"/>
          <w:right w:w="0" w:type="dxa"/>
        </w:tblCellMar>
      </w:tblPr>
      <w:tblGrid>
        <w:gridCol w:w="38"/>
        <w:gridCol w:w="230"/>
        <w:gridCol w:w="485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dates, signatures, seals and duty markings are authentic.</w:t>
            </w:r>
          </w:p>
        </w:tc>
      </w:tr>
    </w:tbl>
    <w:p>
      <w:pPr>
        <w:pStyle w:val="Normal"/>
        <w:bidi w:val="0"/>
        <w:spacing w:before="0" w:after="0"/>
        <w:jc w:val="left"/>
        <w:rPr>
          <w:sz w:val="4"/>
          <w:szCs w:val="4"/>
        </w:rPr>
      </w:pPr>
      <w:r>
        <w:rPr>
          <w:sz w:val="4"/>
          <w:szCs w:val="4"/>
        </w:rPr>
      </w:r>
      <w:bookmarkStart w:id="398" w:name="zc190444249024f089990dc0b0c60efcd"/>
      <w:bookmarkStart w:id="399" w:name="zc190444249024f089990dc0b0c60efcd"/>
      <w:bookmarkEnd w:id="399"/>
    </w:p>
    <w:tbl>
      <w:tblPr>
        <w:tblW w:w="7668" w:type="dxa"/>
        <w:jc w:val="left"/>
        <w:tblInd w:w="0" w:type="dxa"/>
        <w:tblLayout w:type="fixed"/>
        <w:tblCellMar>
          <w:top w:w="0" w:type="dxa"/>
          <w:left w:w="0" w:type="dxa"/>
          <w:bottom w:w="0" w:type="dxa"/>
          <w:right w:w="0" w:type="dxa"/>
        </w:tblCellMar>
      </w:tblPr>
      <w:tblGrid>
        <w:gridCol w:w="38"/>
        <w:gridCol w:w="245"/>
        <w:gridCol w:w="738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we have reviewed a copy of a document, it is a correct and complete copy of the original.</w:t>
            </w:r>
          </w:p>
        </w:tc>
      </w:tr>
    </w:tbl>
    <w:p>
      <w:pPr>
        <w:pStyle w:val="Normal"/>
        <w:bidi w:val="0"/>
        <w:spacing w:before="0" w:after="0"/>
        <w:jc w:val="left"/>
        <w:rPr>
          <w:sz w:val="4"/>
          <w:szCs w:val="4"/>
        </w:rPr>
      </w:pPr>
      <w:r>
        <w:rPr>
          <w:sz w:val="4"/>
          <w:szCs w:val="4"/>
        </w:rPr>
      </w:r>
      <w:bookmarkStart w:id="400" w:name="zd37e31f6de264004995280e8c48f86fe"/>
      <w:bookmarkStart w:id="401" w:name="zd37e31f6de264004995280e8c48f86fe"/>
      <w:bookmarkEnd w:id="401"/>
    </w:p>
    <w:tbl>
      <w:tblPr>
        <w:tblW w:w="8598" w:type="dxa"/>
        <w:jc w:val="left"/>
        <w:tblInd w:w="0" w:type="dxa"/>
        <w:tblLayout w:type="fixed"/>
        <w:tblCellMar>
          <w:top w:w="0" w:type="dxa"/>
          <w:left w:w="0" w:type="dxa"/>
          <w:bottom w:w="0" w:type="dxa"/>
          <w:right w:w="0" w:type="dxa"/>
        </w:tblCellMar>
      </w:tblPr>
      <w:tblGrid>
        <w:gridCol w:w="38"/>
        <w:gridCol w:w="230"/>
        <w:gridCol w:w="833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we have reviewed only a draft of a document, it has been or will be executed in the form of that draft.</w:t>
            </w:r>
          </w:p>
        </w:tc>
      </w:tr>
    </w:tbl>
    <w:p>
      <w:pPr>
        <w:pStyle w:val="Normal"/>
        <w:bidi w:val="0"/>
        <w:spacing w:before="0" w:after="0"/>
        <w:jc w:val="left"/>
        <w:rPr>
          <w:sz w:val="4"/>
          <w:szCs w:val="4"/>
        </w:rPr>
      </w:pPr>
      <w:r>
        <w:rPr>
          <w:sz w:val="4"/>
          <w:szCs w:val="4"/>
        </w:rPr>
      </w:r>
      <w:bookmarkStart w:id="402" w:name="z35624a8aa0a347ffb7fbf03b80e584c2"/>
      <w:bookmarkStart w:id="403" w:name="z35624a8aa0a347ffb7fbf03b80e584c2"/>
      <w:bookmarkEnd w:id="403"/>
    </w:p>
    <w:tbl>
      <w:tblPr>
        <w:tblW w:w="6003" w:type="dxa"/>
        <w:jc w:val="left"/>
        <w:tblInd w:w="0" w:type="dxa"/>
        <w:tblLayout w:type="fixed"/>
        <w:tblCellMar>
          <w:top w:w="0" w:type="dxa"/>
          <w:left w:w="0" w:type="dxa"/>
          <w:bottom w:w="0" w:type="dxa"/>
          <w:right w:w="0" w:type="dxa"/>
        </w:tblCellMar>
      </w:tblPr>
      <w:tblGrid>
        <w:gridCol w:w="38"/>
        <w:gridCol w:w="245"/>
        <w:gridCol w:w="572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statements made in the Documents as to factual matters are correct.</w:t>
            </w:r>
          </w:p>
        </w:tc>
      </w:tr>
    </w:tbl>
    <w:p>
      <w:pPr>
        <w:pStyle w:val="Normal"/>
        <w:bidi w:val="0"/>
        <w:spacing w:before="0" w:after="0"/>
        <w:jc w:val="left"/>
        <w:rPr>
          <w:sz w:val="4"/>
          <w:szCs w:val="4"/>
        </w:rPr>
      </w:pPr>
      <w:r>
        <w:rPr>
          <w:sz w:val="4"/>
          <w:szCs w:val="4"/>
        </w:rPr>
      </w:r>
      <w:bookmarkStart w:id="404" w:name="z073e4f3721a84e34b879c0f2f190dad8"/>
      <w:bookmarkStart w:id="405" w:name="z073e4f3721a84e34b879c0f2f190dad8"/>
      <w:bookmarkEnd w:id="405"/>
    </w:p>
    <w:tbl>
      <w:tblPr>
        <w:tblW w:w="5778" w:type="dxa"/>
        <w:jc w:val="left"/>
        <w:tblInd w:w="0" w:type="dxa"/>
        <w:tblLayout w:type="fixed"/>
        <w:tblCellMar>
          <w:top w:w="0" w:type="dxa"/>
          <w:left w:w="0" w:type="dxa"/>
          <w:bottom w:w="0" w:type="dxa"/>
          <w:right w:w="0" w:type="dxa"/>
        </w:tblCellMar>
      </w:tblPr>
      <w:tblGrid>
        <w:gridCol w:w="38"/>
        <w:gridCol w:w="230"/>
        <w:gridCol w:w="551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None of the Documents have been amended, released or terminated.</w:t>
            </w:r>
          </w:p>
        </w:tc>
      </w:tr>
    </w:tbl>
    <w:p>
      <w:pPr>
        <w:pStyle w:val="Normal"/>
        <w:bidi w:val="0"/>
        <w:spacing w:before="0" w:after="0"/>
        <w:jc w:val="left"/>
        <w:rPr>
          <w:sz w:val="4"/>
          <w:szCs w:val="4"/>
        </w:rPr>
      </w:pPr>
      <w:r>
        <w:rPr>
          <w:sz w:val="4"/>
          <w:szCs w:val="4"/>
        </w:rPr>
      </w:r>
      <w:bookmarkStart w:id="406" w:name="z61de0406d4674ec78800abb496f9e69d"/>
      <w:bookmarkStart w:id="407" w:name="z61de0406d4674ec78800abb496f9e69d"/>
      <w:bookmarkEnd w:id="407"/>
    </w:p>
    <w:tbl>
      <w:tblPr>
        <w:tblW w:w="9168" w:type="dxa"/>
        <w:jc w:val="left"/>
        <w:tblInd w:w="0" w:type="dxa"/>
        <w:tblLayout w:type="fixed"/>
        <w:tblCellMar>
          <w:top w:w="0" w:type="dxa"/>
          <w:left w:w="0" w:type="dxa"/>
          <w:bottom w:w="0" w:type="dxa"/>
          <w:right w:w="0" w:type="dxa"/>
        </w:tblCellMar>
      </w:tblPr>
      <w:tblGrid>
        <w:gridCol w:w="38"/>
        <w:gridCol w:w="200"/>
        <w:gridCol w:w="893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person who executed any Document on behalf of the Company held the position they purported to hold.</w:t>
            </w:r>
          </w:p>
        </w:tc>
      </w:tr>
    </w:tbl>
    <w:p>
      <w:pPr>
        <w:pStyle w:val="Normal"/>
        <w:bidi w:val="0"/>
        <w:spacing w:before="0" w:after="0"/>
        <w:jc w:val="left"/>
        <w:rPr>
          <w:sz w:val="4"/>
          <w:szCs w:val="4"/>
        </w:rPr>
      </w:pPr>
      <w:r>
        <w:rPr>
          <w:sz w:val="4"/>
          <w:szCs w:val="4"/>
        </w:rPr>
      </w:r>
      <w:bookmarkStart w:id="408" w:name="z1c39eb4835ec4d0d998ec8ecabfde5ef"/>
      <w:bookmarkStart w:id="409" w:name="z1c39eb4835ec4d0d998ec8ecabfde5ef"/>
      <w:bookmarkEnd w:id="409"/>
    </w:p>
    <w:tbl>
      <w:tblPr>
        <w:tblW w:w="2973" w:type="dxa"/>
        <w:jc w:val="left"/>
        <w:tblInd w:w="0" w:type="dxa"/>
        <w:tblLayout w:type="fixed"/>
        <w:tblCellMar>
          <w:top w:w="0" w:type="dxa"/>
          <w:left w:w="0" w:type="dxa"/>
          <w:bottom w:w="0" w:type="dxa"/>
          <w:right w:w="0" w:type="dxa"/>
        </w:tblCellMar>
      </w:tblPr>
      <w:tblGrid>
        <w:gridCol w:w="38"/>
        <w:gridCol w:w="245"/>
        <w:gridCol w:w="269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Share Purchase Agreement:</w:t>
            </w:r>
          </w:p>
        </w:tc>
      </w:tr>
    </w:tbl>
    <w:p>
      <w:pPr>
        <w:pStyle w:val="Normal"/>
        <w:bidi w:val="0"/>
        <w:spacing w:before="0" w:after="0"/>
        <w:jc w:val="left"/>
        <w:rPr>
          <w:sz w:val="4"/>
          <w:szCs w:val="4"/>
        </w:rPr>
      </w:pPr>
      <w:r>
        <w:rPr>
          <w:sz w:val="4"/>
          <w:szCs w:val="4"/>
        </w:rPr>
      </w:r>
      <w:bookmarkStart w:id="410" w:name="z2a9783df8c0b4f1fa3a4c326699727cb"/>
      <w:bookmarkStart w:id="411" w:name="z2a9783df8c0b4f1fa3a4c326699727cb"/>
      <w:bookmarkEnd w:id="41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has been or will be validly authorised and entered into by each party to it, and is binding on each such party under all applicable laws (other than the laws of the Relevant Jurisdictions, but only to the extent opined herein); and</w:t>
            </w:r>
          </w:p>
        </w:tc>
      </w:tr>
    </w:tbl>
    <w:p>
      <w:pPr>
        <w:pStyle w:val="Normal"/>
        <w:bidi w:val="0"/>
        <w:spacing w:before="0" w:after="0"/>
        <w:jc w:val="left"/>
        <w:rPr>
          <w:sz w:val="4"/>
          <w:szCs w:val="4"/>
        </w:rPr>
      </w:pPr>
      <w:r>
        <w:rPr>
          <w:sz w:val="4"/>
          <w:szCs w:val="4"/>
        </w:rPr>
      </w:r>
      <w:bookmarkStart w:id="412" w:name="z9e8e41e11e5f40ea84bf251c0fc1df12"/>
      <w:bookmarkStart w:id="413" w:name="z9e8e41e11e5f40ea84bf251c0fc1df12"/>
      <w:bookmarkEnd w:id="413"/>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 binding on the Company under all applicable laws (other than the laws of the Relevant Jurisdictions, but only to the extent opined herein).</w:t>
            </w:r>
          </w:p>
        </w:tc>
      </w:tr>
    </w:tbl>
    <w:p>
      <w:pPr>
        <w:pStyle w:val="Normal"/>
        <w:bidi w:val="0"/>
        <w:spacing w:before="0" w:after="0"/>
        <w:jc w:val="left"/>
        <w:rPr>
          <w:sz w:val="4"/>
          <w:szCs w:val="4"/>
        </w:rPr>
      </w:pPr>
      <w:r>
        <w:rPr>
          <w:sz w:val="4"/>
          <w:szCs w:val="4"/>
        </w:rPr>
      </w:r>
      <w:bookmarkStart w:id="414" w:name="z47126dbf37aa46e5b1d0980ff05ba576"/>
      <w:bookmarkStart w:id="415" w:name="z47126dbf37aa46e5b1d0980ff05ba576"/>
      <w:bookmarkEnd w:id="415"/>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acts, conditions or things required to be fulfilled, performed or effected in connection with each Share Purchase Agreement under the laws of any jurisdiction (other than the Relevant Jurisdictions but only to the extent opined herein) have been duly fulfilled, performed and effected.</w:t>
            </w:r>
          </w:p>
        </w:tc>
      </w:tr>
    </w:tbl>
    <w:p>
      <w:pPr>
        <w:pStyle w:val="Normal"/>
        <w:bidi w:val="0"/>
        <w:spacing w:before="0" w:after="0"/>
        <w:jc w:val="left"/>
        <w:rPr>
          <w:sz w:val="4"/>
          <w:szCs w:val="4"/>
        </w:rPr>
      </w:pPr>
      <w:r>
        <w:rPr>
          <w:sz w:val="4"/>
          <w:szCs w:val="4"/>
        </w:rPr>
      </w:r>
      <w:bookmarkStart w:id="416" w:name="z9b31919747bc4baaa199eace9cec886a"/>
      <w:bookmarkStart w:id="417" w:name="z9b31919747bc4baaa199eace9cec886a"/>
      <w:bookmarkEnd w:id="417"/>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pPr>
            <w:r>
              <w:rPr/>
            </w:r>
          </w:p>
        </w:tc>
        <w:tc>
          <w:tcPr>
            <w:tcW w:w="18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9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any Share Purchase Agreement is to be performed in a jurisdiction other than a Relevant Jurisdiction, its performance will not be illegal under the laws of that jurisdiction.</w:t>
            </w:r>
          </w:p>
        </w:tc>
      </w:tr>
    </w:tbl>
    <w:p>
      <w:pPr>
        <w:pStyle w:val="Normal"/>
        <w:bidi w:val="0"/>
        <w:spacing w:before="0" w:after="0"/>
        <w:jc w:val="left"/>
        <w:rPr>
          <w:sz w:val="4"/>
          <w:szCs w:val="4"/>
        </w:rPr>
      </w:pPr>
      <w:r>
        <w:rPr>
          <w:sz w:val="4"/>
          <w:szCs w:val="4"/>
        </w:rPr>
      </w:r>
      <w:bookmarkStart w:id="418" w:name="z2cd0741998f3424680b825d3d869b36c"/>
      <w:bookmarkStart w:id="419" w:name="z2cd0741998f3424680b825d3d869b36c"/>
      <w:bookmarkEnd w:id="419"/>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pPr>
            <w:r>
              <w:rPr/>
            </w:r>
          </w:p>
        </w:tc>
        <w:tc>
          <w:tcPr>
            <w:tcW w:w="1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(j)</w:t>
            </w:r>
          </w:p>
        </w:tc>
        <w:tc>
          <w:tcPr>
            <w:tcW w:w="99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Share Purchase Agreement constitutes or will on execution constitute binding obligations of the Company under the laws of the Governing Jurisdiction enforceable in competent courts of that jurisdiction.</w:t>
            </w:r>
          </w:p>
        </w:tc>
      </w:tr>
    </w:tbl>
    <w:p>
      <w:pPr>
        <w:pStyle w:val="Normal"/>
        <w:bidi w:val="0"/>
        <w:spacing w:before="0" w:after="0"/>
        <w:jc w:val="left"/>
        <w:rPr>
          <w:sz w:val="4"/>
          <w:szCs w:val="4"/>
        </w:rPr>
      </w:pPr>
      <w:r>
        <w:rPr>
          <w:sz w:val="4"/>
          <w:szCs w:val="4"/>
        </w:rPr>
      </w:r>
      <w:bookmarkStart w:id="420" w:name="zbb6ddb317bc54fc19120f06dfc6e5498"/>
      <w:bookmarkStart w:id="421" w:name="zbb6ddb317bc54fc19120f06dfc6e5498"/>
      <w:bookmarkEnd w:id="421"/>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pPr>
            <w:r>
              <w:rPr/>
            </w:r>
          </w:p>
        </w:tc>
        <w:tc>
          <w:tcPr>
            <w:tcW w:w="22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(k)</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Formalities for execution required by the law of the place of execution (other than a Relevant Jurisdiction) of each Share Purchase Agreement have been or will be complied with.</w:t>
            </w:r>
          </w:p>
        </w:tc>
      </w:tr>
    </w:tbl>
    <w:p>
      <w:pPr>
        <w:pStyle w:val="Normal"/>
        <w:bidi w:val="0"/>
        <w:spacing w:before="0" w:after="0"/>
        <w:jc w:val="left"/>
        <w:rPr>
          <w:sz w:val="4"/>
          <w:szCs w:val="4"/>
        </w:rPr>
      </w:pPr>
      <w:r>
        <w:rPr>
          <w:sz w:val="4"/>
          <w:szCs w:val="4"/>
        </w:rPr>
      </w:r>
      <w:bookmarkStart w:id="422" w:name="z10eb1af474ef41d5937c08fd79bf7786"/>
      <w:bookmarkStart w:id="423" w:name="z10eb1af474ef41d5937c08fd79bf7786"/>
      <w:bookmarkEnd w:id="423"/>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(l)</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parties to each Share Purchase Agreement will comply with their obligations under the applicable Share Purchase Agreement.</w:t>
            </w:r>
          </w:p>
        </w:tc>
      </w:tr>
    </w:tbl>
    <w:p>
      <w:pPr>
        <w:pStyle w:val="Normal"/>
        <w:bidi w:val="0"/>
        <w:spacing w:before="0" w:after="0"/>
        <w:jc w:val="left"/>
        <w:rPr>
          <w:sz w:val="4"/>
          <w:szCs w:val="4"/>
        </w:rPr>
      </w:pPr>
      <w:r>
        <w:rPr>
          <w:sz w:val="4"/>
          <w:szCs w:val="4"/>
        </w:rPr>
      </w:r>
      <w:bookmarkStart w:id="424" w:name="z4e63d6ee18434273b73144cead8d82e0"/>
      <w:bookmarkStart w:id="425" w:name="z4e63d6ee18434273b73144cead8d82e0"/>
      <w:bookmarkEnd w:id="425"/>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pPr>
            <w:r>
              <w:rPr/>
            </w:r>
          </w:p>
        </w:tc>
        <w:tc>
          <w:tcPr>
            <w:tcW w:w="2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(m)</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 are no provisions of the laws of any jurisdiction other than Australia that would adversely affect the opinions expressed in this Opinion.</w:t>
            </w:r>
          </w:p>
        </w:tc>
      </w:tr>
    </w:tbl>
    <w:p>
      <w:pPr>
        <w:pStyle w:val="Normal"/>
        <w:bidi w:val="0"/>
        <w:spacing w:before="0" w:after="0"/>
        <w:jc w:val="left"/>
        <w:rPr>
          <w:sz w:val="4"/>
          <w:szCs w:val="4"/>
        </w:rPr>
      </w:pPr>
      <w:r>
        <w:rPr>
          <w:sz w:val="4"/>
          <w:szCs w:val="4"/>
        </w:rPr>
      </w:r>
      <w:bookmarkStart w:id="426" w:name="z136b34088084477e90348ab65ba05a19"/>
      <w:bookmarkStart w:id="427" w:name="z136b34088084477e90348ab65ba05a19"/>
      <w:bookmarkEnd w:id="427"/>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Once taken, board resolutions passed by the Company, including powers granted therein, shall not be amended or rescinded and shall remain in full force and effect.</w:t>
            </w:r>
          </w:p>
        </w:tc>
      </w:tr>
    </w:tbl>
    <w:p>
      <w:pPr>
        <w:pStyle w:val="Normal"/>
        <w:bidi w:val="0"/>
        <w:spacing w:before="0" w:after="0"/>
        <w:jc w:val="left"/>
        <w:rPr>
          <w:sz w:val="4"/>
          <w:szCs w:val="4"/>
        </w:rPr>
      </w:pPr>
      <w:r>
        <w:rPr>
          <w:sz w:val="4"/>
          <w:szCs w:val="4"/>
        </w:rPr>
      </w:r>
      <w:bookmarkStart w:id="428" w:name="zceec55101df5454fabf00c9cc7496c64"/>
      <w:bookmarkStart w:id="429" w:name="zceec55101df5454fabf00c9cc7496c64"/>
      <w:bookmarkEnd w:id="429"/>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Shares have been issued in accordance with each Share Purchase Agreement, Constitution and board resolutions to be passed by the Company.</w:t>
            </w:r>
          </w:p>
        </w:tc>
      </w:tr>
    </w:tbl>
    <w:p>
      <w:pPr>
        <w:pStyle w:val="Normal"/>
        <w:bidi w:val="0"/>
        <w:spacing w:before="0" w:after="0"/>
        <w:jc w:val="left"/>
        <w:rPr>
          <w:sz w:val="4"/>
          <w:szCs w:val="4"/>
        </w:rPr>
      </w:pPr>
      <w:r>
        <w:rPr>
          <w:sz w:val="4"/>
          <w:szCs w:val="4"/>
        </w:rPr>
      </w:r>
      <w:bookmarkStart w:id="430" w:name="z2397baec47df49628d6efed092fe98e4"/>
      <w:bookmarkStart w:id="431" w:name="z2397baec47df49628d6efed092fe98e4"/>
      <w:bookmarkEnd w:id="431"/>
    </w:p>
    <w:tbl>
      <w:tblPr>
        <w:tblW w:w="7503" w:type="dxa"/>
        <w:jc w:val="left"/>
        <w:tblInd w:w="0" w:type="dxa"/>
        <w:tblLayout w:type="fixed"/>
        <w:tblCellMar>
          <w:top w:w="0" w:type="dxa"/>
          <w:left w:w="0" w:type="dxa"/>
          <w:bottom w:w="0" w:type="dxa"/>
          <w:right w:w="0" w:type="dxa"/>
        </w:tblCellMar>
      </w:tblPr>
      <w:tblGrid>
        <w:gridCol w:w="38"/>
        <w:gridCol w:w="245"/>
        <w:gridCol w:w="722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(p)</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transfer agent and registrar maintains the share register of members for the Company.</w:t>
            </w:r>
          </w:p>
        </w:tc>
      </w:tr>
    </w:tbl>
    <w:p>
      <w:pPr>
        <w:pStyle w:val="TextBody"/>
        <w:bidi w:val="0"/>
        <w:spacing w:before="0" w:after="0"/>
        <w:ind w:left="709" w:right="0" w:hanging="0"/>
        <w:jc w:val="left"/>
        <w:rPr>
          <w:rFonts w:ascii="Times New Roman" w:hAnsi="Times New Roman"/>
          <w:sz w:val="20"/>
        </w:rPr>
      </w:pPr>
      <w:r>
        <w:rPr>
          <w:rFonts w:ascii="Times New Roman" w:hAnsi="Times New Roman"/>
          <w:sz w:val="20"/>
        </w:rPr>
      </w:r>
    </w:p>
    <w:p>
      <w:pPr>
        <w:pStyle w:val="TextBody"/>
        <w:bidi w:val="0"/>
        <w:spacing w:before="0" w:after="0"/>
        <w:ind w:left="709" w:right="0" w:hanging="0"/>
        <w:jc w:val="left"/>
        <w:rPr>
          <w:rFonts w:ascii="Times New Roman" w:hAnsi="Times New Roman"/>
          <w:color w:val="000000"/>
          <w:sz w:val="20"/>
        </w:rPr>
      </w:pPr>
      <w:r>
        <w:rPr>
          <w:rFonts w:ascii="Times New Roman" w:hAnsi="Times New Roman"/>
          <w:color w:val="000000"/>
          <w:sz w:val="20"/>
        </w:rPr>
        <w:t>We have not taken any step to investigate whether the assumptions in this opinion are correct, except as expressly stated in this opinion.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2" w:name="z3f2b4e2221494381899a913d1441c950"/>
      <w:bookmarkStart w:id="433" w:name="z3f2b4e2221494381899a913d1441c950"/>
      <w:bookmarkEnd w:id="433"/>
    </w:p>
    <w:tbl>
      <w:tblPr>
        <w:tblW w:w="410" w:type="dxa"/>
        <w:jc w:val="left"/>
        <w:tblInd w:w="0" w:type="dxa"/>
        <w:tblLayout w:type="fixed"/>
        <w:tblCellMar>
          <w:top w:w="28" w:type="dxa"/>
          <w:left w:w="0" w:type="dxa"/>
          <w:bottom w:w="0" w:type="dxa"/>
          <w:right w:w="0" w:type="dxa"/>
        </w:tblCellMar>
      </w:tblPr>
      <w:tblGrid>
        <w:gridCol w:w="410"/>
      </w:tblGrid>
      <w:tr>
        <w:trPr/>
        <w:tc>
          <w:tcPr>
            <w:tcW w:w="410" w:type="dxa"/>
            <w:tcBorders>
              <w:top w:val="single" w:sz="2" w:space="0" w:color="000000"/>
            </w:tcBorders>
            <w:vAlign w:val="center"/>
          </w:tcPr>
          <w:p>
            <w:pPr>
              <w:pStyle w:val="TableContents"/>
              <w:bidi w:val="0"/>
              <w:spacing w:before="0" w:after="283"/>
              <w:jc w:val="right"/>
              <w:rPr>
                <w:sz w:val="15"/>
              </w:rPr>
            </w:pPr>
            <w:r>
              <w:rPr>
                <w:sz w:val="15"/>
              </w:rPr>
              <w:t>page 4</w:t>
            </w:r>
          </w:p>
        </w:tc>
      </w:tr>
    </w:tbl>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34" w:name="ef20060782_ex10-1.htm"/>
      <w:bookmarkStart w:id="435" w:name="ksef20060782_ex101"/>
      <w:bookmarkStart w:id="436" w:name="ef20060782_ex10-1.htm"/>
      <w:bookmarkStart w:id="437" w:name="ksef20060782_ex101"/>
      <w:bookmarkEnd w:id="436"/>
      <w:bookmarkEnd w:id="43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righ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Portions of this exhibit have been redacted in compliance with Item 601(a)(6) of Regulation S-K because disclosure would constitute a clearly unwarranted invasion of personal privacy. Redacted information is indicated by [***].</w:t>
      </w:r>
    </w:p>
    <w:p>
      <w:pPr>
        <w:pStyle w:val="TextBody"/>
        <w:bidi w:val="0"/>
        <w:spacing w:before="0" w:after="0"/>
        <w:jc w:val="left"/>
        <w:rPr>
          <w:rFonts w:ascii="Times New Roman" w:hAnsi="Times New Roman"/>
        </w:rPr>
      </w:pPr>
      <w:r>
        <w:rPr>
          <w:rFonts w:ascii="Times New Roman" w:hAnsi="Times New Roman"/>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[_________]1</w:t>
      </w:r>
    </w:p>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38" w:name="z0bb4cda84b1e49779e4c45c44275abf4"/>
      <w:bookmarkStart w:id="439" w:name="z0bb4cda84b1e49779e4c45c44275abf4"/>
      <w:bookmarkEnd w:id="439"/>
    </w:p>
    <w:tbl>
      <w:tblPr>
        <w:tblW w:w="1510" w:type="dxa"/>
        <w:jc w:val="left"/>
        <w:tblInd w:w="0" w:type="dxa"/>
        <w:tblLayout w:type="fixed"/>
        <w:tblCellMar>
          <w:top w:w="0" w:type="dxa"/>
          <w:left w:w="0" w:type="dxa"/>
          <w:bottom w:w="0" w:type="dxa"/>
          <w:right w:w="0" w:type="dxa"/>
        </w:tblCellMar>
      </w:tblPr>
      <w:tblGrid>
        <w:gridCol w:w="335"/>
        <w:gridCol w:w="1175"/>
      </w:tblGrid>
      <w:tr>
        <w:trPr/>
        <w:tc>
          <w:tcPr>
            <w:tcW w:w="33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To:</w:t>
            </w:r>
          </w:p>
        </w:tc>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IREN Limited</w:t>
            </w:r>
          </w:p>
        </w:tc>
      </w:tr>
    </w:tbl>
    <w:p>
      <w:pPr>
        <w:pStyle w:val="TextBody"/>
        <w:bidi w:val="0"/>
        <w:spacing w:before="0" w:after="0"/>
        <w:ind w:left="0" w:right="0" w:firstLine="1260"/>
        <w:jc w:val="left"/>
        <w:rPr>
          <w:rFonts w:ascii="Times New Roman" w:hAnsi="Times New Roman"/>
          <w:color w:val="000000"/>
          <w:sz w:val="20"/>
        </w:rPr>
      </w:pPr>
      <w:r>
        <w:rPr>
          <w:rFonts w:ascii="Times New Roman" w:hAnsi="Times New Roman"/>
          <w:color w:val="000000"/>
          <w:sz w:val="20"/>
        </w:rPr>
        <w:t>Level 6, 55 Market Street</w:t>
      </w:r>
    </w:p>
    <w:p>
      <w:pPr>
        <w:pStyle w:val="TextBody"/>
        <w:bidi w:val="0"/>
        <w:spacing w:before="0" w:after="0"/>
        <w:ind w:left="0" w:right="0" w:firstLine="1260"/>
        <w:jc w:val="left"/>
        <w:rPr>
          <w:rFonts w:ascii="Times New Roman" w:hAnsi="Times New Roman"/>
          <w:color w:val="000000"/>
          <w:sz w:val="20"/>
        </w:rPr>
      </w:pPr>
      <w:r>
        <w:rPr>
          <w:rFonts w:ascii="Times New Roman" w:hAnsi="Times New Roman"/>
          <w:color w:val="000000"/>
          <w:sz w:val="20"/>
        </w:rPr>
        <w:t>Sydney, NSW 2000 Australia</w:t>
      </w:r>
    </w:p>
    <w:p>
      <w:pPr>
        <w:pStyle w:val="TextBody"/>
        <w:bidi w:val="0"/>
        <w:spacing w:before="0" w:after="0"/>
        <w:ind w:left="126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ind w:left="1260" w:right="0" w:hanging="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40" w:name="zd0956865a7b94430a22daf59152a4767"/>
      <w:bookmarkStart w:id="441" w:name="zd0956865a7b94430a22daf59152a4767"/>
      <w:bookmarkEnd w:id="441"/>
    </w:p>
    <w:tbl>
      <w:tblPr>
        <w:tblW w:w="1780" w:type="dxa"/>
        <w:jc w:val="left"/>
        <w:tblInd w:w="0" w:type="dxa"/>
        <w:tblLayout w:type="fixed"/>
        <w:tblCellMar>
          <w:top w:w="0" w:type="dxa"/>
          <w:left w:w="0" w:type="dxa"/>
          <w:bottom w:w="0" w:type="dxa"/>
          <w:right w:w="0" w:type="dxa"/>
        </w:tblCellMar>
      </w:tblPr>
      <w:tblGrid>
        <w:gridCol w:w="575"/>
        <w:gridCol w:w="1205"/>
      </w:tblGrid>
      <w:tr>
        <w:trPr/>
        <w:tc>
          <w:tcPr>
            <w:tcW w:w="5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From:</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42" w:name="z218f23b61b7749cfb90ab9306ff4d1d9"/>
      <w:bookmarkStart w:id="443" w:name="z218f23b61b7749cfb90ab9306ff4d1d9"/>
      <w:bookmarkEnd w:id="443"/>
    </w:p>
    <w:tbl>
      <w:tblPr>
        <w:tblW w:w="4150" w:type="dxa"/>
        <w:jc w:val="left"/>
        <w:tblInd w:w="0" w:type="dxa"/>
        <w:tblLayout w:type="fixed"/>
        <w:tblCellMar>
          <w:top w:w="0" w:type="dxa"/>
          <w:left w:w="0" w:type="dxa"/>
          <w:bottom w:w="0" w:type="dxa"/>
          <w:right w:w="0" w:type="dxa"/>
        </w:tblCellMar>
      </w:tblPr>
      <w:tblGrid>
        <w:gridCol w:w="320"/>
        <w:gridCol w:w="3830"/>
      </w:tblGrid>
      <w:tr>
        <w:trPr/>
        <w:tc>
          <w:tcPr>
            <w:tcW w:w="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w:t>
            </w:r>
          </w:p>
        </w:tc>
        <w:tc>
          <w:tcPr>
            <w:tcW w:w="383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[Base]2[Additional]3 Capped Call Transaction</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44" w:name="z5933c38b491548d3ae7e1c063ca1d91a"/>
      <w:bookmarkStart w:id="445" w:name="z5933c38b491548d3ae7e1c063ca1d91a"/>
      <w:bookmarkEnd w:id="445"/>
    </w:p>
    <w:tbl>
      <w:tblPr>
        <w:tblW w:w="1975" w:type="dxa"/>
        <w:jc w:val="left"/>
        <w:tblInd w:w="0" w:type="dxa"/>
        <w:tblLayout w:type="fixed"/>
        <w:tblCellMar>
          <w:top w:w="0" w:type="dxa"/>
          <w:left w:w="0" w:type="dxa"/>
          <w:bottom w:w="0" w:type="dxa"/>
          <w:right w:w="0" w:type="dxa"/>
        </w:tblCellMar>
      </w:tblPr>
      <w:tblGrid>
        <w:gridCol w:w="665"/>
        <w:gridCol w:w="1310"/>
      </w:tblGrid>
      <w:tr>
        <w:trPr/>
        <w:tc>
          <w:tcPr>
            <w:tcW w:w="6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Ref.No:</w:t>
            </w:r>
          </w:p>
        </w:tc>
        <w:tc>
          <w:tcPr>
            <w:tcW w:w="131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[__________]4</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46" w:name="z6e5473142d3f45f79a0180e04d628ccd"/>
      <w:bookmarkStart w:id="447" w:name="z6e5473142d3f45f79a0180e04d628ccd"/>
      <w:bookmarkEnd w:id="447"/>
    </w:p>
    <w:tbl>
      <w:tblPr>
        <w:tblW w:w="1780" w:type="dxa"/>
        <w:jc w:val="left"/>
        <w:tblInd w:w="0" w:type="dxa"/>
        <w:tblLayout w:type="fixed"/>
        <w:tblCellMar>
          <w:top w:w="0" w:type="dxa"/>
          <w:left w:w="0" w:type="dxa"/>
          <w:bottom w:w="0" w:type="dxa"/>
          <w:right w:w="0" w:type="dxa"/>
        </w:tblCellMar>
      </w:tblPr>
      <w:tblGrid>
        <w:gridCol w:w="485"/>
        <w:gridCol w:w="1295"/>
      </w:tblGrid>
      <w:tr>
        <w:trPr/>
        <w:tc>
          <w:tcPr>
            <w:tcW w:w="4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Date:</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 2025</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Ladies and Gentlemen: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purpose of this communication (this “</w:t>
      </w:r>
      <w:r>
        <w:rPr>
          <w:rFonts w:ascii="Times New Roman" w:hAnsi="Times New Roman"/>
          <w:b/>
          <w:color w:val="000000"/>
          <w:sz w:val="20"/>
        </w:rPr>
        <w:t>Confirmation</w:t>
      </w:r>
      <w:r>
        <w:rPr>
          <w:rFonts w:ascii="Times New Roman" w:hAnsi="Times New Roman"/>
          <w:color w:val="000000"/>
          <w:sz w:val="20"/>
        </w:rPr>
        <w:t>”) is to set forth the terms and conditions of the above-referenced transaction entered into on the Trade Date specified below (the “</w:t>
      </w:r>
      <w:r>
        <w:rPr>
          <w:rFonts w:ascii="Times New Roman" w:hAnsi="Times New Roman"/>
          <w:b/>
          <w:color w:val="000000"/>
          <w:sz w:val="20"/>
        </w:rPr>
        <w:t>Transaction</w:t>
      </w:r>
      <w:r>
        <w:rPr>
          <w:rFonts w:ascii="Times New Roman" w:hAnsi="Times New Roman"/>
          <w:color w:val="000000"/>
          <w:sz w:val="20"/>
        </w:rPr>
        <w:t>”) between [___________] (“</w:t>
      </w:r>
      <w:r>
        <w:rPr>
          <w:rFonts w:ascii="Times New Roman" w:hAnsi="Times New Roman"/>
          <w:b/>
          <w:color w:val="000000"/>
          <w:sz w:val="20"/>
        </w:rPr>
        <w:t>Dealer</w:t>
      </w:r>
      <w:r>
        <w:rPr>
          <w:rFonts w:ascii="Times New Roman" w:hAnsi="Times New Roman"/>
          <w:color w:val="000000"/>
          <w:sz w:val="20"/>
        </w:rPr>
        <w:t>”)[, represented by [_________] (“</w:t>
      </w:r>
      <w:r>
        <w:rPr>
          <w:rFonts w:ascii="Times New Roman" w:hAnsi="Times New Roman"/>
          <w:b/>
          <w:color w:val="000000"/>
          <w:sz w:val="20"/>
        </w:rPr>
        <w:t>Agent</w:t>
      </w:r>
      <w:r>
        <w:rPr>
          <w:rFonts w:ascii="Times New Roman" w:hAnsi="Times New Roman"/>
          <w:color w:val="000000"/>
          <w:sz w:val="20"/>
        </w:rPr>
        <w:t>”) as its agent,] and IREN Limited (“</w:t>
      </w:r>
      <w:r>
        <w:rPr>
          <w:rFonts w:ascii="Times New Roman" w:hAnsi="Times New Roman"/>
          <w:b/>
          <w:color w:val="000000"/>
          <w:sz w:val="20"/>
        </w:rPr>
        <w:t>Counterparty</w:t>
      </w:r>
      <w:r>
        <w:rPr>
          <w:rFonts w:ascii="Times New Roman" w:hAnsi="Times New Roman"/>
          <w:color w:val="000000"/>
          <w:sz w:val="20"/>
        </w:rPr>
        <w:t>”). This communication constitutes a “Confirmation” as referred to in the ISDA Master Agreement specified below.</w:t>
      </w:r>
    </w:p>
    <w:p>
      <w:pPr>
        <w:pStyle w:val="TextBody"/>
        <w:bidi w:val="0"/>
        <w:spacing w:before="0" w:after="0"/>
        <w:ind w:left="0" w:right="0" w:firstLine="720"/>
        <w:jc w:val="both"/>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serif" w:hAnsi="Times New Roman;serif"/>
          <w:color w:val="000000"/>
          <w:sz w:val="20"/>
        </w:rPr>
      </w:pPr>
      <w:r>
        <w:rPr>
          <w:rFonts w:ascii="Times New Roman" w:hAnsi="Times New Roman"/>
          <w:color w:val="000000"/>
          <w:sz w:val="20"/>
        </w:rPr>
        <w:t>1. This Confirmation is subject to, and incorporates, the definitions and provisions of the 2006 ISDA Definitions (the “</w:t>
      </w:r>
      <w:r>
        <w:rPr>
          <w:rFonts w:ascii="Times New Roman" w:hAnsi="Times New Roman"/>
          <w:b/>
          <w:color w:val="000000"/>
          <w:sz w:val="20"/>
        </w:rPr>
        <w:t>2006 Definitions</w:t>
      </w:r>
      <w:r>
        <w:rPr>
          <w:rFonts w:ascii="Times New Roman" w:hAnsi="Times New Roman"/>
          <w:color w:val="000000"/>
          <w:sz w:val="20"/>
        </w:rPr>
        <w:t>”) and the definitions and provisions of the 2002 ISDA Equity Derivatives Definitions (the “</w:t>
      </w:r>
      <w:r>
        <w:rPr>
          <w:rFonts w:ascii="Times New Roman" w:hAnsi="Times New Roman"/>
          <w:b/>
          <w:color w:val="000000"/>
          <w:sz w:val="20"/>
        </w:rPr>
        <w:t>Equity Definitions</w:t>
      </w:r>
      <w:r>
        <w:rPr>
          <w:rFonts w:ascii="Times New Roman" w:hAnsi="Times New Roman"/>
          <w:color w:val="000000"/>
          <w:sz w:val="20"/>
        </w:rPr>
        <w:t>”, and together with the 2006 Definitions, the “</w:t>
      </w:r>
      <w:r>
        <w:rPr>
          <w:rFonts w:ascii="Times New Roman" w:hAnsi="Times New Roman"/>
          <w:b/>
          <w:color w:val="000000"/>
          <w:sz w:val="20"/>
        </w:rPr>
        <w:t>Definitions</w:t>
      </w:r>
      <w:r>
        <w:rPr>
          <w:rFonts w:ascii="Times New Roman" w:hAnsi="Times New Roman"/>
          <w:color w:val="000000"/>
          <w:sz w:val="20"/>
        </w:rPr>
        <w:t>”), in each case, as published by the International Swaps and Derivatives Association, Inc. (“</w:t>
      </w:r>
      <w:r>
        <w:rPr>
          <w:rFonts w:ascii="Times New Roman" w:hAnsi="Times New Roman"/>
          <w:b/>
          <w:color w:val="000000"/>
          <w:sz w:val="20"/>
        </w:rPr>
        <w:t>ISDA</w:t>
      </w:r>
      <w:r>
        <w:rPr>
          <w:rFonts w:ascii="Times New Roman" w:hAnsi="Times New Roman"/>
          <w:color w:val="000000"/>
          <w:sz w:val="20"/>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pStyle w:val="TextBody"/>
        <w:bidi w:val="0"/>
        <w:spacing w:before="0" w:after="0"/>
        <w:ind w:left="0" w:right="0" w:firstLine="720"/>
        <w:jc w:val="both"/>
        <w:rPr>
          <w:rFonts w:ascii="Times New Roman" w:hAnsi="Times New Roman"/>
        </w:rPr>
      </w:pPr>
      <w:r>
        <w:rPr>
          <w:rFonts w:ascii="Times New Roman" w:hAnsi="Times New Roman"/>
        </w:rPr>
      </w:r>
    </w:p>
    <w:p>
      <w:pPr>
        <w:pStyle w:val="TextBody"/>
        <w:bidi w:val="0"/>
        <w:spacing w:lineRule="auto" w:line="240" w:before="0" w:after="0"/>
        <w:ind w:left="0" w:right="0" w:firstLine="900"/>
        <w:jc w:val="both"/>
        <w:rPr>
          <w:rFonts w:ascii="Times New Roman" w:hAnsi="Times New Roman"/>
          <w:color w:val="000000"/>
          <w:sz w:val="20"/>
        </w:rPr>
      </w:pPr>
      <w:r>
        <w:rPr>
          <w:rFonts w:ascii="Times New Roman" w:hAnsi="Times New Roman"/>
          <w:color w:val="000000"/>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 w:hAnsi="Times New Roman"/>
          <w:b/>
          <w:color w:val="000000"/>
          <w:sz w:val="20"/>
        </w:rPr>
        <w:t>Agreement</w:t>
      </w:r>
      <w:r>
        <w:rPr>
          <w:rFonts w:ascii="Times New Roman" w:hAnsi="Times New Roman"/>
          <w:color w:val="000000"/>
          <w:sz w:val="20"/>
        </w:rPr>
        <w:t>”) in the form of the 2002 ISDA Master Agreement as if Dealer and Counterparty had executed an agreement in such form on the Trade Date (but without any Schedule except for (i) the election of the laws of the State of New York as the governing law (without reference to choice of law doctrine), [(ii) the election of an executed guarantee of [__________] (“</w:t>
      </w:r>
      <w:r>
        <w:rPr>
          <w:rFonts w:ascii="Times New Roman" w:hAnsi="Times New Roman"/>
          <w:b/>
          <w:color w:val="000000"/>
          <w:sz w:val="20"/>
        </w:rPr>
        <w:t>Guarantor</w:t>
      </w:r>
      <w:r>
        <w:rPr>
          <w:rFonts w:ascii="Times New Roman" w:hAnsi="Times New Roman"/>
          <w:color w:val="000000"/>
          <w:sz w:val="20"/>
        </w:rPr>
        <w:t>”) dated as of the Trade Date in substantially the form attached hereto as Schedule 1 as a Credit Support Document, (iii) the election of Guarantor as Credit Support Provider in relation to Dealer and (iv)]5 [and (ii)] the election that the “Cross-Default” provisions of Section 5(a)(vi) of the Agreement shall apply to Dealer with (a) a “Threshold Amount” of 3% of the shareholders’ equity of Dealer’s ultimate parent (or if Dealer has no ultimate parent, Dealer) on the Trade Date, (b) “Specified Indebtedness” having the meaning set forth in Section 14 of the Agreement, except that it shall not include any obligation in respect of deposits received in the ordinary course of Dealer’s banking business, (c) the phrase “, or becoming capable at such time of being declared,” being deleted from clause (1) of such Section 5(a)(vi) of the Agreement, and (d) the following sentence being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w:t>
      </w:r>
    </w:p>
    <w:p>
      <w:pPr>
        <w:pStyle w:val="TextBody"/>
        <w:bidi w:val="0"/>
        <w:spacing w:before="0" w:after="0"/>
        <w:ind w:left="0" w:right="0" w:firstLine="900"/>
        <w:jc w:val="both"/>
        <w:rPr>
          <w:rFonts w:ascii="Times New Roman" w:hAnsi="Times New Roman"/>
        </w:rPr>
      </w:pPr>
      <w:r>
        <w:rPr>
          <w:rFonts w:ascii="Times New Roman" w:hAnsi="Times New Roman"/>
        </w:rPr>
      </w:r>
    </w:p>
    <w:p>
      <w:pPr>
        <w:pStyle w:val="HorizontalLine"/>
        <w:pBdr>
          <w:bottom w:val="single" w:sz="12" w:space="0" w:color="808080"/>
        </w:pBdr>
        <w:bidi w:val="0"/>
        <w:jc w:val="both"/>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 Include Dealer name, address and logo.</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2 Include for base call option.</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3 Include for additional call option.</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4 Include if applicable.</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5 Requested if Dealer is not the highest rated entity in group, typically from Parent.</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pStyle w:val="TextBody"/>
        <w:bidi w:val="0"/>
        <w:spacing w:before="0" w:after="0"/>
        <w:ind w:left="0" w:right="0" w:firstLine="720"/>
        <w:jc w:val="both"/>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firstLine="720"/>
        <w:jc w:val="both"/>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ind w:left="0" w:right="0" w:firstLine="720"/>
        <w:jc w:val="both"/>
        <w:rPr>
          <w:rFonts w:ascii="Times New Roman" w:hAnsi="Times New Roman"/>
        </w:rPr>
      </w:pPr>
      <w:r>
        <w:rPr>
          <w:rFonts w:ascii="Times New Roman" w:hAnsi="Times New Roman"/>
        </w:rPr>
      </w:r>
    </w:p>
    <w:p>
      <w:pPr>
        <w:pStyle w:val="TextBody"/>
        <w:bidi w:val="0"/>
        <w:spacing w:before="0" w:after="0"/>
        <w:jc w:val="left"/>
        <w:rPr>
          <w:rFonts w:ascii="Times New Roman;serif" w:hAnsi="Times New Roman;serif"/>
          <w:color w:val="000000"/>
          <w:sz w:val="20"/>
        </w:rPr>
      </w:pPr>
      <w:r>
        <w:rPr>
          <w:rFonts w:ascii="Times New Roman" w:hAnsi="Times New Roman"/>
          <w:i/>
          <w:color w:val="000000"/>
          <w:sz w:val="20"/>
          <w:u w:val="single"/>
        </w:rPr>
        <w:t>General Terms</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48" w:name="z8a31ae93f4d94bfca3c498f59496f4c0"/>
      <w:bookmarkStart w:id="449" w:name="z8a31ae93f4d94bfca3c498f59496f4c0"/>
      <w:bookmarkEnd w:id="449"/>
    </w:p>
    <w:tbl>
      <w:tblPr>
        <w:tblW w:w="10205" w:type="dxa"/>
        <w:jc w:val="left"/>
        <w:tblInd w:w="0" w:type="dxa"/>
        <w:tblLayout w:type="fixed"/>
        <w:tblCellMar>
          <w:top w:w="0" w:type="dxa"/>
          <w:left w:w="0" w:type="dxa"/>
          <w:bottom w:w="0" w:type="dxa"/>
          <w:right w:w="0" w:type="dxa"/>
        </w:tblCellMar>
      </w:tblPr>
      <w:tblGrid>
        <w:gridCol w:w="60"/>
        <w:gridCol w:w="1199"/>
        <w:gridCol w:w="8946"/>
      </w:tblGrid>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 Date:</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[________], 2025</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Effective Date:</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[________], 2025, or such other date as agreed by the parties in writing.</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Components:</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Transaction will be divided into individual Components, each with the terms set forth in this Confirmation, and, in particular, with the Number of Options and Expiration Date set forth in </w:t>
            </w:r>
            <w:r>
              <w:rPr>
                <w:rFonts w:ascii="Times New Roman" w:hAnsi="Times New Roman"/>
                <w:sz w:val="20"/>
                <w:u w:val="single"/>
              </w:rPr>
              <w:t>Annex A</w:t>
            </w:r>
            <w:r>
              <w:rPr>
                <w:rFonts w:ascii="Times New Roman" w:hAnsi="Times New Roman"/>
                <w:sz w:val="20"/>
              </w:rPr>
              <w:t xml:space="preserve"> to this Confirmation. The exercise, valuation and settlement of the Transaction will be effected separately for each Component as if each Component were a separate Transaction under the Agreement.</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 Style:</w:t>
            </w:r>
          </w:p>
        </w:tc>
        <w:tc>
          <w:tcPr>
            <w:tcW w:w="8946" w:type="dxa"/>
            <w:tcBorders/>
            <w:vAlign w:val="center"/>
          </w:tcPr>
          <w:p>
            <w:pPr>
              <w:pStyle w:val="TableContents"/>
              <w:bidi w:val="0"/>
              <w:spacing w:before="0" w:after="0"/>
              <w:jc w:val="both"/>
              <w:rPr/>
            </w:pPr>
            <w:r>
              <w:rPr/>
              <w:t>“</w:t>
            </w:r>
            <w:r>
              <w:rPr>
                <w:rFonts w:ascii="Times New Roman" w:hAnsi="Times New Roman"/>
                <w:sz w:val="20"/>
              </w:rPr>
              <w:t>European”, as described under “Procedures for Exercise” below.</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 Type:</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Call</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Dealer</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Buyer:</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Counterparty</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ordinary shares of Counterparty, no par value (Ticker Symbol: “IREN”).</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Options:</w:t>
            </w:r>
          </w:p>
        </w:tc>
        <w:tc>
          <w:tcPr>
            <w:tcW w:w="8946" w:type="dxa"/>
            <w:tcBorders/>
            <w:vAlign w:val="center"/>
          </w:tcPr>
          <w:p>
            <w:pPr>
              <w:pStyle w:val="TableContents"/>
              <w:bidi w:val="0"/>
              <w:spacing w:lineRule="auto" w:line="240" w:before="0" w:after="0"/>
              <w:jc w:val="both"/>
              <w:rPr>
                <w:rFonts w:ascii="Times New Roman" w:hAnsi="Times New Roman"/>
                <w:sz w:val="20"/>
              </w:rPr>
            </w:pPr>
            <w:r>
              <w:rPr>
                <w:rFonts w:ascii="Times New Roman" w:hAnsi="Times New Roman"/>
                <w:sz w:val="20"/>
              </w:rPr>
              <w:t xml:space="preserve">For each Component, as provided in </w:t>
            </w:r>
            <w:r>
              <w:rPr>
                <w:rFonts w:ascii="Times New Roman" w:hAnsi="Times New Roman"/>
                <w:sz w:val="20"/>
                <w:u w:val="single"/>
              </w:rPr>
              <w:t>Annex A</w:t>
            </w:r>
            <w:r>
              <w:rPr>
                <w:rFonts w:ascii="Times New Roman" w:hAnsi="Times New Roman"/>
                <w:sz w:val="20"/>
              </w:rPr>
              <w:t xml:space="preserve"> to this Confirmation.6</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 Entitlement:</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One Share per Option</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Strike Price:</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USD [_____]</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 Price:</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USD [_____]; </w:t>
            </w:r>
            <w:r>
              <w:rPr>
                <w:rFonts w:ascii="Times New Roman" w:hAnsi="Times New Roman"/>
                <w:i/>
                <w:sz w:val="20"/>
              </w:rPr>
              <w:t>provided</w:t>
            </w:r>
            <w:r>
              <w:rPr>
                <w:rFonts w:ascii="Times New Roman" w:hAnsi="Times New Roman"/>
                <w:sz w:val="20"/>
              </w:rPr>
              <w:t xml:space="preserve"> that in no event shall the Cap Price be reduced to an amount less than the Strike Price in connection with any adjustment by the Calculation Agent under this Confirmation.</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w:t>
            </w:r>
          </w:p>
        </w:tc>
        <w:tc>
          <w:tcPr>
            <w:tcW w:w="8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of any date, a number of Shares equal to the product of (i) the Number of Options and (ii) the Option Entitlement.</w:t>
            </w:r>
          </w:p>
        </w:tc>
      </w:tr>
    </w:tbl>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6 For the base capped call, the total should be equal to (i) the number of Convertible Notes in principal amount of $1,000 initially issued on the closing date for the Convertible Notes (excluding any Convertible Notes sold pursuant to the option to purchase additional notes) </w:t>
      </w:r>
      <w:r>
        <w:rPr>
          <w:rFonts w:ascii="Times New Roman" w:hAnsi="Times New Roman"/>
          <w:i/>
          <w:color w:val="000000"/>
          <w:sz w:val="20"/>
        </w:rPr>
        <w:t>multiplied by</w:t>
      </w:r>
      <w:r>
        <w:rPr>
          <w:rFonts w:ascii="Times New Roman" w:hAnsi="Times New Roman"/>
          <w:color w:val="000000"/>
          <w:sz w:val="20"/>
        </w:rPr>
        <w:t> (ii) the initial conversion rate. For the additional capped call, the total should be equal to (i) the number of additional Convertible Notes in principal amount of $1,000 </w:t>
      </w:r>
      <w:r>
        <w:rPr>
          <w:rFonts w:ascii="Times New Roman" w:hAnsi="Times New Roman"/>
          <w:i/>
          <w:color w:val="000000"/>
          <w:sz w:val="20"/>
        </w:rPr>
        <w:t>multiplied by</w:t>
      </w:r>
      <w:r>
        <w:rPr>
          <w:rFonts w:ascii="Times New Roman" w:hAnsi="Times New Roman"/>
          <w:color w:val="000000"/>
          <w:sz w:val="20"/>
        </w:rPr>
        <w:t> (ii) the initial conversion rate.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50" w:name="z6224e20473464552a3f9550280806222"/>
      <w:bookmarkStart w:id="451" w:name="z6224e20473464552a3f9550280806222"/>
      <w:bookmarkEnd w:id="451"/>
    </w:p>
    <w:tbl>
      <w:tblPr>
        <w:tblW w:w="10205" w:type="dxa"/>
        <w:jc w:val="left"/>
        <w:tblInd w:w="0" w:type="dxa"/>
        <w:tblLayout w:type="fixed"/>
        <w:tblCellMar>
          <w:top w:w="0" w:type="dxa"/>
          <w:left w:w="0" w:type="dxa"/>
          <w:bottom w:w="0" w:type="dxa"/>
          <w:right w:w="0" w:type="dxa"/>
        </w:tblCellMar>
      </w:tblPr>
      <w:tblGrid>
        <w:gridCol w:w="60"/>
        <w:gridCol w:w="933"/>
        <w:gridCol w:w="9212"/>
      </w:tblGrid>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Premium:</w:t>
            </w:r>
          </w:p>
        </w:tc>
        <w:tc>
          <w:tcPr>
            <w:tcW w:w="92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USD [_____] (Premium per Option approximately USD [_____]); Dealer and Counterparty hereby agree that notwithstanding anything to the contrary herein or in the Agreement, following the payment of the Premium, in the event that (a) an Early Termination Date (whether as a result of an Event of Default or a Termination Event) (other than an Event of Default arising under Section 5(a)(ii) or 5(a)(iv) of the Agreement that is within Counterparty’s control) occurs or is designated with respect to any Transaction and, as a result, Counterparty owes to Dealer the amount calculated under Section 6(d) and Section 6(e) or otherwise under the Agreement (calculated as if the Transactions terminated on such Early Termination Date were the sole Transactions under the Agreement) or (b) Counterparty owes to Dealer, pursuant to Sections 12.2, 12.3, 12.6, 12.7, 12.8 or 12.9 of the Equity Definitions or otherwise under the Equity Definitions, an amount calculated under Section 12.8 of the Equity Definitions, such amount shall be deemed to be zero.</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92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Premium Payment Date:</w:t>
            </w:r>
          </w:p>
        </w:tc>
        <w:tc>
          <w:tcPr>
            <w:tcW w:w="92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Effective Date</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92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Exchange:</w:t>
            </w:r>
          </w:p>
        </w:tc>
        <w:tc>
          <w:tcPr>
            <w:tcW w:w="92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Nasdaq Global Select Market</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92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Related Exchange:</w:t>
            </w:r>
          </w:p>
        </w:tc>
        <w:tc>
          <w:tcPr>
            <w:tcW w:w="92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Exchanges; </w:t>
            </w:r>
            <w:r>
              <w:rPr>
                <w:rFonts w:ascii="Times New Roman" w:hAnsi="Times New Roman"/>
                <w:i/>
                <w:sz w:val="20"/>
              </w:rPr>
              <w:t>provided</w:t>
            </w:r>
            <w:r>
              <w:rPr>
                <w:rFonts w:ascii="Times New Roman" w:hAnsi="Times New Roman"/>
                <w:sz w:val="20"/>
              </w:rPr>
              <w:t xml:space="preserve"> that Section 1.26 of the Equity Definitions shall be amended to add the words “United States” before the word “exchange” in the tenth line of such Section.</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9212" w:type="dxa"/>
            <w:tcBorders/>
            <w:vAlign w:val="center"/>
          </w:tcPr>
          <w:p>
            <w:pPr>
              <w:pStyle w:val="TableContents"/>
              <w:bidi w:val="0"/>
              <w:spacing w:before="0" w:after="283"/>
              <w:jc w:val="left"/>
              <w:rPr/>
            </w:pPr>
            <w:r>
              <w:rPr/>
              <w:t> </w:t>
            </w:r>
          </w:p>
        </w:tc>
      </w:tr>
      <w:tr>
        <w:trPr/>
        <w:tc>
          <w:tcPr>
            <w:tcW w:w="993" w:type="dxa"/>
            <w:gridSpan w:val="2"/>
            <w:tcBorders/>
            <w:vAlign w:val="center"/>
          </w:tcPr>
          <w:p>
            <w:pPr>
              <w:pStyle w:val="TableContents"/>
              <w:bidi w:val="0"/>
              <w:spacing w:before="0" w:after="0"/>
              <w:jc w:val="left"/>
              <w:rPr>
                <w:rFonts w:ascii="Times New Roman;serif" w:hAnsi="Times New Roman;serif"/>
                <w:sz w:val="20"/>
              </w:rPr>
            </w:pPr>
            <w:r>
              <w:rPr>
                <w:rFonts w:ascii="Times New Roman" w:hAnsi="Times New Roman"/>
                <w:i/>
                <w:sz w:val="20"/>
                <w:u w:val="single"/>
              </w:rPr>
              <w:t>Procedures for Exercise</w:t>
            </w:r>
            <w:r>
              <w:rPr>
                <w:rFonts w:ascii="Times New Roman" w:hAnsi="Times New Roman"/>
                <w:sz w:val="20"/>
              </w:rPr>
              <w:t>:</w:t>
            </w:r>
          </w:p>
        </w:tc>
        <w:tc>
          <w:tcPr>
            <w:tcW w:w="9212" w:type="dxa"/>
            <w:tcBorders/>
            <w:vAlign w:val="center"/>
          </w:tcPr>
          <w:p>
            <w:pPr>
              <w:pStyle w:val="TableContents"/>
              <w:bidi w:val="0"/>
              <w:spacing w:before="0" w:after="283"/>
              <w:jc w:val="left"/>
              <w:rPr/>
            </w:pPr>
            <w:r>
              <w:rPr/>
              <w:t> </w:t>
            </w:r>
          </w:p>
        </w:tc>
      </w:tr>
      <w:tr>
        <w:trPr/>
        <w:tc>
          <w:tcPr>
            <w:tcW w:w="993" w:type="dxa"/>
            <w:gridSpan w:val="2"/>
            <w:tcBorders/>
            <w:vAlign w:val="center"/>
          </w:tcPr>
          <w:p>
            <w:pPr>
              <w:pStyle w:val="TableContents"/>
              <w:bidi w:val="0"/>
              <w:spacing w:before="0" w:after="283"/>
              <w:jc w:val="left"/>
              <w:rPr/>
            </w:pPr>
            <w:r>
              <w:rPr/>
              <w:t> </w:t>
            </w:r>
          </w:p>
        </w:tc>
        <w:tc>
          <w:tcPr>
            <w:tcW w:w="92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Expiration Time:</w:t>
            </w:r>
          </w:p>
        </w:tc>
        <w:tc>
          <w:tcPr>
            <w:tcW w:w="92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Valuation Time</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921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Expiration Date:</w:t>
            </w:r>
          </w:p>
        </w:tc>
        <w:tc>
          <w:tcPr>
            <w:tcW w:w="92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any Component, as provided in </w:t>
            </w:r>
            <w:r>
              <w:rPr>
                <w:rFonts w:ascii="Times New Roman" w:hAnsi="Times New Roman"/>
                <w:sz w:val="20"/>
                <w:u w:val="single"/>
              </w:rPr>
              <w:t>Annex A</w:t>
            </w:r>
            <w:r>
              <w:rPr>
                <w:rFonts w:ascii="Times New Roman" w:hAnsi="Times New Roman"/>
                <w:sz w:val="20"/>
              </w:rPr>
              <w:t xml:space="preserve"> to this Confirmation (or, if such date is not a Scheduled Valid Day, the next following Scheduled Valid Day that is not already an Expiration Date for another Component); </w:t>
            </w:r>
            <w:r>
              <w:rPr>
                <w:rFonts w:ascii="Times New Roman" w:hAnsi="Times New Roman"/>
                <w:i/>
                <w:sz w:val="20"/>
              </w:rPr>
              <w:t>provided</w:t>
            </w:r>
            <w:r>
              <w:rPr>
                <w:rFonts w:ascii="Times New Roman" w:hAnsi="Times New Roman"/>
                <w:sz w:val="20"/>
              </w:rPr>
              <w:t xml:space="preserve"> that if that date is a Disrupted Day, the Expiration Date for such Component shall be the first succeeding Scheduled Valid Day that is not a Disrupted Day and is not or is not deemed to be an Expiration Date in respect of any other Component of the Transaction hereunder; and </w:t>
            </w:r>
            <w:r>
              <w:rPr>
                <w:rFonts w:ascii="Times New Roman" w:hAnsi="Times New Roman"/>
                <w:i/>
                <w:sz w:val="20"/>
              </w:rPr>
              <w:t>provided further</w:t>
            </w:r>
            <w:r>
              <w:rPr>
                <w:rFonts w:ascii="Times New Roman" w:hAnsi="Times New Roman"/>
                <w:sz w:val="20"/>
              </w:rPr>
              <w:t xml:space="preserve"> that in no event shall the Expiration Date be postponed to a date later than the Final Termination Date and, notwithstanding anything to the contrary in this Confirmation or the Equity Definitions, the Relevant Price for such Expiration Date that occurs on the Final Termination Date and is a Disrupted Day shall be the prevailing market value per Share as determined by the Calculation Agent in a good faith and commercially reasonable manner. Notwithstanding the foregoing and anything to the contrary in the Equity Definitions, if a Market Disruption Event occurs on any Expiration Date, the Calculation Agent may determine in a good faith and commercially reasonable manner that such Expiration Date is a Disrupted Day only in part, in which case the Calculation Agent shall make commercially reasonable adjustments to the Number of Options for the relevant Component for which such day shall be the Expiration Date, shall designate the Scheduled Valid Day determined in the manner described in the immediately preceding sentence as the Expiration Date for the remaining Options for such Component and shall determine in good faith and a commercially reasonable manner the Relevant Price based on transactions in the Shares on such Disrupted Day taking into account the nature and duration of such Market Disruption Event on such day. Any Scheduled Valid Day on which, as of the date hereof, the Exchange is scheduled to close prior to its normal close of trading shall be deemed not to be a Scheduled Valid Day; if a closure of the Exchange prior to its normal close of trading on any Scheduled Valid Day is scheduled following the date hereof, then such Scheduled Valid Day shall be deemed to be a Disrupted Day in full</w:t>
            </w:r>
            <w:r>
              <w:rPr>
                <w:rFonts w:ascii="Times New Roman" w:hAnsi="Times New Roman"/>
                <w:b/>
                <w:sz w:val="20"/>
              </w:rPr>
              <w:t>.</w:t>
            </w:r>
            <w:r>
              <w:rPr>
                <w:rFonts w:ascii="Times New Roman" w:hAnsi="Times New Roman"/>
                <w:sz w:val="20"/>
              </w:rPr>
              <w:t xml:space="preserve"> Section 6.6 of the Equity Definitions shall not apply to any Valuation Date occurring on an Expiration Date.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52" w:name="z20770689027a4ddca9fd2bce2a8990f2"/>
      <w:bookmarkStart w:id="453" w:name="z20770689027a4ddca9fd2bce2a8990f2"/>
      <w:bookmarkEnd w:id="453"/>
    </w:p>
    <w:tbl>
      <w:tblPr>
        <w:tblW w:w="10205" w:type="dxa"/>
        <w:jc w:val="left"/>
        <w:tblInd w:w="0" w:type="dxa"/>
        <w:tblLayout w:type="fixed"/>
        <w:tblCellMar>
          <w:top w:w="0" w:type="dxa"/>
          <w:left w:w="0" w:type="dxa"/>
          <w:bottom w:w="0" w:type="dxa"/>
          <w:right w:w="0" w:type="dxa"/>
        </w:tblCellMar>
      </w:tblPr>
      <w:tblGrid>
        <w:gridCol w:w="60"/>
        <w:gridCol w:w="1191"/>
        <w:gridCol w:w="8954"/>
      </w:tblGrid>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Termination Date:</w:t>
            </w:r>
          </w:p>
        </w:tc>
        <w:tc>
          <w:tcPr>
            <w:tcW w:w="8954" w:type="dxa"/>
            <w:tcBorders/>
            <w:vAlign w:val="center"/>
          </w:tcPr>
          <w:p>
            <w:pPr>
              <w:pStyle w:val="TableContents"/>
              <w:bidi w:val="0"/>
              <w:spacing w:lineRule="auto" w:line="240" w:before="0" w:after="0"/>
              <w:jc w:val="both"/>
              <w:rPr>
                <w:rFonts w:ascii="Times New Roman" w:hAnsi="Times New Roman"/>
                <w:sz w:val="20"/>
              </w:rPr>
            </w:pPr>
            <w:r>
              <w:rPr>
                <w:rFonts w:ascii="Times New Roman" w:hAnsi="Times New Roman"/>
                <w:sz w:val="20"/>
              </w:rPr>
              <w:t>[August 24, 2032]7 [August 24, 2033]8</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Automatic Exercise:</w:t>
            </w:r>
          </w:p>
        </w:tc>
        <w:tc>
          <w:tcPr>
            <w:tcW w:w="8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Applicable, which means that the Number of Options for the relevant Component will be deemed to be automatically exercised at the Expiration Time on the Expiration Date for such Component if at such time such Component is In-the-Money, unless Buyer notifies Seller (in writing) prior to the Expiration Time on such Expiration Date that it does not wish Automatic Exercise to occur with respect to such Component, in which case Automatic Exercise will not apply with respect to such Component. “</w:t>
            </w:r>
            <w:r>
              <w:rPr>
                <w:rFonts w:ascii="Times New Roman" w:hAnsi="Times New Roman"/>
                <w:b/>
                <w:sz w:val="20"/>
              </w:rPr>
              <w:t>In-the-Money</w:t>
            </w:r>
            <w:r>
              <w:rPr>
                <w:rFonts w:ascii="Times New Roman" w:hAnsi="Times New Roman"/>
                <w:sz w:val="20"/>
              </w:rPr>
              <w:t>” means, in respect of any Component, that the Relevant Price on the Expiration Date for such Component is greater than the Strike Price for such Component</w:t>
            </w:r>
            <w:r>
              <w:rPr>
                <w:rFonts w:ascii="Times New Roman" w:hAnsi="Times New Roman"/>
                <w:color w:val="000000"/>
                <w:sz w:val="20"/>
              </w:rPr>
              <w:t>.</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1251" w:type="dxa"/>
            <w:gridSpan w:val="2"/>
            <w:tcBorders/>
            <w:vAlign w:val="center"/>
          </w:tcPr>
          <w:p>
            <w:pPr>
              <w:pStyle w:val="TableContents"/>
              <w:bidi w:val="0"/>
              <w:spacing w:before="0" w:after="0"/>
              <w:jc w:val="left"/>
              <w:rPr>
                <w:rFonts w:ascii="Times New Roman;serif" w:hAnsi="Times New Roman;serif"/>
                <w:sz w:val="20"/>
              </w:rPr>
            </w:pPr>
            <w:r>
              <w:rPr>
                <w:rFonts w:ascii="Times New Roman" w:hAnsi="Times New Roman"/>
                <w:i/>
                <w:sz w:val="20"/>
                <w:u w:val="single"/>
              </w:rPr>
              <w:t>Valuation</w:t>
            </w:r>
            <w:r>
              <w:rPr>
                <w:rFonts w:ascii="Times New Roman" w:hAnsi="Times New Roman"/>
                <w:sz w:val="20"/>
              </w:rPr>
              <w:t>:</w:t>
            </w:r>
          </w:p>
        </w:tc>
        <w:tc>
          <w:tcPr>
            <w:tcW w:w="8954" w:type="dxa"/>
            <w:tcBorders/>
            <w:vAlign w:val="center"/>
          </w:tcPr>
          <w:p>
            <w:pPr>
              <w:pStyle w:val="TableContents"/>
              <w:bidi w:val="0"/>
              <w:spacing w:before="0" w:after="283"/>
              <w:jc w:val="left"/>
              <w:rPr/>
            </w:pPr>
            <w:r>
              <w:rPr/>
              <w:t> </w:t>
            </w:r>
          </w:p>
        </w:tc>
      </w:tr>
      <w:tr>
        <w:trPr/>
        <w:tc>
          <w:tcPr>
            <w:tcW w:w="1251" w:type="dxa"/>
            <w:gridSpan w:val="2"/>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Valuation Time:</w:t>
            </w:r>
          </w:p>
        </w:tc>
        <w:tc>
          <w:tcPr>
            <w:tcW w:w="8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 the close of trading of the regular trading session on the Exchange; </w:t>
            </w:r>
            <w:r>
              <w:rPr>
                <w:rFonts w:ascii="Times New Roman" w:hAnsi="Times New Roman"/>
                <w:i/>
                <w:sz w:val="20"/>
              </w:rPr>
              <w:t>provided</w:t>
            </w:r>
            <w:r>
              <w:rPr>
                <w:rFonts w:ascii="Times New Roman" w:hAnsi="Times New Roman"/>
                <w:sz w:val="20"/>
              </w:rPr>
              <w:t xml:space="preserve"> that if the principal trading session is extended, the Calculation Agent shall determine the Valuation Time in good faith and in a commercially reasonable manner.</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Valuation Date:</w:t>
            </w:r>
          </w:p>
        </w:tc>
        <w:tc>
          <w:tcPr>
            <w:tcW w:w="8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any Component, the Expiration Date therefor.</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1251"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 Disruption Event:</w:t>
            </w:r>
          </w:p>
        </w:tc>
        <w:tc>
          <w:tcPr>
            <w:tcW w:w="8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Section 6.3(a) of the Equity Definitions is hereby amended by deleting the words “during the one hour period that ends at the relevant Valuation Time, Latest Exercise Time, Knock-in Valuation Time or Knock-out Valuation Time, as the case may be,” in clause (ii) thereof.</w:t>
            </w:r>
          </w:p>
          <w:p>
            <w:pPr>
              <w:pStyle w:val="TableContents"/>
              <w:bidi w:val="0"/>
              <w:spacing w:before="0" w:after="0"/>
              <w:jc w:val="left"/>
              <w:rPr/>
            </w:pPr>
            <w:r>
              <w:rPr/>
            </w:r>
          </w:p>
          <w:p>
            <w:pPr>
              <w:pStyle w:val="TableContents"/>
              <w:bidi w:val="0"/>
              <w:spacing w:before="0" w:after="0"/>
              <w:jc w:val="both"/>
              <w:rPr>
                <w:rFonts w:ascii="Times New Roman" w:hAnsi="Times New Roman"/>
                <w:sz w:val="20"/>
              </w:rPr>
            </w:pPr>
            <w:r>
              <w:rPr>
                <w:rFonts w:ascii="Times New Roman" w:hAnsi="Times New Roman"/>
                <w:sz w:val="20"/>
              </w:rPr>
              <w:t>Section 6.3(d) of the Equity Definitions is hereby amended by deleting the remainder of the provision following the term “Scheduled Closing Time” in the fourth line thereof.</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1251"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Terms:</w:t>
            </w:r>
          </w:p>
        </w:tc>
        <w:tc>
          <w:tcPr>
            <w:tcW w:w="8954" w:type="dxa"/>
            <w:tcBorders/>
            <w:vAlign w:val="center"/>
          </w:tcPr>
          <w:p>
            <w:pPr>
              <w:pStyle w:val="TableContents"/>
              <w:bidi w:val="0"/>
              <w:spacing w:before="0" w:after="283"/>
              <w:jc w:val="left"/>
              <w:rPr/>
            </w:pPr>
            <w:r>
              <w:rPr/>
              <w:t> </w:t>
            </w:r>
          </w:p>
        </w:tc>
      </w:tr>
      <w:tr>
        <w:trPr/>
        <w:tc>
          <w:tcPr>
            <w:tcW w:w="1251" w:type="dxa"/>
            <w:gridSpan w:val="2"/>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Method Election:</w:t>
            </w:r>
          </w:p>
        </w:tc>
        <w:tc>
          <w:tcPr>
            <w:tcW w:w="8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Applicable solely on a Physical Settlement Date; </w:t>
            </w:r>
            <w:r>
              <w:rPr>
                <w:rFonts w:ascii="Times New Roman" w:hAnsi="Times New Roman"/>
                <w:i/>
                <w:sz w:val="20"/>
              </w:rPr>
              <w:t>provided</w:t>
            </w:r>
            <w:r>
              <w:rPr>
                <w:rFonts w:ascii="Times New Roman" w:hAnsi="Times New Roman"/>
                <w:sz w:val="20"/>
              </w:rPr>
              <w:t xml:space="preserve"> that (a) Section 7.1 of the Equity Definitions is hereby amended by replacing the term “Physical Settlement” with the term “Net Share Settlement,” (b) the same Settlement Method shall apply to all Components and (c) if Counterparty is electing a Settlement Method other than the Default Settlement Method, such Settlement Method Election will be effective only if Counterparty represents and warrants to Dealer in writing on the date of such Settlement Method Election that (i) Counterparty is not in possession of any material non-public information regarding Counterparty or the Shares and (ii) such election is being made in good faith and not as part of a plan or scheme to evade compliance with the federal securities laws.</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20"/>
              </w:rPr>
            </w:pPr>
            <w:r>
              <w:rPr>
                <w:rFonts w:ascii="Times New Roman" w:hAnsi="Times New Roman"/>
                <w:sz w:val="20"/>
              </w:rPr>
              <w:t>Without limiting the generality of the foregoing, Counterparty acknowledges its responsibilities under applicable securities laws, and in particular Sections 9 and 10(b) of the Securities Exchange Act of 1934, as amended (the “</w:t>
            </w:r>
            <w:r>
              <w:rPr>
                <w:rFonts w:ascii="Times New Roman" w:hAnsi="Times New Roman"/>
                <w:b/>
                <w:sz w:val="20"/>
              </w:rPr>
              <w:t>Exchange Act</w:t>
            </w:r>
            <w:r>
              <w:rPr>
                <w:rFonts w:ascii="Times New Roman" w:hAnsi="Times New Roman"/>
                <w:sz w:val="20"/>
              </w:rPr>
              <w:t xml:space="preserve">”) and, if applicable, section 606 and Part 7.10 of the </w:t>
            </w:r>
            <w:r>
              <w:rPr>
                <w:rFonts w:ascii="Times New Roman" w:hAnsi="Times New Roman"/>
                <w:i/>
                <w:sz w:val="20"/>
              </w:rPr>
              <w:t>Corporations Act 2001</w:t>
            </w:r>
            <w:r>
              <w:rPr>
                <w:rFonts w:ascii="Times New Roman" w:hAnsi="Times New Roman"/>
                <w:sz w:val="20"/>
              </w:rPr>
              <w:t xml:space="preserve"> (Cth) (“</w:t>
            </w:r>
            <w:r>
              <w:rPr>
                <w:rFonts w:ascii="Times New Roman" w:hAnsi="Times New Roman"/>
                <w:b/>
                <w:sz w:val="20"/>
              </w:rPr>
              <w:t>Corporations Act</w:t>
            </w:r>
            <w:r>
              <w:rPr>
                <w:rFonts w:ascii="Times New Roman" w:hAnsi="Times New Roman"/>
                <w:sz w:val="20"/>
              </w:rPr>
              <w:t>”) as amended, and in each case the rules and regulations promulgated thereunder in respect of such election.</w:t>
            </w:r>
          </w:p>
        </w:tc>
      </w:tr>
    </w:tbl>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7 NTD: Insert for 2032 Notes.</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8 NTD: Insert for 2033 Notes.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54" w:name="z1d5218e5265543b5b4a4c81ec4383945"/>
      <w:bookmarkStart w:id="455" w:name="z1d5218e5265543b5b4a4c81ec4383945"/>
      <w:bookmarkEnd w:id="455"/>
    </w:p>
    <w:tbl>
      <w:tblPr>
        <w:tblW w:w="10205" w:type="dxa"/>
        <w:jc w:val="left"/>
        <w:tblInd w:w="0" w:type="dxa"/>
        <w:tblLayout w:type="fixed"/>
        <w:tblCellMar>
          <w:top w:w="0" w:type="dxa"/>
          <w:left w:w="0" w:type="dxa"/>
          <w:bottom w:w="0" w:type="dxa"/>
          <w:right w:w="0" w:type="dxa"/>
        </w:tblCellMar>
      </w:tblPr>
      <w:tblGrid>
        <w:gridCol w:w="60"/>
        <w:gridCol w:w="1202"/>
        <w:gridCol w:w="8943"/>
      </w:tblGrid>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Electing Party:</w:t>
            </w:r>
          </w:p>
        </w:tc>
        <w:tc>
          <w:tcPr>
            <w:tcW w:w="8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Counterparty</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Method Election Date:</w:t>
            </w:r>
          </w:p>
        </w:tc>
        <w:tc>
          <w:tcPr>
            <w:tcW w:w="8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second Scheduled Valid Day prior to the scheduled Expiration Date for the Component with the earliest scheduled Expiration Date.</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Default Settlement Method:</w:t>
            </w:r>
          </w:p>
        </w:tc>
        <w:tc>
          <w:tcPr>
            <w:tcW w:w="8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any date that is not a Physical Settlement Date, Cash Settlement. On any Physical Settlement Date, Net Share Settlement.</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Hypothetical Dealer:</w:t>
            </w:r>
          </w:p>
        </w:tc>
        <w:tc>
          <w:tcPr>
            <w:tcW w:w="8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hypothetical financial institution subject to the same securities, tax and other laws, rules and regulations and related self-regulatory requirements, policies and procedures (including those of any securities or other regulators, exchanges and self-regulating organizations) as those to which Dealer is subject.</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Applicable Hedge Positions:</w:t>
            </w:r>
          </w:p>
        </w:tc>
        <w:tc>
          <w:tcPr>
            <w:tcW w:w="8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 any time, any Hedge Positions that Dealer determines that a Hypothetical Dealer (acting in good faith and in a commercially reasonable manner) would consider necessary to hedge through the Hedge Positions alone the equity price risk and dividend risk of entering into and performing its obligations with respect to the Transaction at that time. The parties acknowledge that this does not restrict or otherwise affect the agreements and acknowledgments set forth in Section 13.2 of the Equity Definitions or any Hedge Positions or Hedging Activities which any Hedging Party may choose to purchase, sell, enter into, maintain or undertake.</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20"/>
              </w:rPr>
            </w:pPr>
            <w:r>
              <w:rPr>
                <w:rFonts w:ascii="Times New Roman" w:hAnsi="Times New Roman"/>
                <w:sz w:val="20"/>
              </w:rPr>
              <w:t>Dealer shall notify Counterparty promptly after it determines that a Hypothetical Dealer would have fully established its Applicable Hedge Positions</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Physical Settlement Date:</w:t>
            </w:r>
          </w:p>
        </w:tc>
        <w:tc>
          <w:tcPr>
            <w:tcW w:w="8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date (a) on or after the date that Counterparty provides to Dealer evidence that: (i) a valid Counterparty Shareholder Purchase Approval has been obtained and is in full force until Counterparty delivers a notice to Dealer that such Counterparty Shareholder Purchase Approval has lapsed; or (ii) the laws of the jurisdiction of Counterparty’s organization permit Counterparty’s acquisition of Shares pursuant to the terms of this Transaction (including as a result of Counterparty being a corporation organized under the laws of the United States, any State thereof or the District of Columbia) to the reasonable satisfaction of Dealer based on advice of counsel, in each case, together with a written statement that the representations contained in Section 7(j) below are true and correct as of and as if made on such date, and (b) on or after the date that Dealer has notified Counterparty in writing that it has determined that either: (1) a Hypothetical Dealer would have fully established its Applicable Hedge Positions which are sufficient to facilitate the Dealer delivering Shares in accordance with the terms of this Confirmation (</w:t>
            </w:r>
            <w:r>
              <w:rPr>
                <w:rFonts w:ascii="Times New Roman" w:hAnsi="Times New Roman"/>
                <w:i/>
                <w:sz w:val="20"/>
              </w:rPr>
              <w:t>provided</w:t>
            </w:r>
            <w:r>
              <w:rPr>
                <w:rFonts w:ascii="Times New Roman" w:hAnsi="Times New Roman"/>
                <w:sz w:val="20"/>
              </w:rPr>
              <w:t xml:space="preserve"> that this clause (1) shall be deemed to have been satisfied on each day occurring on or after December 3, 2026); or (2) a Hypothetical Dealer would not require such Applicable Hedge Positions in order to facilitate such Share delivery.</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56" w:name="z49a80dd24c494c638f56cf146e810b45"/>
      <w:bookmarkStart w:id="457" w:name="z49a80dd24c494c638f56cf146e810b45"/>
      <w:bookmarkEnd w:id="457"/>
    </w:p>
    <w:tbl>
      <w:tblPr>
        <w:tblW w:w="10205" w:type="dxa"/>
        <w:jc w:val="left"/>
        <w:tblInd w:w="0" w:type="dxa"/>
        <w:tblLayout w:type="fixed"/>
        <w:tblCellMar>
          <w:top w:w="0" w:type="dxa"/>
          <w:left w:w="0" w:type="dxa"/>
          <w:bottom w:w="0" w:type="dxa"/>
          <w:right w:w="0" w:type="dxa"/>
        </w:tblCellMar>
      </w:tblPr>
      <w:tblGrid>
        <w:gridCol w:w="60"/>
        <w:gridCol w:w="1279"/>
        <w:gridCol w:w="8866"/>
      </w:tblGrid>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Counterparty Shareholder Purchase </w:t>
            </w:r>
          </w:p>
          <w:p>
            <w:pPr>
              <w:pStyle w:val="TableContents"/>
              <w:bidi w:val="0"/>
              <w:spacing w:before="0" w:after="0"/>
              <w:jc w:val="left"/>
              <w:rPr>
                <w:rFonts w:ascii="Times New Roman" w:hAnsi="Times New Roman"/>
                <w:sz w:val="20"/>
              </w:rPr>
            </w:pPr>
            <w:r>
              <w:rPr>
                <w:rFonts w:ascii="Times New Roman" w:hAnsi="Times New Roman"/>
                <w:sz w:val="20"/>
              </w:rPr>
              <w:t>Approval:</w:t>
            </w:r>
          </w:p>
        </w:tc>
        <w:tc>
          <w:tcPr>
            <w:tcW w:w="88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special resolution by the shareholders of Counterparty authorizing a selective off-market buy-back of the Number of Shares to be delivered to Counterparty under this Confirmation in accordance with the terms of this Transaction pursuant to section 257D of the Corporations Act. Such resolution will be in full force on a day for the purposes of the Physical Settlement Date if (1) the resolution was passed within the previous 12 month period ending on that day and (2) the resolution has not otherwise ceased to be in full force and effect (including through amendment or revocation) (“</w:t>
            </w:r>
            <w:r>
              <w:rPr>
                <w:rFonts w:ascii="Times New Roman" w:hAnsi="Times New Roman"/>
                <w:b/>
                <w:sz w:val="20"/>
              </w:rPr>
              <w:t>Annual Buy-back Mandate Renewal</w:t>
            </w:r>
            <w:r>
              <w:rPr>
                <w:rFonts w:ascii="Times New Roman" w:hAnsi="Times New Roman"/>
                <w:sz w:val="20"/>
              </w:rPr>
              <w:t>”).</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88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Share Settlement:</w:t>
            </w:r>
          </w:p>
        </w:tc>
        <w:tc>
          <w:tcPr>
            <w:tcW w:w="88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 respect to any Component, if Net Share Settlement is applicable to the Options exercised or deemed exercised hereunder, Dealer will deliver to Counterparty, on the relevant Settlement Date for each such Component, a number of Shares (the “</w:t>
            </w:r>
            <w:r>
              <w:rPr>
                <w:rFonts w:ascii="Times New Roman" w:hAnsi="Times New Roman"/>
                <w:b/>
                <w:sz w:val="20"/>
              </w:rPr>
              <w:t>Net Share Settlement Amount</w:t>
            </w:r>
            <w:r>
              <w:rPr>
                <w:rFonts w:ascii="Times New Roman" w:hAnsi="Times New Roman"/>
                <w:sz w:val="20"/>
              </w:rPr>
              <w:t xml:space="preserve">”) equal to (i) the Daily Option Value on the Expiration Date of such Component </w:t>
            </w:r>
            <w:r>
              <w:rPr>
                <w:rFonts w:ascii="Times New Roman" w:hAnsi="Times New Roman"/>
                <w:i/>
                <w:sz w:val="20"/>
              </w:rPr>
              <w:t>divided by</w:t>
            </w:r>
            <w:r>
              <w:rPr>
                <w:rFonts w:ascii="Times New Roman" w:hAnsi="Times New Roman"/>
                <w:sz w:val="20"/>
              </w:rPr>
              <w:t xml:space="preserve"> (ii) the Relevant Price on such Expiration Date.</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20"/>
              </w:rPr>
            </w:pPr>
            <w:r>
              <w:rPr>
                <w:rFonts w:ascii="Times New Roman" w:hAnsi="Times New Roman"/>
                <w:sz w:val="20"/>
              </w:rPr>
              <w:t>Dealer will deliver cash in lieu of any fractional Shares to be delivered with respect to any Net Share Settlement Amount valued at the Relevant Price for the Expiration Date of such Component.</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88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Settlement:</w:t>
            </w:r>
          </w:p>
        </w:tc>
        <w:tc>
          <w:tcPr>
            <w:tcW w:w="88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 respect to any Component, if Cash Settlement is applicable to the Options exercised or deemed exercised hereunder, in lieu of Section 8.1 of the Equity Definitions, Dealer will pay to Counterparty, on the Settlement Date, an amount of cash (the “</w:t>
            </w:r>
            <w:r>
              <w:rPr>
                <w:rFonts w:ascii="Times New Roman" w:hAnsi="Times New Roman"/>
                <w:b/>
                <w:sz w:val="20"/>
              </w:rPr>
              <w:t>Cash Settlement Amount</w:t>
            </w:r>
            <w:r>
              <w:rPr>
                <w:rFonts w:ascii="Times New Roman" w:hAnsi="Times New Roman"/>
                <w:sz w:val="20"/>
              </w:rPr>
              <w:t>”) equal to the Daily Option Value on the Expiration Date of such Component.</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88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Daily Option Value:</w:t>
            </w:r>
          </w:p>
        </w:tc>
        <w:tc>
          <w:tcPr>
            <w:tcW w:w="88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any Component, an amount equal to (i) the Number of Options in such Component, </w:t>
            </w:r>
            <w:r>
              <w:rPr>
                <w:rFonts w:ascii="Times New Roman" w:hAnsi="Times New Roman"/>
                <w:i/>
                <w:sz w:val="20"/>
              </w:rPr>
              <w:t>multiplied by</w:t>
            </w:r>
            <w:r>
              <w:rPr>
                <w:rFonts w:ascii="Times New Roman" w:hAnsi="Times New Roman"/>
                <w:sz w:val="20"/>
              </w:rPr>
              <w:t xml:space="preserve"> (ii) the Option Entitlement, </w:t>
            </w:r>
            <w:r>
              <w:rPr>
                <w:rFonts w:ascii="Times New Roman" w:hAnsi="Times New Roman"/>
                <w:i/>
                <w:sz w:val="20"/>
              </w:rPr>
              <w:t>multiplied by</w:t>
            </w:r>
            <w:r>
              <w:rPr>
                <w:rFonts w:ascii="Times New Roman" w:hAnsi="Times New Roman"/>
                <w:sz w:val="20"/>
              </w:rPr>
              <w:t xml:space="preserve"> (iii) (A) the lesser of the Relevant Price on the Expiration Date of such Component and the Cap Price, </w:t>
            </w:r>
            <w:r>
              <w:rPr>
                <w:rFonts w:ascii="Times New Roman" w:hAnsi="Times New Roman"/>
                <w:i/>
                <w:sz w:val="20"/>
              </w:rPr>
              <w:t>minus</w:t>
            </w:r>
            <w:r>
              <w:rPr>
                <w:rFonts w:ascii="Times New Roman" w:hAnsi="Times New Roman"/>
                <w:sz w:val="20"/>
              </w:rPr>
              <w:t xml:space="preserve"> (B) the Strike Price on such Expiration Date; </w:t>
            </w:r>
            <w:r>
              <w:rPr>
                <w:rFonts w:ascii="Times New Roman" w:hAnsi="Times New Roman"/>
                <w:i/>
                <w:sz w:val="20"/>
              </w:rPr>
              <w:t>provided</w:t>
            </w:r>
            <w:r>
              <w:rPr>
                <w:rFonts w:ascii="Times New Roman" w:hAnsi="Times New Roman"/>
                <w:sz w:val="20"/>
              </w:rPr>
              <w:t xml:space="preserve"> that if the calculation contained in clause (iii) above results in a negative number, the Daily Option Value for such Component shall be deemed to be zero. In no event will the Daily Option Value be less than zero.</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88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Valid Day:</w:t>
            </w:r>
          </w:p>
        </w:tc>
        <w:tc>
          <w:tcPr>
            <w:tcW w:w="88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day on which (i) there is no Market Disruption Event and (ii) trading in the Shares generally occurs on the Exchange. If the Shares are not listed, quoted or traded on any U.S. securities exchange or any other market, “</w:t>
            </w:r>
            <w:r>
              <w:rPr>
                <w:rFonts w:ascii="Times New Roman" w:hAnsi="Times New Roman"/>
                <w:b/>
                <w:sz w:val="20"/>
              </w:rPr>
              <w:t>Valid Day</w:t>
            </w:r>
            <w:r>
              <w:rPr>
                <w:rFonts w:ascii="Times New Roman" w:hAnsi="Times New Roman"/>
                <w:sz w:val="20"/>
              </w:rPr>
              <w:t>” means a Business Day.</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88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Scheduled Valid Day:</w:t>
            </w:r>
          </w:p>
        </w:tc>
        <w:tc>
          <w:tcPr>
            <w:tcW w:w="88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day that is scheduled to be a Valid Day on the Exchange. If the Shares are not listed, quoted or traded on any U.S. securities exchange or any other market, “</w:t>
            </w:r>
            <w:r>
              <w:rPr>
                <w:rFonts w:ascii="Times New Roman" w:hAnsi="Times New Roman"/>
                <w:b/>
                <w:sz w:val="20"/>
              </w:rPr>
              <w:t>Scheduled Valid Day</w:t>
            </w:r>
            <w:r>
              <w:rPr>
                <w:rFonts w:ascii="Times New Roman" w:hAnsi="Times New Roman"/>
                <w:sz w:val="20"/>
              </w:rPr>
              <w:t>” means a Business Day.</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88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88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day other than a Saturday, a Sunday or other day on which banking institutions are authorized or required by law, regulation or executive order to close or be closed in the State of New York.</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88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Relevant Price:</w:t>
            </w:r>
          </w:p>
        </w:tc>
        <w:tc>
          <w:tcPr>
            <w:tcW w:w="88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any Valid Day, the per Share volume-weighted average price as displayed under the heading “Bloomberg VWAP” on Bloomberg page “IREN &lt;equity&gt; AQR” (or its equivalent successor if such page is not available) (the “</w:t>
            </w:r>
            <w:r>
              <w:rPr>
                <w:rFonts w:ascii="Times New Roman" w:hAnsi="Times New Roman"/>
                <w:b/>
                <w:sz w:val="20"/>
              </w:rPr>
              <w:t>VWAP</w:t>
            </w:r>
            <w:r>
              <w:rPr>
                <w:rFonts w:ascii="Times New Roman" w:hAnsi="Times New Roman"/>
                <w:sz w:val="20"/>
              </w:rPr>
              <w:t>”) in respect of the period from the scheduled open of trading until the scheduled close of trading of the primary trading session on such Valid Day (or if such volume-weighted average price is unavailable at such time or is, in the Calculation Agent’s commercially reasonable discretion, manifestly erroneous, the market value of one Share on such Valid Day, as determined by the Calculation Agent in a good faith and commercially reasonable manner using, if practicable, a volume-weighted average method substantially similar to the method for determining the VWAP). The Relevant Price will be determined without regard to after-hours trading or any other trading outside of the regular trading session trading hours.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58" w:name="z22fba1d3174046cbbdf743bf61dd275a"/>
      <w:bookmarkStart w:id="459" w:name="z22fba1d3174046cbbdf743bf61dd275a"/>
      <w:bookmarkEnd w:id="459"/>
    </w:p>
    <w:tbl>
      <w:tblPr>
        <w:tblW w:w="10205" w:type="dxa"/>
        <w:jc w:val="left"/>
        <w:tblInd w:w="0" w:type="dxa"/>
        <w:tblLayout w:type="fixed"/>
        <w:tblCellMar>
          <w:top w:w="0" w:type="dxa"/>
          <w:left w:w="0" w:type="dxa"/>
          <w:bottom w:w="0" w:type="dxa"/>
          <w:right w:w="0" w:type="dxa"/>
        </w:tblCellMar>
      </w:tblPr>
      <w:tblGrid>
        <w:gridCol w:w="60"/>
        <w:gridCol w:w="1366"/>
        <w:gridCol w:w="8779"/>
      </w:tblGrid>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Date:</w:t>
            </w:r>
          </w:p>
        </w:tc>
        <w:tc>
          <w:tcPr>
            <w:tcW w:w="877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all Components of the Transaction, the date one Settlement Cycle immediately following the Expiration Date for the Component with the latest Expiration Date.</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Currency:</w:t>
            </w:r>
          </w:p>
        </w:tc>
        <w:tc>
          <w:tcPr>
            <w:tcW w:w="877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USD</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Applicable Provisions:</w:t>
            </w:r>
          </w:p>
        </w:tc>
        <w:tc>
          <w:tcPr>
            <w:tcW w:w="877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provisions of Sections 9.1(c), 9.8, 9.9, 9.11 and 9.12 of the Equity Definitions will be applicable, except that all references in such provisions to “Physical Settlement” shall be read as references to “Net Share Settlement.”</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Representation and Agreement:</w:t>
            </w:r>
          </w:p>
        </w:tc>
        <w:tc>
          <w:tcPr>
            <w:tcW w:w="877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Notwithstanding anything to the contrary in the Equity Definitions (including, but not limited to, Section 9.11 thereof), the parties acknowledge that (i) any Shares delivered to Counterparty shall be, upon delivery, subject to restrictions, obligations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 w:hAnsi="Times New Roman"/>
                <w:b/>
                <w:sz w:val="20"/>
              </w:rPr>
              <w:t>Securities Act</w:t>
            </w:r>
            <w:r>
              <w:rPr>
                <w:rFonts w:ascii="Times New Roman" w:hAnsi="Times New Roman"/>
                <w:sz w:val="20"/>
              </w:rPr>
              <w:t>”)).</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r>
      <w:tr>
        <w:trPr/>
        <w:tc>
          <w:tcPr>
            <w:tcW w:w="1426"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8779" w:type="dxa"/>
            <w:tcBorders/>
            <w:vAlign w:val="center"/>
          </w:tcPr>
          <w:p>
            <w:pPr>
              <w:pStyle w:val="TableContents"/>
              <w:bidi w:val="0"/>
              <w:spacing w:before="0" w:after="283"/>
              <w:jc w:val="left"/>
              <w:rPr/>
            </w:pPr>
            <w:r>
              <w:rPr/>
              <w:t> </w:t>
            </w:r>
          </w:p>
        </w:tc>
      </w:tr>
      <w:tr>
        <w:trPr/>
        <w:tc>
          <w:tcPr>
            <w:tcW w:w="1426" w:type="dxa"/>
            <w:gridSpan w:val="2"/>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Method of Adjustment:</w:t>
            </w:r>
          </w:p>
        </w:tc>
        <w:tc>
          <w:tcPr>
            <w:tcW w:w="877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Calculation Agent Adjustment; </w:t>
            </w:r>
            <w:r>
              <w:rPr>
                <w:rFonts w:ascii="Times New Roman" w:hAnsi="Times New Roman"/>
                <w:i/>
                <w:sz w:val="20"/>
              </w:rPr>
              <w:t xml:space="preserve">provided </w:t>
            </w:r>
            <w:r>
              <w:rPr>
                <w:rFonts w:ascii="Times New Roman" w:hAnsi="Times New Roman"/>
                <w:sz w:val="20"/>
              </w:rPr>
              <w:t>that the parties agree that (x) open market Share repurchases at prevailing market prices and (y) Share repurchases through a dealer pursuant to accelerated share repurchases, forward contracts or similar transactions (including, without limitation, any discount to average VWAP prices) that are entered into at prevailing market prices, in a commercially reasonable manner, and in accordance with customary market terms for transactions of such type to repurchase the Shares shall not be considered Potential Adjustment Events so long as, in the case of each of clause (x) and clause (y), after giving effect to such repurchase or transaction, the aggregate number of Shares repurchased during the term of the Transaction pursuant to all such transactions described in clause (x) and clause (y) would not exceed 20% of the number of Shares outstanding as of the Trade Date, as determined by the Calculation Agent and as adjusted by the Calculation Agent to account for any subdivision or combination with respect to the Shares.</w:t>
            </w:r>
          </w:p>
        </w:tc>
      </w:tr>
      <w:tr>
        <w:trPr/>
        <w:tc>
          <w:tcPr>
            <w:tcW w:w="6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left"/>
              <w:rPr/>
            </w:pPr>
            <w:r>
              <w:rPr/>
              <w:t> </w:t>
            </w:r>
          </w:p>
        </w:tc>
        <w:tc>
          <w:tcPr>
            <w:tcW w:w="8779" w:type="dxa"/>
            <w:tcBorders/>
            <w:vAlign w:val="center"/>
          </w:tcPr>
          <w:p>
            <w:pPr>
              <w:pStyle w:val="TableContents"/>
              <w:bidi w:val="0"/>
              <w:spacing w:before="0" w:after="283"/>
              <w:jc w:val="left"/>
              <w:rPr/>
            </w:pPr>
            <w:r>
              <w:rPr/>
              <w:t> </w:t>
            </w:r>
          </w:p>
        </w:tc>
      </w:tr>
      <w:tr>
        <w:trPr/>
        <w:tc>
          <w:tcPr>
            <w:tcW w:w="1426"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Extraordinary Events:</w:t>
            </w:r>
          </w:p>
        </w:tc>
        <w:tc>
          <w:tcPr>
            <w:tcW w:w="8779"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60" w:name="z51e168d6cef541978c535629f6c2e344"/>
      <w:bookmarkStart w:id="461" w:name="z51e168d6cef541978c535629f6c2e344"/>
      <w:bookmarkEnd w:id="461"/>
    </w:p>
    <w:tbl>
      <w:tblPr>
        <w:tblW w:w="10205" w:type="dxa"/>
        <w:jc w:val="left"/>
        <w:tblInd w:w="0" w:type="dxa"/>
        <w:tblLayout w:type="fixed"/>
        <w:tblCellMar>
          <w:top w:w="0" w:type="dxa"/>
          <w:left w:w="0" w:type="dxa"/>
          <w:bottom w:w="0" w:type="dxa"/>
          <w:right w:w="0" w:type="dxa"/>
        </w:tblCellMar>
      </w:tblPr>
      <w:tblGrid>
        <w:gridCol w:w="60"/>
        <w:gridCol w:w="1359"/>
        <w:gridCol w:w="8786"/>
      </w:tblGrid>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Shares:</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 the definition of New Shares in Section 12.1(i) of the Equity Definitions, (a) the text in clause (i) thereof shall be deleted in its entirety and replaced with “publicly quoted, traded or listed on any of The New York Stock Exchange, The Nasdaq Global Market or The Nasdaq Global Select Market (or their respective successors),” and (b) the following phrase shall be inserted immediately prior to the period: “and (iii) of a public company limited by shares incorporated under the laws of Australia or of a corporation organized under the laws of the United States, any State thereof or the District of Columbia, in each case, that (x) also becomes Counterparty under the Transaction or (y) agrees to be subject to Sections 8(d) and 8(e) of the Confirmation governing the Transaction, in either case, following such Merger Event or Tender Offer”.</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Merger Events:</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Applicable</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Consequences of Merger Events:</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Share-for-Share:</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Modified Calculation Agent Adjustment</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Share-for-Other:</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Cancellation and Payment (Calculation Agent Determination)</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Share-for-Combined:</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Cancellation and Payment (Calculation Agent Determination); </w:t>
            </w:r>
            <w:r>
              <w:rPr>
                <w:rFonts w:ascii="Times New Roman" w:hAnsi="Times New Roman"/>
                <w:i/>
                <w:sz w:val="20"/>
              </w:rPr>
              <w:t>provided</w:t>
            </w:r>
            <w:r>
              <w:rPr>
                <w:rFonts w:ascii="Times New Roman" w:hAnsi="Times New Roman"/>
                <w:sz w:val="20"/>
              </w:rPr>
              <w:t xml:space="preserve"> that the Calculation Agent may elect Component Adjustment for all or part of the Transaction</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Tender Offer:</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Applicable; </w:t>
            </w:r>
            <w:r>
              <w:rPr>
                <w:rFonts w:ascii="Times New Roman" w:hAnsi="Times New Roman"/>
                <w:i/>
                <w:sz w:val="20"/>
              </w:rPr>
              <w:t>provided</w:t>
            </w:r>
            <w:r>
              <w:rPr>
                <w:rFonts w:ascii="Times New Roman" w:hAnsi="Times New Roman"/>
                <w:sz w:val="20"/>
              </w:rPr>
              <w:t xml:space="preserve"> that the definition of “Tender Offer” in Section 12.1(d) of the Equity Definitions will be amended by replacing the phrase “greater than 10% and less than 100% of the outstanding voting shares of the Issuer” in the third and fourth line thereof with “greater than 20% and less than 100% of the outstanding Shares of Counterparty”. In addition, Section 12.1(e) of the Equity Definitions shall be amended by replacing “voting shares” in the first line thereof with “Shares”, and Section 12.1(l) of the Equity Definitions shall be amended by replacing “voting shares” in the fifth line thereof with “Shares”.</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Consequences of Tender Offers:</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Share-for-Share:</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Modified Calculation Agent Adjustment</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Share-for-Other:</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Modified Calculation Agent Adjustment</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Share-for-Combined:</w:t>
            </w:r>
          </w:p>
        </w:tc>
        <w:tc>
          <w:tcPr>
            <w:tcW w:w="87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Modified Calculation Agent Adjustment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62" w:name="zb18999bed29b45d39b825f7343c136a7"/>
      <w:bookmarkStart w:id="463" w:name="zb18999bed29b45d39b825f7343c136a7"/>
      <w:bookmarkEnd w:id="463"/>
    </w:p>
    <w:tbl>
      <w:tblPr>
        <w:tblW w:w="10205" w:type="dxa"/>
        <w:jc w:val="left"/>
        <w:tblInd w:w="0" w:type="dxa"/>
        <w:tblLayout w:type="fixed"/>
        <w:tblCellMar>
          <w:top w:w="0" w:type="dxa"/>
          <w:left w:w="0" w:type="dxa"/>
          <w:bottom w:w="0" w:type="dxa"/>
          <w:right w:w="0" w:type="dxa"/>
        </w:tblCellMar>
      </w:tblPr>
      <w:tblGrid>
        <w:gridCol w:w="60"/>
        <w:gridCol w:w="1313"/>
        <w:gridCol w:w="8832"/>
      </w:tblGrid>
      <w:tr>
        <w:trPr/>
        <w:tc>
          <w:tcPr>
            <w:tcW w:w="6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Consequences of Announcement </w:t>
            </w:r>
          </w:p>
          <w:p>
            <w:pPr>
              <w:pStyle w:val="TableContents"/>
              <w:bidi w:val="0"/>
              <w:spacing w:before="0" w:after="0"/>
              <w:jc w:val="left"/>
              <w:rPr>
                <w:rFonts w:ascii="Times New Roman" w:hAnsi="Times New Roman"/>
                <w:sz w:val="20"/>
              </w:rPr>
            </w:pPr>
            <w:r>
              <w:rPr>
                <w:rFonts w:ascii="Times New Roman" w:hAnsi="Times New Roman"/>
                <w:sz w:val="20"/>
              </w:rPr>
              <w:t>Events:</w:t>
            </w:r>
          </w:p>
        </w:tc>
        <w:tc>
          <w:tcPr>
            <w:tcW w:w="88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Modified Calculation Agent Adjustment as set forth in Section 12.3(d) of the Equity Definitions; </w:t>
            </w:r>
            <w:r>
              <w:rPr>
                <w:rFonts w:ascii="Times New Roman" w:hAnsi="Times New Roman"/>
                <w:i/>
                <w:sz w:val="20"/>
              </w:rPr>
              <w:t>provided</w:t>
            </w:r>
            <w:r>
              <w:rPr>
                <w:rFonts w:ascii="Times New Roman" w:hAnsi="Times New Roman"/>
                <w:sz w:val="20"/>
              </w:rPr>
              <w:t xml:space="preserve"> that, in respect of an Announcement Event, (x) references to “Tender Offer” shall be replaced by references to “Announcement Event” and references to “Tender Offer Date” shall be replaced by references to “date of such Announcement Event” in the definition of Modified Calculation Agent Adjustment set forth in Section 12.3(d), (y) the phrase “exercise, settlement, payment or any other terms of the Transaction (including, without limitation, the spread)” in the third and fourth lines of the definition of Modified Calculation Agent Adjustment set forth in Section 12.3(d) shall be replaced with the phrase “Cap Price (</w:t>
            </w:r>
            <w:r>
              <w:rPr>
                <w:rFonts w:ascii="Times New Roman" w:hAnsi="Times New Roman"/>
                <w:i/>
                <w:sz w:val="20"/>
              </w:rPr>
              <w:t>provided</w:t>
            </w:r>
            <w:r>
              <w:rPr>
                <w:rFonts w:ascii="Times New Roman" w:hAnsi="Times New Roman"/>
                <w:sz w:val="20"/>
              </w:rPr>
              <w:t xml:space="preserve"> that in no event shall the Cap Price be less than the Strike Price)” and the words “whether within a commercially reasonable (as determined by the Calculation Agent) period of time prior to or after the Announcement Event” shall be inserted prior to the word “which” in the seventh line, and (z) for the avoidance of doubt, the Calculation Agent shall, in good faith and a commercially reasonable manner, determine whether the relevant Announcement Event has had a material economic effect on the Transaction and, if so, shall adjust the Cap Price accordingly to take into account such economic effect on one or more occasions on or after the date of the Announcement Event up to, and including, the related Expiration Date, any Early Termination Date and/or any other date of cancellation, it being understood that (i)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and (ii) in making any adjustment the Calculation Agent shall solely take into account changes in stock price, volatility, expected dividends, stock loan rate, and liquidity relevant to the Shares or to such Transaction. An Announcement Event shall be an “Extraordinary Event” for purposes of the Equity Definitions, to which Article 12 of the Equity Definitions is applicable; </w:t>
            </w:r>
            <w:r>
              <w:rPr>
                <w:rFonts w:ascii="Times New Roman" w:hAnsi="Times New Roman"/>
                <w:i/>
                <w:sz w:val="20"/>
              </w:rPr>
              <w:t>provided further</w:t>
            </w:r>
            <w:r>
              <w:rPr>
                <w:rFonts w:ascii="Times New Roman" w:hAnsi="Times New Roman"/>
                <w:sz w:val="20"/>
              </w:rPr>
              <w:t xml:space="preserve"> that upon the Calculation Agent making an adjustment, determined in a commercially reasonable manner, to the Cap Price upon any Announcement Event, then the Calculation Agent shall make an adjustment to the Cap Price upon any announcement regarding the same event that gave rise to the original Announcement Event regarding the abandonment of any such event to the extent necessary to reflect the economic effect of such subsequent announcement on the Transaction (</w:t>
            </w:r>
            <w:r>
              <w:rPr>
                <w:rFonts w:ascii="Times New Roman" w:hAnsi="Times New Roman"/>
                <w:i/>
                <w:sz w:val="20"/>
              </w:rPr>
              <w:t>provided</w:t>
            </w:r>
            <w:r>
              <w:rPr>
                <w:rFonts w:ascii="Times New Roman" w:hAnsi="Times New Roman"/>
                <w:sz w:val="20"/>
              </w:rPr>
              <w:t xml:space="preserve"> that in no event shall the Cap Price be less than the Strike Price).</w:t>
            </w:r>
          </w:p>
        </w:tc>
      </w:tr>
      <w:tr>
        <w:trPr/>
        <w:tc>
          <w:tcPr>
            <w:tcW w:w="6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 </w:t>
            </w:r>
          </w:p>
        </w:tc>
        <w:tc>
          <w:tcPr>
            <w:tcW w:w="883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Announcement Event:</w:t>
            </w:r>
          </w:p>
        </w:tc>
        <w:tc>
          <w:tcPr>
            <w:tcW w:w="88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 The public announcement by Counterparty, any agent of Counterparty, any affiliate of Counterparty or a Valid Third Party Entity of any transaction or event that, if completed, would constitute a Merger Event or Tender Offer, or the announcement by Counterparty of any intention to enter into a Merger Event or Tender Offer, (ii) the public announcement by Counterparty, any agent of Counterparty, any affiliate of Counterparty or a Valid Third Party Entity of any potential acquisition or disposition by Counterparty and/or its subsidiaries where the consideration exceeds 35% of the market capitalization of Counterparty as of the date of such announcement (a “</w:t>
            </w:r>
            <w:r>
              <w:rPr>
                <w:rFonts w:ascii="Times New Roman" w:hAnsi="Times New Roman"/>
                <w:b/>
                <w:sz w:val="20"/>
              </w:rPr>
              <w:t>Material Transaction</w:t>
            </w:r>
            <w:r>
              <w:rPr>
                <w:rFonts w:ascii="Times New Roman" w:hAnsi="Times New Roman"/>
                <w:sz w:val="20"/>
              </w:rPr>
              <w:t>”), (iii) the public announcement by Counterparty, any agent of Counterparty, any affiliate of Counterparty or a Valid Third Party Entity of an intention by Counterparty or such Valid Third Party Entity to solicit or enter into, or to explore strategic alternatives or other similar undertaking that may include, a Merger Event, Tender Offer or Material Transaction, or (iv) any subsequent public announcement by Counterparty, any agent of Counterparty, any affiliate of Counterparty or a Valid Third Party Entity of a change to a transaction or intention that is the subject of an announcement of the type described in clause (i), (ii) or (iii) of this sentence (including, without limitation, a new announcement relating to such a transaction or intention or the announcement of a withdrawal from, or the abandonment or discontinuation of, such a transaction or intention). For the avoidance of doubt, the occurrence of an Announcement Event with respect to any transaction or intention shall not preclude the occurrence of a later Announcement Event with respect to such transaction or intention. For purposes of this definition of “Announcement Event,”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64" w:name="ze8dc84e502134179a686b115d2f069ec"/>
      <w:bookmarkStart w:id="465" w:name="ze8dc84e502134179a686b115d2f069ec"/>
      <w:bookmarkEnd w:id="465"/>
    </w:p>
    <w:tbl>
      <w:tblPr>
        <w:tblW w:w="10205" w:type="dxa"/>
        <w:jc w:val="left"/>
        <w:tblInd w:w="0" w:type="dxa"/>
        <w:tblLayout w:type="fixed"/>
        <w:tblCellMar>
          <w:top w:w="0" w:type="dxa"/>
          <w:left w:w="0" w:type="dxa"/>
          <w:bottom w:w="0" w:type="dxa"/>
          <w:right w:w="0" w:type="dxa"/>
        </w:tblCellMar>
      </w:tblPr>
      <w:tblGrid>
        <w:gridCol w:w="60"/>
        <w:gridCol w:w="1467"/>
        <w:gridCol w:w="8678"/>
      </w:tblGrid>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Valid Third Party Entity:</w:t>
            </w:r>
          </w:p>
        </w:tc>
        <w:tc>
          <w:tcPr>
            <w:tcW w:w="86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 respect of any transaction or event, any third party that the Calculation Agent reasonably determines has a bona fide intent to enter into or consummate such transaction or event (or an affiliate or agent of such a third party) (it being understood and agreed that in making such a determination, the Calculation Agent may take into consideration the effect of the relevant announcement by such third party on the Shares and/or options relating to the Shares).</w:t>
            </w:r>
          </w:p>
        </w:tc>
      </w:tr>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867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Notice of Merger Consideration and </w:t>
            </w:r>
          </w:p>
          <w:p>
            <w:pPr>
              <w:pStyle w:val="TableContents"/>
              <w:bidi w:val="0"/>
              <w:spacing w:before="0" w:after="0"/>
              <w:jc w:val="left"/>
              <w:rPr>
                <w:rFonts w:ascii="Times New Roman" w:hAnsi="Times New Roman"/>
                <w:sz w:val="20"/>
              </w:rPr>
            </w:pPr>
            <w:r>
              <w:rPr>
                <w:rFonts w:ascii="Times New Roman" w:hAnsi="Times New Roman"/>
                <w:sz w:val="20"/>
              </w:rPr>
              <w:t>Consequences:</w:t>
            </w:r>
          </w:p>
        </w:tc>
        <w:tc>
          <w:tcPr>
            <w:tcW w:w="86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Upon the occurrence of a Merger Event that causes the Shares to be converted into the right to receive more than a single type of consideration (determined based in part upon any form of stockholder election), Counterparty shall reasonably promptly (but in any event prior to the relevant Merger Date) notify the Calculation Agent of (i) the type and amount of consideration that a holder of Shares would have been entitled to in the case of reclassifications, consolidations, mergers, sales or transfers of assets or other transactions that cause Shares to be converted into the right to receive more than a single type of consideration and (ii) the weighted average of the types and amounts of consideration to be received by the holders of Shares that affirmatively make such an election.</w:t>
            </w:r>
          </w:p>
        </w:tc>
      </w:tr>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867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Nationalization, Insolvency or Delisting:</w:t>
            </w:r>
          </w:p>
        </w:tc>
        <w:tc>
          <w:tcPr>
            <w:tcW w:w="86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Cancellation and Payment (Calculation Agent Determination); </w:t>
            </w:r>
            <w:r>
              <w:rPr>
                <w:rFonts w:ascii="Times New Roman" w:hAnsi="Times New Roman"/>
                <w:i/>
                <w:sz w:val="20"/>
              </w:rPr>
              <w:t>provided</w:t>
            </w:r>
            <w:r>
              <w:rPr>
                <w:rFonts w:ascii="Times New Roman" w:hAnsi="Times New Roman"/>
                <w:sz w:val="20"/>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8678" w:type="dxa"/>
            <w:tcBorders/>
            <w:vAlign w:val="center"/>
          </w:tcPr>
          <w:p>
            <w:pPr>
              <w:pStyle w:val="TableContents"/>
              <w:bidi w:val="0"/>
              <w:spacing w:before="0" w:after="283"/>
              <w:jc w:val="left"/>
              <w:rPr/>
            </w:pPr>
            <w:r>
              <w:rPr/>
              <w:t> </w:t>
            </w:r>
          </w:p>
        </w:tc>
      </w:tr>
      <w:tr>
        <w:trPr/>
        <w:tc>
          <w:tcPr>
            <w:tcW w:w="1527" w:type="dxa"/>
            <w:gridSpan w:val="2"/>
            <w:tcBorders/>
            <w:vAlign w:val="center"/>
          </w:tcPr>
          <w:p>
            <w:pPr>
              <w:pStyle w:val="TableContents"/>
              <w:bidi w:val="0"/>
              <w:spacing w:before="0" w:after="0"/>
              <w:jc w:val="left"/>
              <w:rPr>
                <w:rFonts w:ascii="Times New Roman;serif" w:hAnsi="Times New Roman;serif"/>
                <w:sz w:val="20"/>
              </w:rPr>
            </w:pPr>
            <w:r>
              <w:rPr>
                <w:rFonts w:ascii="Times New Roman" w:hAnsi="Times New Roman"/>
                <w:i/>
                <w:sz w:val="20"/>
                <w:u w:val="single"/>
              </w:rPr>
              <w:t>Additional Disruption Events</w:t>
            </w:r>
            <w:r>
              <w:rPr>
                <w:rFonts w:ascii="Times New Roman" w:hAnsi="Times New Roman"/>
                <w:sz w:val="20"/>
              </w:rPr>
              <w:t>:</w:t>
            </w:r>
          </w:p>
        </w:tc>
        <w:tc>
          <w:tcPr>
            <w:tcW w:w="8678" w:type="dxa"/>
            <w:tcBorders/>
            <w:vAlign w:val="center"/>
          </w:tcPr>
          <w:p>
            <w:pPr>
              <w:pStyle w:val="TableContents"/>
              <w:bidi w:val="0"/>
              <w:spacing w:before="0" w:after="283"/>
              <w:jc w:val="left"/>
              <w:rPr/>
            </w:pPr>
            <w:r>
              <w:rPr/>
              <w:t> </w:t>
            </w:r>
          </w:p>
        </w:tc>
      </w:tr>
      <w:tr>
        <w:trPr/>
        <w:tc>
          <w:tcPr>
            <w:tcW w:w="1527" w:type="dxa"/>
            <w:gridSpan w:val="2"/>
            <w:tcBorders/>
            <w:vAlign w:val="center"/>
          </w:tcPr>
          <w:p>
            <w:pPr>
              <w:pStyle w:val="TableContents"/>
              <w:bidi w:val="0"/>
              <w:spacing w:before="0" w:after="283"/>
              <w:jc w:val="left"/>
              <w:rPr/>
            </w:pPr>
            <w:r>
              <w:rPr/>
              <w:t> </w:t>
            </w:r>
          </w:p>
        </w:tc>
        <w:tc>
          <w:tcPr>
            <w:tcW w:w="867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Change in Law:</w:t>
            </w:r>
          </w:p>
        </w:tc>
        <w:tc>
          <w:tcPr>
            <w:tcW w:w="86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Applicable; </w:t>
            </w:r>
            <w:r>
              <w:rPr>
                <w:rFonts w:ascii="Times New Roman" w:hAnsi="Times New Roman"/>
                <w:i/>
                <w:sz w:val="20"/>
              </w:rPr>
              <w:t>provided</w:t>
            </w:r>
            <w:r>
              <w:rPr>
                <w:rFonts w:ascii="Times New Roman" w:hAnsi="Times New Roman"/>
                <w:sz w:val="20"/>
              </w:rPr>
              <w:t xml:space="preserve"> that Section 12.9(a)(ii) of the Equity Definitions is hereby amended by (i) replacing the phrase “the interpretation” in the third line thereof with the phrase “, or public announcement of, the formal or informal interpretation”, (ii) adding the phrase “and/or type of Applicable Hedge Positions” after the word “Shares” in clause (X) thereof, (iii) immediately following the word “Transaction” in clause (X) thereof, adding the phrase “in the manner that Dealer determines would have been contemplated by a Hypothetical Dealer on the Trade Date” and (iv) adding the words “</w:t>
            </w:r>
            <w:r>
              <w:rPr>
                <w:rFonts w:ascii="Times New Roman" w:hAnsi="Times New Roman"/>
                <w:i/>
                <w:sz w:val="20"/>
              </w:rPr>
              <w:t>provided</w:t>
            </w:r>
            <w:r>
              <w:rPr>
                <w:rFonts w:ascii="Times New Roman" w:hAnsi="Times New Roman"/>
                <w:sz w:val="20"/>
              </w:rPr>
              <w:t xml:space="preserve"> that, in the case of clause (Y) hereof and any law, regulation or interpretation, the consequence of such law, regulation or interpretation is applied consistently by Dealer to all of its similarly situated counterparties and/or similar transactions” after the semi-colon in the last line thereof; and </w:t>
            </w:r>
            <w:r>
              <w:rPr>
                <w:rFonts w:ascii="Times New Roman" w:hAnsi="Times New Roman"/>
                <w:i/>
                <w:sz w:val="20"/>
              </w:rPr>
              <w:t>provided further</w:t>
            </w:r>
            <w:r>
              <w:rPr>
                <w:rFonts w:ascii="Times New Roman" w:hAnsi="Times New Roman"/>
                <w:sz w:val="20"/>
              </w:rPr>
              <w:t xml:space="preserve"> that Section 12.9(a)(ii) of the Equity Definitions is hereby amended by (i)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adding the words “, or holding, acquiring or disposing of Shares or the Applicable Hedge Positions relating to,” after the words “obligations under” in clause (Y) thereof.</w:t>
            </w:r>
          </w:p>
        </w:tc>
      </w:tr>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867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Failure to Deliver:</w:t>
            </w:r>
          </w:p>
        </w:tc>
        <w:tc>
          <w:tcPr>
            <w:tcW w:w="86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Applicable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66" w:name="zb03ded05713448a685aa1da460e9a397"/>
      <w:bookmarkStart w:id="467" w:name="zb03ded05713448a685aa1da460e9a397"/>
      <w:bookmarkEnd w:id="467"/>
    </w:p>
    <w:tbl>
      <w:tblPr>
        <w:tblW w:w="10205" w:type="dxa"/>
        <w:jc w:val="left"/>
        <w:tblInd w:w="0" w:type="dxa"/>
        <w:tblLayout w:type="fixed"/>
        <w:tblCellMar>
          <w:top w:w="0" w:type="dxa"/>
          <w:left w:w="0" w:type="dxa"/>
          <w:bottom w:w="0" w:type="dxa"/>
          <w:right w:w="0" w:type="dxa"/>
        </w:tblCellMar>
      </w:tblPr>
      <w:tblGrid>
        <w:gridCol w:w="60"/>
        <w:gridCol w:w="1568"/>
        <w:gridCol w:w="8577"/>
      </w:tblGrid>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 Insolvency Filing:</w:t>
            </w:r>
          </w:p>
        </w:tc>
        <w:tc>
          <w:tcPr>
            <w:tcW w:w="85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Applicable</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857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Hedging Disruption:</w:t>
            </w:r>
          </w:p>
        </w:tc>
        <w:tc>
          <w:tcPr>
            <w:tcW w:w="85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Applicable; </w:t>
            </w:r>
            <w:r>
              <w:rPr>
                <w:rFonts w:ascii="Times New Roman" w:hAnsi="Times New Roman"/>
                <w:i/>
                <w:sz w:val="20"/>
              </w:rPr>
              <w:t>provided</w:t>
            </w:r>
            <w:r>
              <w:rPr>
                <w:rFonts w:ascii="Times New Roman" w:hAnsi="Times New Roman"/>
                <w:sz w:val="20"/>
              </w:rPr>
              <w:t xml:space="preserve"> that “Hedging Disruption” shall be amended in its entirety to mean that the Hedging Party determines that a Hypothetical Dealer would be unable, after using commercially reasonable efforts to (A) acquire, establish, re-establish, substitute, maintain, unwind or dispose of any transaction(s) or asset(s) it deems necessary to hedge the equity price risk of entering into and performing its obligations with respect to the Transaction, or (B) realize, recover or remit the proceeds of any such transaction(s) or asset(s), </w:t>
            </w:r>
            <w:r>
              <w:rPr>
                <w:rFonts w:ascii="Times New Roman" w:hAnsi="Times New Roman"/>
                <w:i/>
                <w:sz w:val="20"/>
              </w:rPr>
              <w:t>provided</w:t>
            </w:r>
            <w:r>
              <w:rPr>
                <w:rFonts w:ascii="Times New Roman" w:hAnsi="Times New Roman"/>
                <w:sz w:val="20"/>
              </w:rPr>
              <w:t xml:space="preserve"> that any such inability that (1) is incurred solely due to the deterioration of the creditworthiness of the Hedging Party, or (2) arises solely as a result of a failure of a system within the control of the Hedging Party, shall not be deemed a Hedging Disruption, and, for the avoidance of doubt, (x) the term “equity price risk” shall be deemed to include, but shall not be limited to, stock price and volatility risk, and (y) the transactions or assets referred to in phrases (A) or (B) above must be available on commercially reasonable pricing and other terms; </w:t>
            </w:r>
            <w:r>
              <w:rPr>
                <w:rFonts w:ascii="Times New Roman" w:hAnsi="Times New Roman"/>
                <w:i/>
                <w:sz w:val="20"/>
              </w:rPr>
              <w:t>provided</w:t>
            </w:r>
            <w:r>
              <w:rPr>
                <w:rFonts w:ascii="Times New Roman" w:hAnsi="Times New Roman"/>
                <w:sz w:val="20"/>
              </w:rPr>
              <w:t> </w:t>
            </w:r>
            <w:r>
              <w:rPr>
                <w:rFonts w:ascii="Times New Roman" w:hAnsi="Times New Roman"/>
                <w:i/>
                <w:sz w:val="20"/>
              </w:rPr>
              <w:t>further</w:t>
            </w:r>
            <w:r>
              <w:rPr>
                <w:rFonts w:ascii="Times New Roman" w:hAnsi="Times New Roman"/>
                <w:sz w:val="20"/>
              </w:rPr>
              <w:t xml:space="preserve"> that Section 12.9(b)(iii) of the Equity Definitions is hereby amended by inserting in the third line thereof, after the words “to terminate the Transaction”, the words “or a portion of the Transaction affected by such Hedging Disruption”.</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857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 Increased Cost of Hedging:</w:t>
            </w:r>
          </w:p>
        </w:tc>
        <w:tc>
          <w:tcPr>
            <w:tcW w:w="85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Not Applicable</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8577" w:type="dxa"/>
            <w:tcBorders/>
            <w:vAlign w:val="center"/>
          </w:tcPr>
          <w:p>
            <w:pPr>
              <w:pStyle w:val="TableContents"/>
              <w:bidi w:val="0"/>
              <w:spacing w:before="0" w:after="283"/>
              <w:jc w:val="left"/>
              <w:rPr/>
            </w:pPr>
            <w:r>
              <w:rPr/>
              <w:t> </w:t>
            </w:r>
          </w:p>
        </w:tc>
      </w:tr>
      <w:tr>
        <w:trPr/>
        <w:tc>
          <w:tcPr>
            <w:tcW w:w="1628"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Hedging Party:</w:t>
            </w:r>
          </w:p>
        </w:tc>
        <w:tc>
          <w:tcPr>
            <w:tcW w:w="85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Dealer</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8577" w:type="dxa"/>
            <w:tcBorders/>
            <w:vAlign w:val="center"/>
          </w:tcPr>
          <w:p>
            <w:pPr>
              <w:pStyle w:val="TableContents"/>
              <w:bidi w:val="0"/>
              <w:spacing w:before="0" w:after="283"/>
              <w:jc w:val="left"/>
              <w:rPr/>
            </w:pPr>
            <w:r>
              <w:rPr/>
              <w:t> </w:t>
            </w:r>
          </w:p>
        </w:tc>
      </w:tr>
      <w:tr>
        <w:trPr/>
        <w:tc>
          <w:tcPr>
            <w:tcW w:w="1628"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Determining Party:</w:t>
            </w:r>
          </w:p>
        </w:tc>
        <w:tc>
          <w:tcPr>
            <w:tcW w:w="85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all applicable Extraordinary Events, Dealer; </w:t>
            </w:r>
            <w:r>
              <w:rPr>
                <w:rFonts w:ascii="Times New Roman" w:hAnsi="Times New Roman"/>
                <w:i/>
                <w:sz w:val="20"/>
              </w:rPr>
              <w:t>provided</w:t>
            </w:r>
            <w:r>
              <w:rPr>
                <w:rFonts w:ascii="Times New Roman" w:hAnsi="Times New Roman"/>
                <w:sz w:val="20"/>
              </w:rPr>
              <w:t xml:space="preserve"> that, when making any determination or calculation as “Determining Party,” Dealer shall be bound by the same obligations relating to required acts of the Calculation Agent as set forth in Section 1.40 of the Equity Definitions and this Confirmation as if Determining Party were the Calculation Agent.</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20"/>
              </w:rPr>
            </w:pPr>
            <w:r>
              <w:rPr>
                <w:rFonts w:ascii="Times New Roman" w:hAnsi="Times New Roman"/>
                <w:sz w:val="20"/>
              </w:rPr>
              <w:t>Following any determination or calculation by Determining Party hereunder, upon a written request by Counterparty, Determining Party will promptly (but in any event within five Scheduled Trading Days) provide to Counterparty in writing a report (in a commonly used file format for the storage and manipulation of financial data) displaying in reasonable detail the basis for such determination or calculation (including any assumptions used in making such determination or calculation), it being understood that in no event will Determining Party be obligated to share with Counterparty any proprietary or confidential data or information or any proprietary or confidential models used by it in making such determination or calculation or any information that is subject to an obligation not to disclose such information.</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8577" w:type="dxa"/>
            <w:tcBorders/>
            <w:vAlign w:val="center"/>
          </w:tcPr>
          <w:p>
            <w:pPr>
              <w:pStyle w:val="TableContents"/>
              <w:bidi w:val="0"/>
              <w:spacing w:before="0" w:after="283"/>
              <w:jc w:val="left"/>
              <w:rPr/>
            </w:pPr>
            <w:r>
              <w:rPr/>
              <w:t> </w:t>
            </w:r>
          </w:p>
        </w:tc>
      </w:tr>
      <w:tr>
        <w:trPr/>
        <w:tc>
          <w:tcPr>
            <w:tcW w:w="1628"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Non-Reliance:</w:t>
            </w:r>
          </w:p>
        </w:tc>
        <w:tc>
          <w:tcPr>
            <w:tcW w:w="85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Applicable</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8577" w:type="dxa"/>
            <w:tcBorders/>
            <w:vAlign w:val="center"/>
          </w:tcPr>
          <w:p>
            <w:pPr>
              <w:pStyle w:val="TableContents"/>
              <w:bidi w:val="0"/>
              <w:spacing w:before="0" w:after="283"/>
              <w:jc w:val="left"/>
              <w:rPr/>
            </w:pPr>
            <w:r>
              <w:rPr/>
              <w:t> </w:t>
            </w:r>
          </w:p>
        </w:tc>
      </w:tr>
      <w:tr>
        <w:trPr/>
        <w:tc>
          <w:tcPr>
            <w:tcW w:w="1628"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Agreements and Acknowledgments </w:t>
            </w:r>
          </w:p>
          <w:p>
            <w:pPr>
              <w:pStyle w:val="TableContents"/>
              <w:bidi w:val="0"/>
              <w:spacing w:before="0" w:after="0"/>
              <w:jc w:val="left"/>
              <w:rPr>
                <w:rFonts w:ascii="Times New Roman" w:hAnsi="Times New Roman"/>
                <w:sz w:val="20"/>
              </w:rPr>
            </w:pPr>
            <w:r>
              <w:rPr>
                <w:rFonts w:ascii="Times New Roman" w:hAnsi="Times New Roman"/>
                <w:sz w:val="20"/>
              </w:rPr>
              <w:t>Regarding Hedging Activities:</w:t>
            </w:r>
          </w:p>
        </w:tc>
        <w:tc>
          <w:tcPr>
            <w:tcW w:w="85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Applicable</w:t>
            </w:r>
          </w:p>
        </w:tc>
      </w:tr>
      <w:tr>
        <w:trPr/>
        <w:tc>
          <w:tcPr>
            <w:tcW w:w="6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8577" w:type="dxa"/>
            <w:tcBorders/>
            <w:vAlign w:val="center"/>
          </w:tcPr>
          <w:p>
            <w:pPr>
              <w:pStyle w:val="TableContents"/>
              <w:bidi w:val="0"/>
              <w:spacing w:before="0" w:after="283"/>
              <w:jc w:val="left"/>
              <w:rPr/>
            </w:pPr>
            <w:r>
              <w:rPr/>
              <w:t> </w:t>
            </w:r>
          </w:p>
        </w:tc>
      </w:tr>
      <w:tr>
        <w:trPr/>
        <w:tc>
          <w:tcPr>
            <w:tcW w:w="1628"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Acknowledgments:</w:t>
            </w:r>
          </w:p>
        </w:tc>
        <w:tc>
          <w:tcPr>
            <w:tcW w:w="85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Applicable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68" w:name="za024d84da12b4a4c81463edd0813239b"/>
      <w:bookmarkStart w:id="469" w:name="za024d84da12b4a4c81463edd0813239b"/>
      <w:bookmarkEnd w:id="469"/>
    </w:p>
    <w:tbl>
      <w:tblPr>
        <w:tblW w:w="10205" w:type="dxa"/>
        <w:jc w:val="left"/>
        <w:tblInd w:w="0" w:type="dxa"/>
        <w:tblLayout w:type="fixed"/>
        <w:tblCellMar>
          <w:top w:w="0" w:type="dxa"/>
          <w:left w:w="0" w:type="dxa"/>
          <w:bottom w:w="0" w:type="dxa"/>
          <w:right w:w="0" w:type="dxa"/>
        </w:tblCellMar>
      </w:tblPr>
      <w:tblGrid>
        <w:gridCol w:w="1097"/>
        <w:gridCol w:w="9108"/>
      </w:tblGrid>
      <w:tr>
        <w:trPr/>
        <w:tc>
          <w:tcPr>
            <w:tcW w:w="1097"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color w:val="000000"/>
                <w:sz w:val="20"/>
              </w:rPr>
              <w:t xml:space="preserve">3. </w:t>
            </w:r>
            <w:r>
              <w:rPr>
                <w:rFonts w:ascii="Times New Roman" w:hAnsi="Times New Roman"/>
                <w:b/>
                <w:sz w:val="20"/>
                <w:u w:val="single"/>
              </w:rPr>
              <w:t>Calculation Agent</w:t>
            </w:r>
            <w:r>
              <w:rPr>
                <w:rFonts w:ascii="Times New Roman" w:hAnsi="Times New Roman"/>
                <w:sz w:val="20"/>
              </w:rPr>
              <w:t>:</w:t>
            </w:r>
          </w:p>
        </w:tc>
        <w:tc>
          <w:tcPr>
            <w:tcW w:w="91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Dealer; </w:t>
            </w:r>
            <w:r>
              <w:rPr>
                <w:rFonts w:ascii="Times New Roman" w:hAnsi="Times New Roman"/>
                <w:i/>
                <w:sz w:val="20"/>
              </w:rPr>
              <w:t>provided</w:t>
            </w:r>
            <w:r>
              <w:rPr>
                <w:rFonts w:ascii="Times New Roman" w:hAnsi="Times New Roman"/>
                <w:sz w:val="20"/>
              </w:rPr>
              <w:t xml:space="preserve"> that, following the occurrence and during the continuance of an Event of Default pursuant to Section 5(a)(vii) of the Agreement with respect to which Dealer is the sole Defaulting Party, Counterparty shall have the right to designate a nationally recognized third party dealer in over-the-counter corporate equity derivatives to replace Dealer as the Calculation Agent, and the parties shall work in good faith to execute any appropriate documentation required by such replacement Calculation Agent.</w:t>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Following any adjustment, determination or calculation by the Calculation Agent hereunder, upon a written request by Counterparty, the Calculation Agent will promptly (but in any event within five Scheduled Trading Days) provide to Counterparty in writing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tc>
      </w:tr>
    </w:tbl>
    <w:p>
      <w:pPr>
        <w:pStyle w:val="TextBody"/>
        <w:bidi w:val="0"/>
        <w:spacing w:before="0" w:after="0"/>
        <w:ind w:left="4140" w:right="0" w:hanging="0"/>
        <w:jc w:val="both"/>
        <w:rPr>
          <w:rFonts w:ascii="Times New Roman" w:hAnsi="Times New Roman"/>
        </w:rPr>
      </w:pPr>
      <w:r>
        <w:rPr>
          <w:rFonts w:ascii="Times New Roman" w:hAnsi="Times New Roman"/>
        </w:rPr>
      </w:r>
    </w:p>
    <w:p>
      <w:pPr>
        <w:pStyle w:val="TextBody"/>
        <w:bidi w:val="0"/>
        <w:spacing w:before="0" w:after="0"/>
        <w:jc w:val="left"/>
        <w:rPr>
          <w:rFonts w:ascii="Times New Roman;serif" w:hAnsi="Times New Roman;serif"/>
          <w:color w:val="000000"/>
          <w:sz w:val="20"/>
        </w:rPr>
      </w:pPr>
      <w:r>
        <w:rPr>
          <w:rFonts w:ascii="Times New Roman" w:hAnsi="Times New Roman"/>
          <w:color w:val="000000"/>
          <w:sz w:val="20"/>
        </w:rPr>
        <w:t xml:space="preserve">4. </w:t>
      </w:r>
      <w:r>
        <w:rPr>
          <w:rFonts w:ascii="Times New Roman" w:hAnsi="Times New Roman"/>
          <w:b/>
          <w:color w:val="000000"/>
          <w:sz w:val="20"/>
          <w:u w:val="single"/>
        </w:rPr>
        <w:t>Account Details</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Dealer Payment Instructions:</w:t>
      </w:r>
    </w:p>
    <w:p>
      <w:pPr>
        <w:pStyle w:val="TextBody"/>
        <w:bidi w:val="0"/>
        <w:spacing w:before="0" w:after="0"/>
        <w:ind w:left="1440" w:right="0" w:hanging="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70" w:name="z45dda9ead47c4f419e40592fc54fba10"/>
      <w:bookmarkStart w:id="471" w:name="z45dda9ead47c4f419e40592fc54fba10"/>
      <w:bookmarkEnd w:id="471"/>
    </w:p>
    <w:tbl>
      <w:tblPr>
        <w:tblW w:w="1773" w:type="dxa"/>
        <w:jc w:val="left"/>
        <w:tblInd w:w="0" w:type="dxa"/>
        <w:tblLayout w:type="fixed"/>
        <w:tblCellMar>
          <w:top w:w="0" w:type="dxa"/>
          <w:left w:w="0" w:type="dxa"/>
          <w:bottom w:w="0" w:type="dxa"/>
          <w:right w:w="0" w:type="dxa"/>
        </w:tblCellMar>
      </w:tblPr>
      <w:tblGrid>
        <w:gridCol w:w="38"/>
        <w:gridCol w:w="635"/>
        <w:gridCol w:w="110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6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[Bank:]</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w:t>
            </w:r>
          </w:p>
        </w:tc>
      </w:tr>
    </w:tbl>
    <w:p>
      <w:pPr>
        <w:pStyle w:val="Normal"/>
        <w:bidi w:val="0"/>
        <w:spacing w:before="0" w:after="0"/>
        <w:jc w:val="left"/>
        <w:rPr>
          <w:sz w:val="4"/>
          <w:szCs w:val="4"/>
        </w:rPr>
      </w:pPr>
      <w:r>
        <w:rPr>
          <w:sz w:val="4"/>
          <w:szCs w:val="4"/>
        </w:rPr>
      </w:r>
      <w:bookmarkStart w:id="472" w:name="z018120af8ff8482496238aaa9abe54c1"/>
      <w:bookmarkStart w:id="473" w:name="z018120af8ff8482496238aaa9abe54c1"/>
      <w:bookmarkEnd w:id="473"/>
    </w:p>
    <w:tbl>
      <w:tblPr>
        <w:tblW w:w="1908" w:type="dxa"/>
        <w:jc w:val="left"/>
        <w:tblInd w:w="0" w:type="dxa"/>
        <w:tblLayout w:type="fixed"/>
        <w:tblCellMar>
          <w:top w:w="0" w:type="dxa"/>
          <w:left w:w="0" w:type="dxa"/>
          <w:bottom w:w="0" w:type="dxa"/>
          <w:right w:w="0" w:type="dxa"/>
        </w:tblCellMar>
      </w:tblPr>
      <w:tblGrid>
        <w:gridCol w:w="38"/>
        <w:gridCol w:w="770"/>
        <w:gridCol w:w="110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7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[SWIFT:]</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w:t>
            </w:r>
          </w:p>
        </w:tc>
      </w:tr>
    </w:tbl>
    <w:p>
      <w:pPr>
        <w:pStyle w:val="Normal"/>
        <w:bidi w:val="0"/>
        <w:spacing w:before="0" w:after="0"/>
        <w:jc w:val="left"/>
        <w:rPr>
          <w:sz w:val="4"/>
          <w:szCs w:val="4"/>
        </w:rPr>
      </w:pPr>
      <w:r>
        <w:rPr>
          <w:sz w:val="4"/>
          <w:szCs w:val="4"/>
        </w:rPr>
      </w:r>
      <w:bookmarkStart w:id="474" w:name="z74b00bb595944f82b83a156cad43b59c"/>
      <w:bookmarkStart w:id="475" w:name="z74b00bb595944f82b83a156cad43b59c"/>
      <w:bookmarkEnd w:id="475"/>
    </w:p>
    <w:tbl>
      <w:tblPr>
        <w:tblW w:w="2493" w:type="dxa"/>
        <w:jc w:val="left"/>
        <w:tblInd w:w="0" w:type="dxa"/>
        <w:tblLayout w:type="fixed"/>
        <w:tblCellMar>
          <w:top w:w="0" w:type="dxa"/>
          <w:left w:w="0" w:type="dxa"/>
          <w:bottom w:w="0" w:type="dxa"/>
          <w:right w:w="0" w:type="dxa"/>
        </w:tblCellMar>
      </w:tblPr>
      <w:tblGrid>
        <w:gridCol w:w="38"/>
        <w:gridCol w:w="1355"/>
        <w:gridCol w:w="110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3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[Bank Routing:]</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w:t>
            </w:r>
          </w:p>
        </w:tc>
      </w:tr>
    </w:tbl>
    <w:p>
      <w:pPr>
        <w:pStyle w:val="Normal"/>
        <w:bidi w:val="0"/>
        <w:spacing w:before="0" w:after="0"/>
        <w:jc w:val="left"/>
        <w:rPr>
          <w:sz w:val="4"/>
          <w:szCs w:val="4"/>
        </w:rPr>
      </w:pPr>
      <w:r>
        <w:rPr>
          <w:sz w:val="4"/>
          <w:szCs w:val="4"/>
        </w:rPr>
      </w:r>
      <w:bookmarkStart w:id="476" w:name="zd5259b91c37f4b2fa940e2b017a215b9"/>
      <w:bookmarkStart w:id="477" w:name="zd5259b91c37f4b2fa940e2b017a215b9"/>
      <w:bookmarkEnd w:id="477"/>
    </w:p>
    <w:tbl>
      <w:tblPr>
        <w:tblW w:w="2223" w:type="dxa"/>
        <w:jc w:val="left"/>
        <w:tblInd w:w="0" w:type="dxa"/>
        <w:tblLayout w:type="fixed"/>
        <w:tblCellMar>
          <w:top w:w="0" w:type="dxa"/>
          <w:left w:w="0" w:type="dxa"/>
          <w:bottom w:w="0" w:type="dxa"/>
          <w:right w:w="0" w:type="dxa"/>
        </w:tblCellMar>
      </w:tblPr>
      <w:tblGrid>
        <w:gridCol w:w="38"/>
        <w:gridCol w:w="1085"/>
        <w:gridCol w:w="110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0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[Acct Name:]</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w:t>
            </w:r>
          </w:p>
        </w:tc>
      </w:tr>
    </w:tbl>
    <w:p>
      <w:pPr>
        <w:pStyle w:val="Normal"/>
        <w:bidi w:val="0"/>
        <w:spacing w:before="0" w:after="0"/>
        <w:jc w:val="left"/>
        <w:rPr>
          <w:sz w:val="4"/>
          <w:szCs w:val="4"/>
        </w:rPr>
      </w:pPr>
      <w:r>
        <w:rPr>
          <w:sz w:val="4"/>
          <w:szCs w:val="4"/>
        </w:rPr>
      </w:r>
      <w:bookmarkStart w:id="478" w:name="z3a3b90a64b204b53b83792748040e928"/>
      <w:bookmarkStart w:id="479" w:name="z3a3b90a64b204b53b83792748040e928"/>
      <w:bookmarkEnd w:id="479"/>
    </w:p>
    <w:tbl>
      <w:tblPr>
        <w:tblW w:w="2043" w:type="dxa"/>
        <w:jc w:val="left"/>
        <w:tblInd w:w="0" w:type="dxa"/>
        <w:tblLayout w:type="fixed"/>
        <w:tblCellMar>
          <w:top w:w="0" w:type="dxa"/>
          <w:left w:w="0" w:type="dxa"/>
          <w:bottom w:w="0" w:type="dxa"/>
          <w:right w:w="0" w:type="dxa"/>
        </w:tblCellMar>
      </w:tblPr>
      <w:tblGrid>
        <w:gridCol w:w="38"/>
        <w:gridCol w:w="905"/>
        <w:gridCol w:w="110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9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[Acct No.:]</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Counterparty Payment Instructions: To be advised.</w:t>
      </w:r>
    </w:p>
    <w:p>
      <w:pPr>
        <w:pStyle w:val="TextBody"/>
        <w:bidi w:val="0"/>
        <w:spacing w:before="0" w:after="0"/>
        <w:ind w:left="1440" w:right="0" w:hanging="0"/>
        <w:jc w:val="left"/>
        <w:rPr>
          <w:rFonts w:ascii="Times New Roman" w:hAnsi="Times New Roman"/>
        </w:rPr>
      </w:pPr>
      <w:r>
        <w:rPr>
          <w:rFonts w:ascii="Times New Roman" w:hAnsi="Times New Roman"/>
        </w:rPr>
      </w:r>
    </w:p>
    <w:p>
      <w:pPr>
        <w:pStyle w:val="TextBody"/>
        <w:bidi w:val="0"/>
        <w:spacing w:before="0" w:after="0"/>
        <w:jc w:val="left"/>
        <w:rPr>
          <w:rFonts w:ascii="Times New Roman;serif" w:hAnsi="Times New Roman;serif"/>
          <w:color w:val="000000"/>
          <w:sz w:val="20"/>
        </w:rPr>
      </w:pPr>
      <w:r>
        <w:rPr>
          <w:rFonts w:ascii="Times New Roman" w:hAnsi="Times New Roman"/>
          <w:color w:val="000000"/>
          <w:sz w:val="20"/>
        </w:rPr>
        <w:t xml:space="preserve">5. </w:t>
      </w:r>
      <w:r>
        <w:rPr>
          <w:rFonts w:ascii="Times New Roman" w:hAnsi="Times New Roman"/>
          <w:b/>
          <w:color w:val="000000"/>
          <w:sz w:val="20"/>
          <w:u w:val="single"/>
        </w:rPr>
        <w:t>Offices</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The Office of Dealer for the Transaction is: [____________]</w:t>
      </w:r>
    </w:p>
    <w:p>
      <w:pPr>
        <w:pStyle w:val="TextBody"/>
        <w:bidi w:val="0"/>
        <w:spacing w:before="0" w:after="0"/>
        <w:ind w:left="1440" w:right="0" w:hanging="0"/>
        <w:jc w:val="left"/>
        <w:rPr>
          <w:rFonts w:ascii="Times New Roman" w:hAnsi="Times New Roman"/>
        </w:rPr>
      </w:pPr>
      <w:r>
        <w:rPr>
          <w:rFonts w:ascii="Times New Roman" w:hAnsi="Times New Roman"/>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The Office of Counterparty for the Transaction is: Inapplicable, Counterparty is not a Multibranch Party.</w:t>
      </w:r>
    </w:p>
    <w:p>
      <w:pPr>
        <w:pStyle w:val="TextBody"/>
        <w:bidi w:val="0"/>
        <w:spacing w:before="0" w:after="0"/>
        <w:ind w:left="1440" w:right="0" w:hanging="0"/>
        <w:jc w:val="left"/>
        <w:rPr>
          <w:rFonts w:ascii="Times New Roman" w:hAnsi="Times New Roman"/>
        </w:rPr>
      </w:pPr>
      <w:r>
        <w:rPr>
          <w:rFonts w:ascii="Times New Roman" w:hAnsi="Times New Roman"/>
        </w:rPr>
      </w:r>
    </w:p>
    <w:p>
      <w:pPr>
        <w:pStyle w:val="TextBody"/>
        <w:bidi w:val="0"/>
        <w:spacing w:before="0" w:after="0"/>
        <w:jc w:val="left"/>
        <w:rPr>
          <w:rFonts w:ascii="Times New Roman;serif" w:hAnsi="Times New Roman;serif"/>
          <w:color w:val="000000"/>
          <w:sz w:val="20"/>
        </w:rPr>
      </w:pPr>
      <w:r>
        <w:rPr>
          <w:rFonts w:ascii="Times New Roman" w:hAnsi="Times New Roman"/>
          <w:color w:val="000000"/>
          <w:sz w:val="20"/>
        </w:rPr>
        <w:t xml:space="preserve">6. </w:t>
      </w:r>
      <w:r>
        <w:rPr>
          <w:rFonts w:ascii="Times New Roman" w:hAnsi="Times New Roman"/>
          <w:b/>
          <w:color w:val="000000"/>
          <w:sz w:val="20"/>
          <w:u w:val="single"/>
        </w:rPr>
        <w:t>Notices</w:t>
      </w:r>
      <w:r>
        <w:rPr>
          <w:rFonts w:ascii="Times New Roman" w:hAnsi="Times New Roman"/>
          <w:color w:val="000000"/>
          <w:sz w:val="20"/>
        </w:rPr>
        <w:t>: For purposes of this Confirmation: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Address for notices or communications to Counterparty:</w:t>
      </w:r>
    </w:p>
    <w:p>
      <w:pPr>
        <w:pStyle w:val="TextBody"/>
        <w:bidi w:val="0"/>
        <w:spacing w:before="0" w:after="0"/>
        <w:ind w:left="0" w:right="0" w:firstLine="720"/>
        <w:jc w:val="left"/>
        <w:rPr>
          <w:rFonts w:ascii="Times New Roman" w:hAnsi="Times New Roman"/>
          <w:color w:val="000000"/>
        </w:rPr>
      </w:pPr>
      <w:r>
        <w:rPr>
          <w:rFonts w:ascii="Times New Roman" w:hAnsi="Times New Roman"/>
          <w:color w:val="000000"/>
        </w:rPr>
      </w:r>
    </w:p>
    <w:p>
      <w:pPr>
        <w:pStyle w:val="Normal"/>
        <w:bidi w:val="0"/>
        <w:spacing w:before="0" w:after="0"/>
        <w:jc w:val="left"/>
        <w:rPr>
          <w:sz w:val="4"/>
          <w:szCs w:val="4"/>
        </w:rPr>
      </w:pPr>
      <w:r>
        <w:rPr>
          <w:sz w:val="4"/>
          <w:szCs w:val="4"/>
        </w:rPr>
      </w:r>
      <w:bookmarkStart w:id="480" w:name="z2a331fe998c4410da0f681157231c697"/>
      <w:bookmarkStart w:id="481" w:name="z2a331fe998c4410da0f681157231c697"/>
      <w:bookmarkEnd w:id="481"/>
    </w:p>
    <w:tbl>
      <w:tblPr>
        <w:tblW w:w="1518" w:type="dxa"/>
        <w:jc w:val="left"/>
        <w:tblInd w:w="0" w:type="dxa"/>
        <w:tblLayout w:type="fixed"/>
        <w:tblCellMar>
          <w:top w:w="0" w:type="dxa"/>
          <w:left w:w="0" w:type="dxa"/>
          <w:bottom w:w="0" w:type="dxa"/>
          <w:right w:w="0" w:type="dxa"/>
        </w:tblCellMar>
      </w:tblPr>
      <w:tblGrid>
        <w:gridCol w:w="38"/>
        <w:gridCol w:w="305"/>
        <w:gridCol w:w="117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To:</w:t>
            </w:r>
          </w:p>
        </w:tc>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IREN Limited</w:t>
            </w:r>
          </w:p>
        </w:tc>
      </w:tr>
    </w:tbl>
    <w:p>
      <w:pPr>
        <w:pStyle w:val="TextBody"/>
        <w:bidi w:val="0"/>
        <w:spacing w:before="0" w:after="0"/>
        <w:ind w:left="0" w:right="0" w:firstLine="2880"/>
        <w:jc w:val="left"/>
        <w:rPr>
          <w:rFonts w:ascii="Times New Roman" w:hAnsi="Times New Roman"/>
          <w:color w:val="000000"/>
          <w:sz w:val="20"/>
        </w:rPr>
      </w:pPr>
      <w:r>
        <w:rPr>
          <w:rFonts w:ascii="Times New Roman" w:hAnsi="Times New Roman"/>
          <w:color w:val="000000"/>
          <w:sz w:val="20"/>
        </w:rPr>
        <w:t>Level 6, 55 Market Street</w:t>
      </w:r>
    </w:p>
    <w:p>
      <w:pPr>
        <w:pStyle w:val="TextBody"/>
        <w:bidi w:val="0"/>
        <w:spacing w:before="0" w:after="0"/>
        <w:ind w:left="1440" w:right="0" w:firstLine="1440"/>
        <w:jc w:val="left"/>
        <w:rPr>
          <w:rFonts w:ascii="Times New Roman" w:hAnsi="Times New Roman"/>
          <w:color w:val="000000"/>
          <w:sz w:val="20"/>
        </w:rPr>
      </w:pPr>
      <w:r>
        <w:rPr>
          <w:rFonts w:ascii="Times New Roman" w:hAnsi="Times New Roman"/>
          <w:color w:val="000000"/>
          <w:sz w:val="20"/>
        </w:rPr>
        <w:t>Sydney, NSW 2000 Australia</w:t>
      </w:r>
    </w:p>
    <w:p>
      <w:pPr>
        <w:pStyle w:val="Normal"/>
        <w:bidi w:val="0"/>
        <w:spacing w:before="0" w:after="0"/>
        <w:jc w:val="left"/>
        <w:rPr>
          <w:sz w:val="4"/>
          <w:szCs w:val="4"/>
        </w:rPr>
      </w:pPr>
      <w:r>
        <w:rPr>
          <w:sz w:val="4"/>
          <w:szCs w:val="4"/>
        </w:rPr>
      </w:r>
      <w:bookmarkStart w:id="482" w:name="zcae741adbf3b4fd89933be75d0802941"/>
      <w:bookmarkStart w:id="483" w:name="zcae741adbf3b4fd89933be75d0802941"/>
      <w:bookmarkEnd w:id="483"/>
    </w:p>
    <w:tbl>
      <w:tblPr>
        <w:tblW w:w="1068" w:type="dxa"/>
        <w:jc w:val="left"/>
        <w:tblInd w:w="0" w:type="dxa"/>
        <w:tblLayout w:type="fixed"/>
        <w:tblCellMar>
          <w:top w:w="0" w:type="dxa"/>
          <w:left w:w="0" w:type="dxa"/>
          <w:bottom w:w="0" w:type="dxa"/>
          <w:right w:w="0" w:type="dxa"/>
        </w:tblCellMar>
      </w:tblPr>
      <w:tblGrid>
        <w:gridCol w:w="38"/>
        <w:gridCol w:w="560"/>
        <w:gridCol w:w="47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5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Email:</w:t>
            </w:r>
          </w:p>
        </w:tc>
        <w:tc>
          <w:tcPr>
            <w:tcW w:w="4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Address for notices or communications to Dealer:</w:t>
      </w:r>
    </w:p>
    <w:p>
      <w:pPr>
        <w:pStyle w:val="TextBody"/>
        <w:bidi w:val="0"/>
        <w:spacing w:before="0" w:after="0"/>
        <w:ind w:left="0" w:right="0" w:firstLine="720"/>
        <w:jc w:val="left"/>
        <w:rPr>
          <w:rFonts w:ascii="Times New Roman" w:hAnsi="Times New Roman"/>
          <w:color w:val="000000"/>
        </w:rPr>
      </w:pPr>
      <w:r>
        <w:rPr>
          <w:rFonts w:ascii="Times New Roman" w:hAnsi="Times New Roman"/>
          <w:color w:val="000000"/>
        </w:rPr>
      </w:r>
    </w:p>
    <w:p>
      <w:pPr>
        <w:pStyle w:val="Normal"/>
        <w:bidi w:val="0"/>
        <w:spacing w:before="0" w:after="0"/>
        <w:jc w:val="left"/>
        <w:rPr>
          <w:sz w:val="4"/>
          <w:szCs w:val="4"/>
        </w:rPr>
      </w:pPr>
      <w:r>
        <w:rPr>
          <w:sz w:val="4"/>
          <w:szCs w:val="4"/>
        </w:rPr>
      </w:r>
      <w:bookmarkStart w:id="484" w:name="z2424a27fd4b34dfbbfcb373fd84b1b1c"/>
      <w:bookmarkStart w:id="485" w:name="z2424a27fd4b34dfbbfcb373fd84b1b1c"/>
      <w:bookmarkEnd w:id="485"/>
    </w:p>
    <w:tbl>
      <w:tblPr>
        <w:tblW w:w="1758" w:type="dxa"/>
        <w:jc w:val="left"/>
        <w:tblInd w:w="0" w:type="dxa"/>
        <w:tblLayout w:type="fixed"/>
        <w:tblCellMar>
          <w:top w:w="0" w:type="dxa"/>
          <w:left w:w="0" w:type="dxa"/>
          <w:bottom w:w="0" w:type="dxa"/>
          <w:right w:w="0" w:type="dxa"/>
        </w:tblCellMar>
      </w:tblPr>
      <w:tblGrid>
        <w:gridCol w:w="38"/>
        <w:gridCol w:w="305"/>
        <w:gridCol w:w="141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To:</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[____________]</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86" w:name="z59e05596e539415fa910e6484c3a6355"/>
      <w:bookmarkStart w:id="487" w:name="z59e05596e539415fa910e6484c3a6355"/>
      <w:bookmarkEnd w:id="487"/>
    </w:p>
    <w:tbl>
      <w:tblPr>
        <w:tblW w:w="2313" w:type="dxa"/>
        <w:jc w:val="left"/>
        <w:tblInd w:w="0" w:type="dxa"/>
        <w:tblLayout w:type="fixed"/>
        <w:tblCellMar>
          <w:top w:w="0" w:type="dxa"/>
          <w:left w:w="0" w:type="dxa"/>
          <w:bottom w:w="0" w:type="dxa"/>
          <w:right w:w="0" w:type="dxa"/>
        </w:tblCellMar>
      </w:tblPr>
      <w:tblGrid>
        <w:gridCol w:w="38"/>
        <w:gridCol w:w="860"/>
        <w:gridCol w:w="141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8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Attention:</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[____________]</w:t>
            </w:r>
          </w:p>
        </w:tc>
      </w:tr>
    </w:tbl>
    <w:p>
      <w:pPr>
        <w:pStyle w:val="Normal"/>
        <w:bidi w:val="0"/>
        <w:spacing w:before="0" w:after="0"/>
        <w:jc w:val="left"/>
        <w:rPr>
          <w:sz w:val="4"/>
          <w:szCs w:val="4"/>
        </w:rPr>
      </w:pPr>
      <w:r>
        <w:rPr>
          <w:sz w:val="4"/>
          <w:szCs w:val="4"/>
        </w:rPr>
      </w:r>
      <w:bookmarkStart w:id="488" w:name="zff5108f496684e16a3a4255039022100"/>
      <w:bookmarkStart w:id="489" w:name="zff5108f496684e16a3a4255039022100"/>
      <w:bookmarkEnd w:id="489"/>
    </w:p>
    <w:tbl>
      <w:tblPr>
        <w:tblW w:w="2403" w:type="dxa"/>
        <w:jc w:val="left"/>
        <w:tblInd w:w="0" w:type="dxa"/>
        <w:tblLayout w:type="fixed"/>
        <w:tblCellMar>
          <w:top w:w="0" w:type="dxa"/>
          <w:left w:w="0" w:type="dxa"/>
          <w:bottom w:w="0" w:type="dxa"/>
          <w:right w:w="0" w:type="dxa"/>
        </w:tblCellMar>
      </w:tblPr>
      <w:tblGrid>
        <w:gridCol w:w="38"/>
        <w:gridCol w:w="950"/>
        <w:gridCol w:w="141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9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Telephone:</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[____________]</w:t>
            </w:r>
          </w:p>
        </w:tc>
      </w:tr>
    </w:tbl>
    <w:p>
      <w:pPr>
        <w:pStyle w:val="Normal"/>
        <w:bidi w:val="0"/>
        <w:spacing w:before="0" w:after="0"/>
        <w:jc w:val="left"/>
        <w:rPr>
          <w:sz w:val="4"/>
          <w:szCs w:val="4"/>
        </w:rPr>
      </w:pPr>
      <w:r>
        <w:rPr>
          <w:sz w:val="4"/>
          <w:szCs w:val="4"/>
        </w:rPr>
      </w:r>
      <w:bookmarkStart w:id="490" w:name="ze8e9708beb0f45ec95b4b91e799c72b0"/>
      <w:bookmarkStart w:id="491" w:name="ze8e9708beb0f45ec95b4b91e799c72b0"/>
      <w:bookmarkEnd w:id="491"/>
    </w:p>
    <w:tbl>
      <w:tblPr>
        <w:tblW w:w="2013" w:type="dxa"/>
        <w:jc w:val="left"/>
        <w:tblInd w:w="0" w:type="dxa"/>
        <w:tblLayout w:type="fixed"/>
        <w:tblCellMar>
          <w:top w:w="0" w:type="dxa"/>
          <w:left w:w="0" w:type="dxa"/>
          <w:bottom w:w="0" w:type="dxa"/>
          <w:right w:w="0" w:type="dxa"/>
        </w:tblCellMar>
      </w:tblPr>
      <w:tblGrid>
        <w:gridCol w:w="38"/>
        <w:gridCol w:w="560"/>
        <w:gridCol w:w="141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5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Email:</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[____________]</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92" w:name="z73930d6b314c4d9c80d220995480eb98"/>
      <w:bookmarkStart w:id="493" w:name="z73930d6b314c4d9c80d220995480eb98"/>
      <w:bookmarkEnd w:id="493"/>
    </w:p>
    <w:tbl>
      <w:tblPr>
        <w:tblW w:w="1758" w:type="dxa"/>
        <w:jc w:val="left"/>
        <w:tblInd w:w="0" w:type="dxa"/>
        <w:tblLayout w:type="fixed"/>
        <w:tblCellMar>
          <w:top w:w="0" w:type="dxa"/>
          <w:left w:w="0" w:type="dxa"/>
          <w:bottom w:w="0" w:type="dxa"/>
          <w:right w:w="0" w:type="dxa"/>
        </w:tblCellMar>
      </w:tblPr>
      <w:tblGrid>
        <w:gridCol w:w="38"/>
        <w:gridCol w:w="305"/>
        <w:gridCol w:w="141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To:</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[____________]</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494" w:name="zc38a0e762f454ac2bec640d0d87e6e4d"/>
      <w:bookmarkStart w:id="495" w:name="zc38a0e762f454ac2bec640d0d87e6e4d"/>
      <w:bookmarkEnd w:id="495"/>
    </w:p>
    <w:tbl>
      <w:tblPr>
        <w:tblW w:w="2350" w:type="dxa"/>
        <w:jc w:val="left"/>
        <w:tblInd w:w="0" w:type="dxa"/>
        <w:tblLayout w:type="fixed"/>
        <w:tblCellMar>
          <w:top w:w="0" w:type="dxa"/>
          <w:left w:w="0" w:type="dxa"/>
          <w:bottom w:w="0" w:type="dxa"/>
          <w:right w:w="0" w:type="dxa"/>
        </w:tblCellMar>
      </w:tblPr>
      <w:tblGrid>
        <w:gridCol w:w="75"/>
        <w:gridCol w:w="860"/>
        <w:gridCol w:w="141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Attention:</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[____________]</w:t>
            </w:r>
          </w:p>
        </w:tc>
      </w:tr>
    </w:tbl>
    <w:p>
      <w:pPr>
        <w:pStyle w:val="Normal"/>
        <w:bidi w:val="0"/>
        <w:spacing w:before="0" w:after="0"/>
        <w:jc w:val="left"/>
        <w:rPr>
          <w:sz w:val="4"/>
          <w:szCs w:val="4"/>
        </w:rPr>
      </w:pPr>
      <w:r>
        <w:rPr>
          <w:sz w:val="4"/>
          <w:szCs w:val="4"/>
        </w:rPr>
      </w:r>
      <w:bookmarkStart w:id="496" w:name="z260532808bfc45669090b7d4da474d92"/>
      <w:bookmarkStart w:id="497" w:name="z260532808bfc45669090b7d4da474d92"/>
      <w:bookmarkEnd w:id="497"/>
    </w:p>
    <w:tbl>
      <w:tblPr>
        <w:tblW w:w="2440" w:type="dxa"/>
        <w:jc w:val="left"/>
        <w:tblInd w:w="0" w:type="dxa"/>
        <w:tblLayout w:type="fixed"/>
        <w:tblCellMar>
          <w:top w:w="0" w:type="dxa"/>
          <w:left w:w="0" w:type="dxa"/>
          <w:bottom w:w="0" w:type="dxa"/>
          <w:right w:w="0" w:type="dxa"/>
        </w:tblCellMar>
      </w:tblPr>
      <w:tblGrid>
        <w:gridCol w:w="75"/>
        <w:gridCol w:w="950"/>
        <w:gridCol w:w="1415"/>
      </w:tblGrid>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Telephone:</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[____________]</w:t>
            </w:r>
          </w:p>
        </w:tc>
      </w:tr>
    </w:tbl>
    <w:p>
      <w:pPr>
        <w:pStyle w:val="Normal"/>
        <w:bidi w:val="0"/>
        <w:spacing w:before="0" w:after="0"/>
        <w:jc w:val="left"/>
        <w:rPr>
          <w:sz w:val="4"/>
          <w:szCs w:val="4"/>
        </w:rPr>
      </w:pPr>
      <w:r>
        <w:rPr>
          <w:sz w:val="4"/>
          <w:szCs w:val="4"/>
        </w:rPr>
      </w:r>
      <w:bookmarkStart w:id="498" w:name="z2fb0191591944c1e97c8dd04591fe2ab"/>
      <w:bookmarkStart w:id="499" w:name="z2fb0191591944c1e97c8dd04591fe2ab"/>
      <w:bookmarkEnd w:id="499"/>
    </w:p>
    <w:tbl>
      <w:tblPr>
        <w:tblW w:w="2013" w:type="dxa"/>
        <w:jc w:val="left"/>
        <w:tblInd w:w="0" w:type="dxa"/>
        <w:tblLayout w:type="fixed"/>
        <w:tblCellMar>
          <w:top w:w="0" w:type="dxa"/>
          <w:left w:w="0" w:type="dxa"/>
          <w:bottom w:w="0" w:type="dxa"/>
          <w:right w:w="0" w:type="dxa"/>
        </w:tblCellMar>
      </w:tblPr>
      <w:tblGrid>
        <w:gridCol w:w="38"/>
        <w:gridCol w:w="560"/>
        <w:gridCol w:w="141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5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Email:</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[____________]</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For the avoidance of doubt, any notice or other communication delivered by electronic messaging system, e-mail or facsimile transmission shall be deemed to be “in writing.”</w:t>
      </w:r>
    </w:p>
    <w:p>
      <w:pPr>
        <w:pStyle w:val="TextBody"/>
        <w:bidi w:val="0"/>
        <w:spacing w:before="0" w:after="0"/>
        <w:ind w:left="540" w:right="0" w:hanging="0"/>
        <w:jc w:val="left"/>
        <w:rPr>
          <w:rFonts w:ascii="Times New Roman" w:hAnsi="Times New Roman"/>
        </w:rPr>
      </w:pPr>
      <w:r>
        <w:rPr>
          <w:rFonts w:ascii="Times New Roman" w:hAnsi="Times New Roman"/>
        </w:rPr>
      </w:r>
    </w:p>
    <w:p>
      <w:pPr>
        <w:pStyle w:val="TextBody"/>
        <w:bidi w:val="0"/>
        <w:spacing w:before="0" w:after="0"/>
        <w:jc w:val="left"/>
        <w:rPr>
          <w:rFonts w:ascii="Times New Roman;serif" w:hAnsi="Times New Roman;serif"/>
          <w:color w:val="000000"/>
          <w:sz w:val="20"/>
        </w:rPr>
      </w:pPr>
      <w:r>
        <w:rPr>
          <w:rFonts w:ascii="Times New Roman" w:hAnsi="Times New Roman"/>
          <w:color w:val="000000"/>
          <w:sz w:val="20"/>
        </w:rPr>
        <w:t xml:space="preserve">7. </w:t>
      </w:r>
      <w:r>
        <w:rPr>
          <w:rFonts w:ascii="Times New Roman" w:hAnsi="Times New Roman"/>
          <w:b/>
          <w:color w:val="000000"/>
          <w:sz w:val="20"/>
          <w:u w:val="single"/>
        </w:rPr>
        <w:t>Representations, Warranties and Agreements</w:t>
      </w:r>
      <w:r>
        <w:rPr>
          <w:rFonts w:ascii="Times New Roman" w:hAnsi="Times New Roman"/>
          <w:color w:val="000000"/>
          <w:sz w:val="20"/>
          <w:u w:val="single"/>
        </w:rPr>
        <w:t>:</w:t>
      </w:r>
    </w:p>
    <w:p>
      <w:pPr>
        <w:pStyle w:val="TextBody"/>
        <w:bidi w:val="0"/>
        <w:spacing w:before="0" w:after="0"/>
        <w:jc w:val="left"/>
        <w:rPr>
          <w:rFonts w:ascii="Times New Roman" w:hAnsi="Times New Roman"/>
          <w:u w:val="single"/>
        </w:rPr>
      </w:pPr>
      <w:r>
        <w:rPr>
          <w:rFonts w:ascii="Times New Roman" w:hAnsi="Times New Roman"/>
          <w:u w:val="single"/>
        </w:rPr>
      </w:r>
    </w:p>
    <w:p>
      <w:pPr>
        <w:pStyle w:val="TextBody"/>
        <w:bidi w:val="0"/>
        <w:spacing w:before="0" w:after="0"/>
        <w:ind w:left="0" w:right="0" w:firstLine="709"/>
        <w:jc w:val="both"/>
        <w:rPr>
          <w:rFonts w:ascii="Times New Roman" w:hAnsi="Times New Roman"/>
          <w:color w:val="000000"/>
          <w:sz w:val="20"/>
        </w:rPr>
      </w:pPr>
      <w:r>
        <w:rPr>
          <w:rFonts w:ascii="Times New Roman" w:hAnsi="Times New Roman"/>
          <w:color w:val="000000"/>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firstLine="709"/>
        <w:jc w:val="both"/>
        <w:rPr>
          <w:rFonts w:ascii="Times New Roman" w:hAnsi="Times New Roman"/>
          <w:color w:val="000000"/>
        </w:rPr>
      </w:pPr>
      <w:r>
        <w:rPr>
          <w:rFonts w:ascii="Times New Roman" w:hAnsi="Times New Roman"/>
          <w:color w:val="000000"/>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 On the Trade Date, all reports and other documents filed by Counterparty with the Securities and Exchange Commission pursuant to the Exchange Act and the Australian Securities and Investments Commission (“</w:t>
      </w:r>
      <w:r>
        <w:rPr>
          <w:rFonts w:ascii="Times New Roman" w:hAnsi="Times New Roman"/>
          <w:b/>
          <w:color w:val="000000"/>
          <w:sz w:val="20"/>
        </w:rPr>
        <w:t>ASIC</w:t>
      </w:r>
      <w:r>
        <w:rPr>
          <w:rFonts w:ascii="Times New Roman" w:hAnsi="Times New Roman"/>
          <w:color w:val="000000"/>
          <w:sz w:val="20"/>
        </w:rPr>
        <w:t>”) pursuant to the Corporations Act, in each case,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spacing w:lineRule="auto" w:line="240" w:before="0" w:after="0"/>
        <w:ind w:left="720" w:right="0" w:firstLine="360"/>
        <w:jc w:val="both"/>
        <w:rPr>
          <w:rFonts w:ascii="Times New Roman" w:hAnsi="Times New Roman"/>
          <w:color w:val="000000"/>
          <w:sz w:val="20"/>
        </w:rPr>
      </w:pPr>
      <w:r>
        <w:rPr>
          <w:rFonts w:ascii="Times New Roman" w:hAnsi="Times New Roman"/>
          <w:color w:val="000000"/>
          <w:sz w:val="20"/>
        </w:rPr>
        <w:t>(ii) On the Trade Date, (A) the Shares or securities that are convertible into, or exchangeable or exercisable for Shares, are not, and shall not be, subject to a “restricted period,” as such term is defined in Regulation M under the Exchange Act (“</w:t>
      </w:r>
      <w:r>
        <w:rPr>
          <w:rFonts w:ascii="Times New Roman" w:hAnsi="Times New Roman"/>
          <w:b/>
          <w:color w:val="000000"/>
          <w:sz w:val="20"/>
        </w:rPr>
        <w:t>Regulation M</w:t>
      </w:r>
      <w:r>
        <w:rPr>
          <w:rFonts w:ascii="Times New Roman" w:hAnsi="Times New Roman"/>
          <w:color w:val="000000"/>
          <w:sz w:val="20"/>
        </w:rPr>
        <w:t>”), and (B) Counterparty is not engaged in any “distribution,” as such term is defined in Regulation M, in either case, other than (i) a distribution meeting the requirements of the exceptions set forth in Rules 101(b)(10) and 102(b)(7) or Rule 102(c)(1)(i) of Regulation M, (ii) the “Concurrent Registered Direct Offering” (as defined in the Preliminary Offering Memorandum dated December 1, 2025 relating to the Convertible Notes (as defined below) and Counterparty’s [0.25]9[1.00]10% Convertible Senior Notes due [2032]11[2033]12) and (iii) any such “restricted period” and/or distribution that may be considered to exist as a result of the Issuer’s existing at-the-market Share issuance program. Counterparty shall not, until the third Exchange Business Day immediately following the Trade Date, engage in any such distribution.</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(iii) On the Trade Date, neither Counterparty nor any “affiliate” or “affiliated purchaser” (each as defined in Rule 10b-18 of the Exchange Act (“</w:t>
      </w:r>
      <w:r>
        <w:rPr>
          <w:rFonts w:ascii="Times New Roman" w:hAnsi="Times New Roman"/>
          <w:b/>
          <w:color w:val="000000"/>
          <w:sz w:val="20"/>
        </w:rPr>
        <w:t>Rule 10b-18</w:t>
      </w:r>
      <w:r>
        <w:rPr>
          <w:rFonts w:ascii="Times New Roman" w:hAnsi="Times New Roman"/>
          <w:color w:val="000000"/>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 xml:space="preserve">(iv)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 w:hAnsi="Times New Roman"/>
          <w:i/>
          <w:color w:val="000000"/>
          <w:sz w:val="20"/>
        </w:rPr>
        <w:t>Earnings Per Share</w:t>
      </w:r>
      <w:r>
        <w:rPr>
          <w:rFonts w:ascii="Times New Roman" w:hAnsi="Times New Roman"/>
          <w:color w:val="000000"/>
          <w:sz w:val="20"/>
        </w:rPr>
        <w:t xml:space="preserve">, ASC Topic 815, </w:t>
      </w:r>
      <w:r>
        <w:rPr>
          <w:rFonts w:ascii="Times New Roman" w:hAnsi="Times New Roman"/>
          <w:i/>
          <w:color w:val="000000"/>
          <w:sz w:val="20"/>
        </w:rPr>
        <w:t>Derivatives and Hedging</w:t>
      </w:r>
      <w:r>
        <w:rPr>
          <w:rFonts w:ascii="Times New Roman" w:hAnsi="Times New Roman"/>
          <w:color w:val="000000"/>
          <w:sz w:val="20"/>
        </w:rPr>
        <w:t xml:space="preserve">, or </w:t>
      </w:r>
      <w:r>
        <w:rPr>
          <w:rFonts w:ascii="Times New Roman" w:hAnsi="Times New Roman"/>
          <w:i/>
          <w:color w:val="000000"/>
          <w:sz w:val="20"/>
        </w:rPr>
        <w:t>ASC Topic 480,</w:t>
      </w:r>
      <w:r>
        <w:rPr>
          <w:rFonts w:ascii="Times New Roman" w:hAnsi="Times New Roman"/>
          <w:color w:val="000000"/>
          <w:sz w:val="20"/>
        </w:rPr>
        <w:t> </w:t>
      </w:r>
      <w:r>
        <w:rPr>
          <w:rFonts w:ascii="Times New Roman" w:hAnsi="Times New Roman"/>
          <w:i/>
          <w:color w:val="000000"/>
          <w:sz w:val="20"/>
        </w:rPr>
        <w:t>Distinguishing Liabilities from Equity</w:t>
      </w:r>
      <w:r>
        <w:rPr>
          <w:rFonts w:ascii="Times New Roman" w:hAnsi="Times New Roman"/>
          <w:color w:val="000000"/>
          <w:sz w:val="20"/>
        </w:rPr>
        <w:t xml:space="preserve"> and ASC </w:t>
      </w:r>
      <w:r>
        <w:rPr>
          <w:rFonts w:ascii="Times New Roman" w:hAnsi="Times New Roman"/>
          <w:i/>
          <w:color w:val="000000"/>
          <w:sz w:val="20"/>
        </w:rPr>
        <w:t>815-40,</w:t>
      </w:r>
      <w:r>
        <w:rPr>
          <w:rFonts w:ascii="Times New Roman" w:hAnsi="Times New Roman"/>
          <w:color w:val="000000"/>
          <w:sz w:val="20"/>
        </w:rPr>
        <w:t> </w:t>
      </w:r>
      <w:r>
        <w:rPr>
          <w:rFonts w:ascii="Times New Roman" w:hAnsi="Times New Roman"/>
          <w:i/>
          <w:color w:val="000000"/>
          <w:sz w:val="20"/>
        </w:rPr>
        <w:t>Derivatives and Hedging</w:t>
      </w:r>
      <w:r>
        <w:rPr>
          <w:rFonts w:ascii="Times New Roman" w:hAnsi="Times New Roman"/>
          <w:color w:val="000000"/>
          <w:sz w:val="20"/>
        </w:rPr>
        <w:t xml:space="preserve"> – </w:t>
      </w:r>
      <w:r>
        <w:rPr>
          <w:rFonts w:ascii="Times New Roman" w:hAnsi="Times New Roman"/>
          <w:i/>
          <w:color w:val="000000"/>
          <w:sz w:val="20"/>
        </w:rPr>
        <w:t>Contracts in Entity’s Own Equity</w:t>
      </w:r>
      <w:r>
        <w:rPr>
          <w:rFonts w:ascii="Times New Roman" w:hAnsi="Times New Roman"/>
          <w:color w:val="000000"/>
          <w:sz w:val="20"/>
        </w:rPr>
        <w:t xml:space="preserve"> (or any successor issue statements).</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(v)  Without limiting the generality of Section 3(a)(iii) of the Agreement, the Transaction will not violate Rule 13e-1 or Rule 13e-4 under the Exchange Act.</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HorizontalLine"/>
        <w:pBdr>
          <w:bottom w:val="single" w:sz="12" w:space="0" w:color="808080"/>
        </w:pBdr>
        <w:bidi w:val="0"/>
        <w:jc w:val="both"/>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9 NTD: Insert for 2033 Notes.</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10 NTD: Insert for 2032 Notes.</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11 NTD: Insert for 2033 Notes.</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12 NTD: Insert for 2032 Notes.</w:t>
      </w:r>
    </w:p>
    <w:p>
      <w:pPr>
        <w:pStyle w:val="TextBody"/>
        <w:bidi w:val="0"/>
        <w:spacing w:before="0" w:after="0"/>
        <w:jc w:val="both"/>
        <w:rPr>
          <w:rFonts w:ascii="Times New Roman" w:hAnsi="Times New Roman"/>
          <w:color w:val="000000"/>
        </w:rPr>
      </w:pPr>
      <w:r>
        <w:rPr>
          <w:rFonts w:ascii="Times New Roman" w:hAnsi="Times New Roman"/>
          <w:color w:val="00000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180" w:after="180"/>
        <w:jc w:val="left"/>
        <w:rPr/>
      </w:pPr>
      <w:r>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(vi) On or prior to the Trade Date, Counterparty shall deliver to Dealer a resolution of Counterparty’s board of directors authorizing the Transaction.</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(vii) Counterparty is not entering into this Confirmation or amending or taking any action in respect of this Transaction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and/or the Corporations Act.</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(viii)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(ix) On and immediately after each of the Trade Date and the Premium Payment Date: Counterparty is able to pay its debts as and when they fall due for payment or is otherwise not presumed or deemed to be insolvent (including as such term is defined under either or both of: (1)  Section 101(32) of the U.S. Bankruptcy Code (Title 11 of the United States Code) (the “</w:t>
      </w:r>
      <w:r>
        <w:rPr>
          <w:rFonts w:ascii="Times New Roman" w:hAnsi="Times New Roman"/>
          <w:b/>
          <w:color w:val="000000"/>
          <w:sz w:val="20"/>
        </w:rPr>
        <w:t>Bankruptcy Code</w:t>
      </w:r>
      <w:r>
        <w:rPr>
          <w:rFonts w:ascii="Times New Roman" w:hAnsi="Times New Roman"/>
          <w:color w:val="000000"/>
          <w:sz w:val="20"/>
        </w:rPr>
        <w:t>”); and (2) the Corporations Act); and, Counterparty would be able to purchase the aggregate Number of Shares for the Transaction in compliance with the laws of the jurisdiction of Counterparty’s incorporation (assuming receipt of the Counterparty Shareholder Purchase Approval).</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ind w:left="720" w:right="0" w:firstLine="360"/>
        <w:jc w:val="both"/>
        <w:rPr>
          <w:rFonts w:ascii="Times New Roman" w:hAnsi="Times New Roman"/>
          <w:color w:val="000000"/>
          <w:sz w:val="20"/>
        </w:rPr>
      </w:pPr>
      <w:r>
        <w:rPr>
          <w:rFonts w:ascii="Times New Roman" w:hAnsi="Times New Roman"/>
          <w:color w:val="000000"/>
          <w:sz w:val="20"/>
        </w:rPr>
        <w:t xml:space="preserve">(x) 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hAnsi="Times New Roman"/>
          <w:i/>
          <w:color w:val="000000"/>
          <w:sz w:val="20"/>
        </w:rPr>
        <w:t>provided</w:t>
      </w:r>
      <w:r>
        <w:rPr>
          <w:rFonts w:ascii="Times New Roman" w:hAnsi="Times New Roman"/>
          <w:color w:val="000000"/>
          <w:sz w:val="20"/>
        </w:rPr>
        <w:t xml:space="preserve"> that no such representation shall be made by Counterparty with respect to any rules and regulations applicable to Dealer (including any rules and regulations of the Financial Industry Regulatory Authority, Inc.) arising from Dealer’s status as a regulated entity under applicable law.</w:t>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(xi) 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 as of the date hereof.</w:t>
      </w:r>
    </w:p>
    <w:p>
      <w:pPr>
        <w:pStyle w:val="TextBody"/>
        <w:bidi w:val="0"/>
        <w:spacing w:before="0" w:after="0"/>
        <w:ind w:left="720" w:right="0" w:firstLine="360"/>
        <w:jc w:val="both"/>
        <w:rPr>
          <w:rFonts w:ascii="Times New Roman" w:hAnsi="Times New Roman"/>
          <w:color w:val="000000"/>
        </w:rPr>
      </w:pPr>
      <w:r>
        <w:rPr>
          <w:rFonts w:ascii="Times New Roman" w:hAnsi="Times New Roman"/>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Each of Dealer and Counterparty agrees and represents that it is an “eligible contract participant” as defined in Section 1a(18) of the U.S. Commodity Exchange Act, as amended.</w:t>
      </w:r>
    </w:p>
    <w:p>
      <w:pPr>
        <w:pStyle w:val="TextBody"/>
        <w:bidi w:val="0"/>
        <w:spacing w:before="0" w:after="0"/>
        <w:ind w:left="0" w:right="0" w:firstLine="720"/>
        <w:jc w:val="both"/>
        <w:rPr>
          <w:rFonts w:ascii="Times New Roman" w:hAnsi="Times New Roman"/>
          <w:color w:val="000000"/>
        </w:rPr>
      </w:pPr>
      <w:r>
        <w:rPr>
          <w:rFonts w:ascii="Times New Roman" w:hAnsi="Times New Roman"/>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firstLine="720"/>
        <w:jc w:val="both"/>
        <w:rPr>
          <w:rFonts w:ascii="Times New Roman" w:hAnsi="Times New Roman"/>
          <w:color w:val="000000"/>
        </w:rPr>
      </w:pPr>
      <w:r>
        <w:rPr>
          <w:rFonts w:ascii="Times New Roman" w:hAnsi="Times New Roman"/>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Each of Dealer and Counterparty agrees and acknowledges that Dealer is a “financial institution,” “swap participant” and “financial participant” within the meaning of Sections 101(22),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pStyle w:val="TextBody"/>
        <w:bidi w:val="0"/>
        <w:spacing w:before="0" w:after="0"/>
        <w:ind w:left="0" w:right="0" w:firstLine="720"/>
        <w:jc w:val="both"/>
        <w:rPr>
          <w:rFonts w:ascii="Times New Roman" w:hAnsi="Times New Roman"/>
          <w:color w:val="000000"/>
        </w:rPr>
      </w:pPr>
      <w:r>
        <w:rPr>
          <w:rFonts w:ascii="Times New Roman" w:hAnsi="Times New Roman"/>
          <w:color w:val="00000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As a condition to the effectiveness of the Transaction, Counterparty shall deliver to Dealer an opinion of counsel, dated as of the Effective Date and reasonably acceptable to Dealer in form and substance, with respect to the matters set forth in Section 3(a)(i), (ii), (iii) and (iv) of the Agreement.</w:t>
      </w:r>
    </w:p>
    <w:p>
      <w:pPr>
        <w:pStyle w:val="TextBody"/>
        <w:bidi w:val="0"/>
        <w:spacing w:before="0" w:after="0"/>
        <w:ind w:left="0" w:right="0" w:firstLine="720"/>
        <w:jc w:val="both"/>
        <w:rPr>
          <w:rFonts w:ascii="Times New Roman" w:hAnsi="Times New Roman"/>
          <w:color w:val="000000"/>
        </w:rPr>
      </w:pPr>
      <w:r>
        <w:rPr>
          <w:rFonts w:ascii="Times New Roman" w:hAnsi="Times New Roman"/>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0" w:after="0"/>
        <w:ind w:left="0" w:right="0" w:firstLine="720"/>
        <w:jc w:val="both"/>
        <w:rPr>
          <w:rFonts w:ascii="Times New Roman" w:hAnsi="Times New Roman"/>
          <w:color w:val="000000"/>
        </w:rPr>
      </w:pPr>
      <w:r>
        <w:rPr>
          <w:rFonts w:ascii="Times New Roman" w:hAnsi="Times New Roman"/>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firstLine="720"/>
        <w:jc w:val="both"/>
        <w:rPr>
          <w:rFonts w:ascii="Times New Roman" w:hAnsi="Times New Roman"/>
          <w:color w:val="000000"/>
        </w:rPr>
      </w:pPr>
      <w:r>
        <w:rPr>
          <w:rFonts w:ascii="Times New Roman" w:hAnsi="Times New Roman"/>
          <w:color w:val="000000"/>
        </w:rPr>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(h) Counterparty represents and warrants that it has received, read and understands the OTC Options Risk Disclosure Statement and a copy of the most recent disclosure pamphlet prepared by The Options Clearing Corporation entitled “Characteristics and Risks of Standardized Options”.]13</w:t>
      </w:r>
    </w:p>
    <w:p>
      <w:pPr>
        <w:pStyle w:val="TextBody"/>
        <w:bidi w:val="0"/>
        <w:spacing w:lineRule="auto" w:line="240" w:before="0" w:after="0"/>
        <w:ind w:left="0" w:right="0" w:firstLine="720"/>
        <w:jc w:val="both"/>
        <w:rPr>
          <w:rFonts w:ascii="Times New Roman" w:hAnsi="Times New Roman"/>
          <w:color w:val="000000"/>
        </w:rPr>
      </w:pPr>
      <w:r>
        <w:rPr>
          <w:rFonts w:ascii="Times New Roman" w:hAnsi="Times New Roman"/>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 (ii) it understands that the Transaction is subject to complex risks which may arise without warning and may at times be volatile, and that losses may occur quickly and in unanticipated magnitude; (iii) it is authorized to enter into the Transaction and such action does not violate any laws of its jurisdiction of incorporation, organization or residence (including, but not limited to, any applicable position or exercise limits set by any self-regulatory organization, either acting alone or in concert with others) or the terms of any agreement to which it is a party; (iv) it has consulted with its legal advisor(s) and has reached its own conclusions about the Transaction, and any legal, regulatory, tax, accounting or economic consequences arising from the Transaction; (v) it has concluded that the Transaction is suitable in light of its own investment objectives, financial condition and expertise; and (vi) neither Dealer nor any of its affiliates has advised it with respect to any legal, regulatory, tax, accounting or economic consequences arising from the Transaction, and neither Dealer nor any of its affiliates is acting as agent, or advisor for Counterparty in connection with the Transaction.</w:t>
      </w:r>
    </w:p>
    <w:p>
      <w:pPr>
        <w:pStyle w:val="TextBody"/>
        <w:bidi w:val="0"/>
        <w:spacing w:before="0" w:after="0"/>
        <w:ind w:left="0" w:right="0" w:firstLine="720"/>
        <w:jc w:val="both"/>
        <w:rPr>
          <w:rFonts w:ascii="Times New Roman" w:hAnsi="Times New Roman"/>
          <w:color w:val="000000"/>
        </w:rPr>
      </w:pPr>
      <w:r>
        <w:rPr>
          <w:rFonts w:ascii="Times New Roman" w:hAnsi="Times New Roman"/>
          <w:color w:val="00000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(j) In addition to the representations and warranties in the Agreement and those contained elsewhere herein, Counterparty represents and warrants to, and agrees with, Dealer that:</w:t>
      </w:r>
    </w:p>
    <w:p>
      <w:pPr>
        <w:pStyle w:val="TextBody"/>
        <w:bidi w:val="0"/>
        <w:spacing w:before="0" w:after="0"/>
        <w:ind w:left="0" w:right="0" w:firstLine="720"/>
        <w:jc w:val="left"/>
        <w:rPr>
          <w:rFonts w:ascii="Times New Roman" w:hAnsi="Times New Roman"/>
          <w:color w:val="000000"/>
        </w:rPr>
      </w:pPr>
      <w:r>
        <w:rPr>
          <w:rFonts w:ascii="Times New Roman" w:hAnsi="Times New Roman"/>
          <w:color w:val="00000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                 it and, to the best of its knowledge, any individual who is its officer (as defined in the Corporations Act) or any other person who has authority to take any action in respect of this Transaction (a “</w:t>
      </w:r>
      <w:r>
        <w:rPr>
          <w:rFonts w:ascii="Times New Roman" w:hAnsi="Times New Roman"/>
          <w:b/>
          <w:color w:val="000000"/>
          <w:sz w:val="20"/>
        </w:rPr>
        <w:t>Relevant Individual</w:t>
      </w:r>
      <w:r>
        <w:rPr>
          <w:rFonts w:ascii="Times New Roman" w:hAnsi="Times New Roman"/>
          <w:color w:val="000000"/>
          <w:sz w:val="20"/>
        </w:rPr>
        <w:t>”):</w:t>
      </w:r>
    </w:p>
    <w:p>
      <w:pPr>
        <w:pStyle w:val="TextBody"/>
        <w:bidi w:val="0"/>
        <w:spacing w:before="0" w:after="0"/>
        <w:ind w:left="720" w:right="0" w:firstLine="720"/>
        <w:jc w:val="both"/>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500" w:name="zdfedcfec0e424c37848d71632860ab55"/>
      <w:bookmarkStart w:id="501" w:name="zdfedcfec0e424c37848d71632860ab55"/>
      <w:bookmarkEnd w:id="501"/>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89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is not in possession of any inside information or material non-public information, howsoever defined under all applicable laws and regulations in each relevant jurisdiction (including, but not limited to, Australia and the U.S.) regarding the Counterparty or the Shares (“</w:t>
            </w:r>
            <w:r>
              <w:rPr>
                <w:rFonts w:ascii="Times New Roman" w:hAnsi="Times New Roman"/>
                <w:b/>
                <w:sz w:val="20"/>
              </w:rPr>
              <w:t>MNPI</w:t>
            </w:r>
            <w:r>
              <w:rPr>
                <w:rFonts w:ascii="Times New Roman" w:hAnsi="Times New Roman"/>
                <w:sz w:val="20"/>
              </w:rPr>
              <w:t>”);</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502" w:name="zcd1e6a7e824d4410b185f5b8cc6b7d40"/>
      <w:bookmarkStart w:id="503" w:name="zcd1e6a7e824d4410b185f5b8cc6b7d40"/>
      <w:bookmarkEnd w:id="503"/>
    </w:p>
    <w:tbl>
      <w:tblPr>
        <w:tblW w:w="9333" w:type="dxa"/>
        <w:jc w:val="left"/>
        <w:tblInd w:w="0" w:type="dxa"/>
        <w:tblLayout w:type="fixed"/>
        <w:tblCellMar>
          <w:top w:w="0" w:type="dxa"/>
          <w:left w:w="0" w:type="dxa"/>
          <w:bottom w:w="0" w:type="dxa"/>
          <w:right w:w="0" w:type="dxa"/>
        </w:tblCellMar>
      </w:tblPr>
      <w:tblGrid>
        <w:gridCol w:w="38"/>
        <w:gridCol w:w="275"/>
        <w:gridCol w:w="902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will not seek to terminate, amend or otherwise modify the Transaction while in possession of any MNPI; and/or</w:t>
            </w:r>
          </w:p>
        </w:tc>
      </w:tr>
    </w:tbl>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13 Include only for FINRA regulated dealers.</w:t>
      </w:r>
    </w:p>
    <w:p>
      <w:pPr>
        <w:pStyle w:val="TextBody"/>
        <w:bidi w:val="0"/>
        <w:spacing w:before="0" w:after="0"/>
        <w:ind w:left="360" w:right="0" w:hanging="360"/>
        <w:jc w:val="left"/>
        <w:rPr>
          <w:rFonts w:ascii="Times New Roman" w:hAnsi="Times New Roman"/>
        </w:rPr>
      </w:pPr>
      <w:r>
        <w:rPr>
          <w:rFonts w:ascii="Times New Roman" w:hAnsi="Times New Roman"/>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504" w:name="z455872b3220648d08d1064b6c28cef43"/>
      <w:bookmarkStart w:id="505" w:name="z455872b3220648d08d1064b6c28cef43"/>
      <w:bookmarkEnd w:id="505"/>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2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 any time up until immediately after termination of the Transaction, will not be engaged in market manipulation or in insider dealing under any applicable legislation in any relevant jurisdiction (including, but not limited to, Australia and the U.S.),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980" w:right="0" w:hanging="0"/>
        <w:jc w:val="both"/>
        <w:rPr>
          <w:rFonts w:ascii="Times New Roman" w:hAnsi="Times New Roman"/>
          <w:color w:val="000000"/>
          <w:sz w:val="20"/>
        </w:rPr>
      </w:pPr>
      <w:r>
        <w:rPr>
          <w:rFonts w:ascii="Times New Roman" w:hAnsi="Times New Roman"/>
          <w:color w:val="000000"/>
          <w:sz w:val="20"/>
        </w:rPr>
        <w:t>in each case, where doing so would breach an applicable law or regulation;</w:t>
      </w:r>
    </w:p>
    <w:p>
      <w:pPr>
        <w:pStyle w:val="TextBody"/>
        <w:bidi w:val="0"/>
        <w:spacing w:before="0" w:after="0"/>
        <w:ind w:left="1980" w:right="0" w:hanging="0"/>
        <w:jc w:val="both"/>
        <w:rPr>
          <w:rFonts w:ascii="Times New Roman" w:hAnsi="Times New Roman"/>
        </w:rPr>
      </w:pPr>
      <w:r>
        <w:rPr>
          <w:rFonts w:ascii="Times New Roman" w:hAnsi="Times New Roman"/>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(ii)               it will comply with all reporting requirements and make any filings and disclosures relating to the Transaction required to be made by it under applicable laws and regulations and the rules of any Exchange, including without limitation, to the extent applicable, the Corporations Act and </w:t>
      </w:r>
      <w:r>
        <w:rPr>
          <w:rFonts w:ascii="Times New Roman" w:hAnsi="Times New Roman"/>
          <w:i/>
          <w:color w:val="000000"/>
          <w:sz w:val="20"/>
        </w:rPr>
        <w:t>Australian Securities and Investments Commission Act 2001</w:t>
      </w:r>
      <w:r>
        <w:rPr>
          <w:rFonts w:ascii="Times New Roman" w:hAnsi="Times New Roman"/>
          <w:color w:val="000000"/>
          <w:sz w:val="20"/>
        </w:rPr>
        <w:t xml:space="preserve"> (Cth) (“</w:t>
      </w:r>
      <w:r>
        <w:rPr>
          <w:rFonts w:ascii="Times New Roman" w:hAnsi="Times New Roman"/>
          <w:b/>
          <w:color w:val="000000"/>
          <w:sz w:val="20"/>
        </w:rPr>
        <w:t>ASIC Act</w:t>
      </w:r>
      <w:r>
        <w:rPr>
          <w:rFonts w:ascii="Times New Roman" w:hAnsi="Times New Roman"/>
          <w:color w:val="000000"/>
          <w:sz w:val="20"/>
        </w:rPr>
        <w:t>”) and regulations promulgated thereunder. By entering into the Transaction, each party agrees to such disclosure and releases the other party and any of its subsidiaries and Affiliates from any duty of confidentiality owed to it in respect of such information for the purpose of such disclosure;</w:t>
      </w:r>
    </w:p>
    <w:p>
      <w:pPr>
        <w:pStyle w:val="TextBody"/>
        <w:bidi w:val="0"/>
        <w:spacing w:before="0" w:after="0"/>
        <w:ind w:left="720" w:right="0" w:firstLine="720"/>
        <w:jc w:val="both"/>
        <w:rPr>
          <w:rFonts w:ascii="Times New Roman" w:hAnsi="Times New Roman"/>
        </w:rPr>
      </w:pPr>
      <w:r>
        <w:rPr>
          <w:rFonts w:ascii="Times New Roman" w:hAnsi="Times New Roman"/>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(iii)            the execution, delivery and performance of its obligations under the Transaction (and this Confirmation) will not violate any applicable law or regulation, including but not limited to, any short selling restrictions, applicable to Counterparty, and Counterparty is not engaging in the Transaction contemplated hereunder with the intent to impermissibly avoid any such restrictions; and</w:t>
      </w:r>
    </w:p>
    <w:p>
      <w:pPr>
        <w:pStyle w:val="TextBody"/>
        <w:bidi w:val="0"/>
        <w:spacing w:before="0" w:after="0"/>
        <w:ind w:left="720" w:right="0" w:firstLine="720"/>
        <w:jc w:val="both"/>
        <w:rPr>
          <w:rFonts w:ascii="Times New Roman" w:hAnsi="Times New Roman"/>
        </w:rPr>
      </w:pPr>
      <w:r>
        <w:rPr>
          <w:rFonts w:ascii="Times New Roman" w:hAnsi="Times New Roman"/>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(iv)         the entering into of the Transaction and any amendment to, or termination of, the Transaction and any related action in connection with the exercise of any rights under the Transaction by it will not cause or result in Counterparty violating any provision of Division 3 of Part 7.10 and section 606 of the Corporations Act.</w:t>
      </w:r>
    </w:p>
    <w:p>
      <w:pPr>
        <w:pStyle w:val="TextBody"/>
        <w:bidi w:val="0"/>
        <w:spacing w:before="0" w:after="0"/>
        <w:ind w:left="720" w:right="0" w:firstLine="720"/>
        <w:jc w:val="both"/>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Counterparty acknowledges that Dealer is entering into the Transaction in express reliance upon the representations, warranties and undertakings set out in, and other terms of, this Confirmation and Agreement.  Counterparty undertakes promptly to inform Dealer if any such representation is or becomes untrue or incorrect.</w:t>
      </w:r>
    </w:p>
    <w:p>
      <w:pPr>
        <w:pStyle w:val="TextBody"/>
        <w:bidi w:val="0"/>
        <w:spacing w:before="0" w:after="0"/>
        <w:ind w:left="0" w:right="0" w:firstLine="720"/>
        <w:jc w:val="both"/>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Counterparty makes the representations in Sections 7(j)(i) to (iv) above:</w:t>
      </w:r>
    </w:p>
    <w:p>
      <w:pPr>
        <w:pStyle w:val="TextBody"/>
        <w:bidi w:val="0"/>
        <w:spacing w:before="0" w:after="0"/>
        <w:ind w:left="0" w:right="0" w:firstLine="720"/>
        <w:jc w:val="both"/>
        <w:rPr>
          <w:rFonts w:ascii="Times New Roman" w:hAnsi="Times New Roman"/>
        </w:rPr>
      </w:pPr>
      <w:r>
        <w:rPr>
          <w:rFonts w:ascii="Times New Roman" w:hAnsi="Times New Roman"/>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                    on the Trade Date;</w:t>
      </w:r>
    </w:p>
    <w:p>
      <w:pPr>
        <w:pStyle w:val="TextBody"/>
        <w:bidi w:val="0"/>
        <w:spacing w:before="0" w:after="0"/>
        <w:ind w:left="720" w:right="0" w:firstLine="720"/>
        <w:jc w:val="both"/>
        <w:rPr>
          <w:rFonts w:ascii="Times New Roman" w:hAnsi="Times New Roman"/>
        </w:rPr>
      </w:pPr>
      <w:r>
        <w:rPr>
          <w:rFonts w:ascii="Times New Roman" w:hAnsi="Times New Roman"/>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(II)            on each day on which it makes any election for the purposes of Settlement Method Election and/or takes any actions under Section 8(b); and</w:t>
      </w:r>
    </w:p>
    <w:p>
      <w:pPr>
        <w:pStyle w:val="TextBody"/>
        <w:bidi w:val="0"/>
        <w:spacing w:before="0" w:after="0"/>
        <w:ind w:left="720" w:right="0" w:firstLine="720"/>
        <w:jc w:val="both"/>
        <w:rPr>
          <w:rFonts w:ascii="Times New Roman" w:hAnsi="Times New Roman"/>
        </w:rPr>
      </w:pPr>
      <w:r>
        <w:rPr>
          <w:rFonts w:ascii="Times New Roman" w:hAnsi="Times New Roman"/>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(III)              on each day on which it receives and/or cancels any Shares in accordance with this Confirmation.</w:t>
      </w:r>
    </w:p>
    <w:p>
      <w:pPr>
        <w:pStyle w:val="TextBody"/>
        <w:bidi w:val="0"/>
        <w:spacing w:before="0" w:after="0"/>
        <w:ind w:left="720" w:right="0" w:firstLine="720"/>
        <w:jc w:val="both"/>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serif" w:hAnsi="Times New Roman;serif"/>
          <w:color w:val="000000"/>
          <w:sz w:val="20"/>
        </w:rPr>
      </w:pPr>
      <w:r>
        <w:rPr>
          <w:rFonts w:ascii="Times New Roman" w:hAnsi="Times New Roman"/>
          <w:color w:val="000000"/>
          <w:sz w:val="20"/>
        </w:rPr>
        <w:t>(k) Counterparty (i) shall provide evidence of a valid Counterparty Shareholder Purchase Approval or a copy of each Annual Buy-back Mandate Renewal relating to Net Share Settlement of this Transaction to Dealer within five Business Days after obtaining such Counterparty Shareholder Purchase Approval or such Annual Buy-back Mandate Renewal, as applicable and (ii) if the Annual Buy-back Mandate Renewal is not obtained at any general meeting of Counterparty to be held during the term of this Transaction,</w:t>
      </w:r>
      <w:r>
        <w:rPr>
          <w:rFonts w:ascii="Times New Roman;serif" w:hAnsi="Times New Roman;serif"/>
          <w:color w:val="000000"/>
          <w:sz w:val="20"/>
        </w:rPr>
        <w:t> </w:t>
      </w:r>
      <w:r>
        <w:rPr>
          <w:rFonts w:ascii="Times New Roman" w:hAnsi="Times New Roman"/>
          <w:color w:val="000000"/>
          <w:sz w:val="20"/>
        </w:rPr>
        <w:t>shall within two Local Business Days of the close of such general meeting inform Dealer that the Counterparty Shareholder Purchase Approval has lapsed. For the avoidance of doubt, this Section 6(k) shall not apply at any time at which the laws of Counterparty’s jurisdiction of organization permit Counterparty’s purchase of Shares pursuant to the Transaction (including as a result of Counterparty being a corporation organized under the laws of the United States, any State thereof or the District of Columbia).</w:t>
      </w:r>
    </w:p>
    <w:p>
      <w:pPr>
        <w:pStyle w:val="TextBody"/>
        <w:bidi w:val="0"/>
        <w:spacing w:before="0" w:after="0"/>
        <w:ind w:left="0" w:right="0" w:firstLine="720"/>
        <w:jc w:val="left"/>
        <w:rPr>
          <w:rFonts w:ascii="Times New Roman" w:hAnsi="Times New Roman"/>
          <w:color w:val="000000"/>
        </w:rPr>
      </w:pPr>
      <w:r>
        <w:rPr>
          <w:rFonts w:ascii="Times New Roman" w:hAnsi="Times New Roman"/>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 Counterparty represents and warrants to and for the benefit of, and undertakes to, Dealer that on the Trade Date, the assets of the Counterparty do not consist wholly or principally of real property situated in Australia for the purposes of Division 855 of the Income Tax Assessment Act 1997 (Cth).</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b/>
          <w:color w:val="000000"/>
          <w:sz w:val="20"/>
          <w:u w:val="single"/>
        </w:rPr>
        <w:t>Other Provisions</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i/>
          <w:color w:val="000000"/>
          <w:sz w:val="20"/>
          <w:u w:val="single"/>
        </w:rPr>
        <w:t>Right to Extend</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 Dealer may divide any Component into additional Components and designate the Expiration Date and the Number of Options for each such Component if Dealer determines, in good faith and a commercially reasonable manner, that such further division would be necessary or advisable to (i) preserve a Hypothetical Dealer’s hedging or hedge unwind activity with respect to the Transaction in light of existing liquidity conditions or to enable such a Hypothetical Dealer to purchase or sell Shares or enter into swap or other derivatives transactions with respect to Shares in connection with its commercially reasonable hedging, hedge unwind or settlement activity with respect to the Transaction in a manner that would, if such Hypothetical Dealer were Counterparty or an affiliated purchaser of Counterparty, be compliant and consistent with applicable legal, regulatory or self-regulatory requirements generally applicable to transactions of the type of the Transaction, including any requirement, policies or procedures relating to the Hypothetical Dealer’s hedging activities hereunder (“</w:t>
      </w:r>
      <w:r>
        <w:rPr>
          <w:rFonts w:ascii="Times New Roman" w:hAnsi="Times New Roman"/>
          <w:b/>
          <w:color w:val="000000"/>
          <w:sz w:val="20"/>
        </w:rPr>
        <w:t>Relevant Laws</w:t>
      </w:r>
      <w:r>
        <w:rPr>
          <w:rFonts w:ascii="Times New Roman" w:hAnsi="Times New Roman"/>
          <w:color w:val="000000"/>
          <w:sz w:val="20"/>
        </w:rPr>
        <w:t xml:space="preserve">” for the purposes of this Section 8(a)), or with related policies and procedures adopted by the Hypothetical Dealer in good faith so long as such policies and procedures are generally applicable in similar situations and applied in a non-discriminatory manner or (ii) to comply with any Relevant Laws; </w:t>
      </w:r>
      <w:r>
        <w:rPr>
          <w:rFonts w:ascii="Times New Roman" w:hAnsi="Times New Roman"/>
          <w:i/>
          <w:color w:val="000000"/>
          <w:sz w:val="20"/>
        </w:rPr>
        <w:t>provided</w:t>
      </w:r>
      <w:r>
        <w:rPr>
          <w:rFonts w:ascii="Times New Roman" w:hAnsi="Times New Roman"/>
          <w:color w:val="000000"/>
          <w:sz w:val="20"/>
        </w:rPr>
        <w:t xml:space="preserve"> that in no event shall any Expiration Date for any Component be postponed to a date later than the Final Termination Date.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(ii) Counterparty may, if Counterparty determines based on the advice of counsel, in good faith and in a commercially reasonable manner, that any of the representations to be repeated on the Settlement Date, in the case that the Settlement Method is Net Share Settlement, may be incorrect or misleading, postpone the Settlement Date until the earlier of (x) 90 days after the scheduled Settlement Date and (y) the date on which Counterparty makes such representations to Dealer (which representations Counterparty shall make promptly upon determining it is able to do so). If the Settlement Date shall not have occurred by such 90th day, then an Additional Termination Event shall occur in respect of the Transaction with Counterparty as the sole Affected Party.</w:t>
      </w:r>
    </w:p>
    <w:p>
      <w:pPr>
        <w:pStyle w:val="TextBody"/>
        <w:bidi w:val="0"/>
        <w:spacing w:before="0" w:after="0"/>
        <w:jc w:val="left"/>
        <w:rPr>
          <w:rFonts w:ascii="Times New Roman" w:hAnsi="Times New Roman"/>
        </w:rPr>
      </w:pPr>
      <w:r>
        <w:rPr>
          <w:rFonts w:ascii="Times New Roman" w:hAnsi="Times New Roman"/>
        </w:rPr>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i/>
          <w:color w:val="000000"/>
          <w:sz w:val="20"/>
          <w:u w:val="single"/>
        </w:rPr>
        <w:t>Additional Termination Events</w:t>
      </w:r>
      <w:r>
        <w:rPr>
          <w:rFonts w:ascii="Times New Roman" w:hAnsi="Times New Roman"/>
          <w:color w:val="000000"/>
          <w:sz w:val="20"/>
        </w:rPr>
        <w:t>. Promptly (but in any event within ten Scheduled Trading Days) following any repurchase, redemption, exchange or conversion of any of Counterparty’s [0.25]14[1.00]15% Convertible Senior Notes due [2032]16[2033]17 (the “</w:t>
      </w:r>
      <w:r>
        <w:rPr>
          <w:rFonts w:ascii="Times New Roman" w:hAnsi="Times New Roman"/>
          <w:b/>
          <w:color w:val="000000"/>
          <w:sz w:val="20"/>
        </w:rPr>
        <w:t>Convertible Notes</w:t>
      </w:r>
      <w:r>
        <w:rPr>
          <w:rFonts w:ascii="Times New Roman" w:hAnsi="Times New Roman"/>
          <w:color w:val="000000"/>
          <w:sz w:val="20"/>
        </w:rPr>
        <w:t>”) issued pursuant to Counterparty’s indenture (the “</w:t>
      </w:r>
      <w:r>
        <w:rPr>
          <w:rFonts w:ascii="Times New Roman" w:hAnsi="Times New Roman"/>
          <w:b/>
          <w:color w:val="000000"/>
          <w:sz w:val="20"/>
        </w:rPr>
        <w:t>Indenture</w:t>
      </w:r>
      <w:r>
        <w:rPr>
          <w:rFonts w:ascii="Times New Roman" w:hAnsi="Times New Roman"/>
          <w:color w:val="000000"/>
          <w:sz w:val="20"/>
        </w:rPr>
        <w:t>”) [to be]18 dated December 8, 2025 between Counterparty and U.S. Bank Trust Company, National Association, as trustee, Counterparty may notify Dealer in writing of (i) such repurchase, redemption, exchange or conversion, (ii) the number of Convertible Notes so repurchased, redeemed or converted, (iii) the number of Shares underlying each USD 1,000 principal amount of Convertible Notes and (iv) the number of Options as to which Counterparty elects to exercise its termination rights under this Section 8(b) (any such notice, a “</w:t>
      </w:r>
      <w:r>
        <w:rPr>
          <w:rFonts w:ascii="Times New Roman" w:hAnsi="Times New Roman"/>
          <w:b/>
          <w:color w:val="000000"/>
          <w:sz w:val="20"/>
        </w:rPr>
        <w:t>Repurchase Notification</w:t>
      </w:r>
      <w:r>
        <w:rPr>
          <w:rFonts w:ascii="Times New Roman" w:hAnsi="Times New Roman"/>
          <w:color w:val="000000"/>
          <w:sz w:val="20"/>
        </w:rPr>
        <w:t>” and any such event, a “</w:t>
      </w:r>
      <w:r>
        <w:rPr>
          <w:rFonts w:ascii="Times New Roman" w:hAnsi="Times New Roman"/>
          <w:b/>
          <w:color w:val="000000"/>
          <w:sz w:val="20"/>
        </w:rPr>
        <w:t>Repurchase Event</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any “Repurchase Notification” delivered to Dealer pursuant to the Base Capped Call Transaction Confirmation letter agreement dated December 3, 2025 between Dealer and Counterparty (the “</w:t>
      </w:r>
      <w:r>
        <w:rPr>
          <w:rFonts w:ascii="Times New Roman" w:hAnsi="Times New Roman"/>
          <w:b/>
          <w:color w:val="000000"/>
          <w:sz w:val="20"/>
        </w:rPr>
        <w:t>Base Call Option Confirmation</w:t>
      </w:r>
      <w:r>
        <w:rPr>
          <w:rFonts w:ascii="Times New Roman" w:hAnsi="Times New Roman"/>
          <w:color w:val="000000"/>
          <w:sz w:val="20"/>
        </w:rPr>
        <w:t xml:space="preserve">”) shall be deemed to be a Repurchase Notification pursuant to this Confirmation and the terms of such Repurchase Notification shall apply, </w:t>
      </w:r>
      <w:r>
        <w:rPr>
          <w:rFonts w:ascii="Times New Roman" w:hAnsi="Times New Roman"/>
          <w:i/>
          <w:color w:val="000000"/>
          <w:sz w:val="20"/>
        </w:rPr>
        <w:t>mutatis mutandis</w:t>
      </w:r>
      <w:r>
        <w:rPr>
          <w:rFonts w:ascii="Times New Roman" w:hAnsi="Times New Roman"/>
          <w:color w:val="000000"/>
          <w:sz w:val="20"/>
        </w:rPr>
        <w:t xml:space="preserve">, to this Confirmation]19. Notwithstanding anything to the contrary in this Confirmation, the receipt by Dealer from Counterparty of (x) any Repurchase Notification, within the applicable time period set forth in the preceding sentence, (y) a written representation and warranty by Counterparty that, as of the date of such Repurchase Notification, Counterparty is not in possession of any material non-public information regarding Counterparty or the Shares, and (z) a written representation and warranty by Counterparty that the aggregate Repurchase Options, together with any options being terminated concurrently under other capped call transactions entered into in connection with the issuance of the Convertible Notes, will not exceed the number of Shares underlying the Convertible Notes specified in such Repurchase Notification </w:t>
      </w:r>
      <w:r>
        <w:rPr>
          <w:rFonts w:ascii="Times New Roman" w:hAnsi="Times New Roman"/>
          <w:i/>
          <w:color w:val="000000"/>
          <w:sz w:val="20"/>
        </w:rPr>
        <w:t>divided by</w:t>
      </w:r>
      <w:r>
        <w:rPr>
          <w:rFonts w:ascii="Times New Roman" w:hAnsi="Times New Roman"/>
          <w:color w:val="000000"/>
          <w:sz w:val="20"/>
        </w:rPr>
        <w:t xml:space="preserve"> the Option Entitlement, shall constitute an Additional Termination Event as provided in this paragraph. Upon receipt of any such Repurchase Notification and the related written representations and warranties, Dealer shall promptly designate an Exchange Business Day following receipt of such Repurchase Notification as an Early Termination Date with respect to the portion of this Transaction corresponding to a number of Options (the “</w:t>
      </w:r>
      <w:r>
        <w:rPr>
          <w:rFonts w:ascii="Times New Roman" w:hAnsi="Times New Roman"/>
          <w:b/>
          <w:color w:val="000000"/>
          <w:sz w:val="20"/>
        </w:rPr>
        <w:t>Repurchase Options</w:t>
      </w:r>
      <w:r>
        <w:rPr>
          <w:rFonts w:ascii="Times New Roman" w:hAnsi="Times New Roman"/>
          <w:color w:val="000000"/>
          <w:sz w:val="20"/>
        </w:rPr>
        <w:t xml:space="preserve">”) equal to the lesser of (A) [(x)] the number of Options specified in such Repurchase Notification [, </w:t>
      </w:r>
      <w:r>
        <w:rPr>
          <w:rFonts w:ascii="Times New Roman" w:hAnsi="Times New Roman"/>
          <w:i/>
          <w:color w:val="000000"/>
          <w:sz w:val="20"/>
        </w:rPr>
        <w:t>minus</w:t>
      </w:r>
      <w:r>
        <w:rPr>
          <w:rFonts w:ascii="Times New Roman" w:hAnsi="Times New Roman"/>
          <w:color w:val="000000"/>
          <w:sz w:val="20"/>
        </w:rPr>
        <w:t xml:space="preserve"> (y) the number of “Repurchase Options” (as defined in the Base Call Option Confirmation), if any, that relate to such Convertible Notes (and for the purposes of determining whether any Options under this Confirmation or under, and as defined in, the Base Call Option Confirmation will be among the Repurchase Options hereunder or under, and as defined in, the Base Call Option Confirmation, the number of Convertible Notes specified in such Repurchase Notification shall be allocated first to the Base Call Option Confirmation until all Options thereunder are exercised or terminated)]20 and (B) the aggregate Number of Options as of the date Dealer designates such Early Termination Date and, as of such date, the aggregate Number of Options shall be reduced by the number of Repurchase Options on a pro rata basis across all Components, as determined by the Calculation Agent. Any payment hereunder with respect to such termination shall be calculated pursuant to Section 6 of the Agreement as if (1) an Early Termination Date had been designated in respect of a Transaction having terms identical to this Transaction and an aggregate Number of Options equal to the number of Repurchase Options, (2) Counterparty were the sole Affected Party with respect to such Additional Termination Event and (3) the terminated portion of the Transaction were the sole Affected Transaction.</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14 NTD: Insert for 2032 Notes.</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15 NTD: Insert for 2033 Notes.</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16 NTD: Insert for 2032 Notes.</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17 NTD: Insert for 2033 Notes.</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18 Include if the Indenture is not completed at the time of the Confirmation.</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19 Include in Additional Call Option Confirmation only.</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20 Include in Additional Call Option Confirmation only.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i/>
          <w:color w:val="000000"/>
          <w:sz w:val="20"/>
          <w:u w:val="single"/>
        </w:rPr>
        <w:t>Alternative Calculations and Payment on Early Termination and on Certain Extraordinary Events</w:t>
      </w:r>
      <w:r>
        <w:rPr>
          <w:rFonts w:ascii="Times New Roman" w:hAnsi="Times New Roman"/>
          <w:color w:val="000000"/>
          <w:sz w:val="20"/>
        </w:rPr>
        <w:t>. Solely on a Physical Settlement Date, 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which Event of Default or Termination Event resulted from an event or events within Counterparty’s control), and if Dealer would owe any amount to Counterparty pursuant to Section 6(d)(ii) and 6(e) of the Agreement or any Cancellation Amount pursuant to Article 12 of the Equity Definitions (any such amount, a “</w:t>
      </w:r>
      <w:r>
        <w:rPr>
          <w:rFonts w:ascii="Times New Roman" w:hAnsi="Times New Roman"/>
          <w:b/>
          <w:color w:val="000000"/>
          <w:sz w:val="20"/>
        </w:rPr>
        <w:t>Payment Obligation</w:t>
      </w:r>
      <w:r>
        <w:rPr>
          <w:rFonts w:ascii="Times New Roman" w:hAnsi="Times New Roman"/>
          <w:color w:val="000000"/>
          <w:sz w:val="20"/>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it is not in possession of any material non-public information regarding Counterparty or the Shares, and that such election is being made in good faith and not as part of a plan or scheme to evade compliance with the federal securities laws, and (c) Dealer agrees, in its commercially reasonable discretion, to such election, in which case the provisions of Section 12.7 or Section 12.9 of the Equity Definitions, or the provisions of Section 6(d)(ii) and 6(e) of the Agreement, as the case may be, shall apply. For the avoidance of doubt, at any time, the Share Termination Alternative shall not apply on a date that is not a Physical Settlement Date, and any amounts due in respect of a date that is not a Physical Settlement Date as a result of any cancellation or termination of the Transaction shall be paid in cash.</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506" w:name="z0d77152f7c944beb9a78ccdc550ce0bc"/>
      <w:bookmarkStart w:id="507" w:name="z0d77152f7c944beb9a78ccdc550ce0bc"/>
      <w:bookmarkEnd w:id="507"/>
    </w:p>
    <w:tbl>
      <w:tblPr>
        <w:tblW w:w="10205" w:type="dxa"/>
        <w:jc w:val="left"/>
        <w:tblInd w:w="0" w:type="dxa"/>
        <w:tblLayout w:type="fixed"/>
        <w:tblCellMar>
          <w:top w:w="0" w:type="dxa"/>
          <w:left w:w="0" w:type="dxa"/>
          <w:bottom w:w="0" w:type="dxa"/>
          <w:right w:w="0" w:type="dxa"/>
        </w:tblCellMar>
      </w:tblPr>
      <w:tblGrid>
        <w:gridCol w:w="1410"/>
        <w:gridCol w:w="8795"/>
      </w:tblGrid>
      <w:tr>
        <w:trPr/>
        <w:tc>
          <w:tcPr>
            <w:tcW w:w="14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Share Termination Alternative:</w:t>
            </w:r>
          </w:p>
        </w:tc>
        <w:tc>
          <w:tcPr>
            <w:tcW w:w="87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tc>
      </w:tr>
      <w:tr>
        <w:trPr/>
        <w:tc>
          <w:tcPr>
            <w:tcW w:w="141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Share Termination Delivery Property:</w:t>
            </w:r>
          </w:p>
        </w:tc>
        <w:tc>
          <w:tcPr>
            <w:tcW w:w="87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number of Share Termination Delivery Units, as calculated by the Calculation Agent in a commercially reasonable manner, equal to the Payment Obligation </w:t>
            </w:r>
            <w:r>
              <w:rPr>
                <w:rFonts w:ascii="Times New Roman" w:hAnsi="Times New Roman"/>
                <w:i/>
                <w:sz w:val="20"/>
              </w:rPr>
              <w:t>divided by</w:t>
            </w:r>
            <w:r>
              <w:rPr>
                <w:rFonts w:ascii="Times New Roman" w:hAnsi="Times New Roman"/>
                <w:sz w:val="20"/>
              </w:rPr>
              <w:t xml:space="preserve"> the Share Termination Unit Price. The Calculation Agent shall, in a commercially reasonable manner, adjust the Share Termination Delivery Property by replacing any fractional portion of a security therein with an amount of cash equal to the value of such fractional security based on the values used to calculate the Share Termination Unit Price.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8" w:name="z2fce99a016774f0ca35d09fc5ad41100"/>
      <w:bookmarkStart w:id="509" w:name="z2fce99a016774f0ca35d09fc5ad41100"/>
      <w:bookmarkEnd w:id="509"/>
    </w:p>
    <w:tbl>
      <w:tblPr>
        <w:tblW w:w="10205" w:type="dxa"/>
        <w:jc w:val="left"/>
        <w:tblInd w:w="0" w:type="dxa"/>
        <w:tblLayout w:type="fixed"/>
        <w:tblCellMar>
          <w:top w:w="0" w:type="dxa"/>
          <w:left w:w="0" w:type="dxa"/>
          <w:bottom w:w="0" w:type="dxa"/>
          <w:right w:w="0" w:type="dxa"/>
        </w:tblCellMar>
      </w:tblPr>
      <w:tblGrid>
        <w:gridCol w:w="1277"/>
        <w:gridCol w:w="8928"/>
      </w:tblGrid>
      <w:tr>
        <w:trPr/>
        <w:tc>
          <w:tcPr>
            <w:tcW w:w="12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Share Termination Unit Price:</w:t>
            </w:r>
          </w:p>
        </w:tc>
        <w:tc>
          <w:tcPr>
            <w:tcW w:w="89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a variety of factors, including the market price of the Share Termination Delivery Units and/or the purchase price paid in connection with the commercially reasonable purchase of Share Termination Delivery Property.</w:t>
            </w:r>
          </w:p>
        </w:tc>
      </w:tr>
      <w:tr>
        <w:trPr/>
        <w:tc>
          <w:tcPr>
            <w:tcW w:w="1277"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pPr>
            <w:r>
              <w:rPr/>
              <w:t> </w:t>
            </w:r>
          </w:p>
        </w:tc>
      </w:tr>
      <w:tr>
        <w:trPr/>
        <w:tc>
          <w:tcPr>
            <w:tcW w:w="12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Share Termination Delivery Unit:</w:t>
            </w:r>
          </w:p>
        </w:tc>
        <w:tc>
          <w:tcPr>
            <w:tcW w:w="89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One Share or, if the Shares have changed into cash or any other property or the right to receive cash or any other property as the result of a Nationalization, Insolvency or Merger Event (any such cash or other property, the “Exchange Property”),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tc>
      </w:tr>
      <w:tr>
        <w:trPr/>
        <w:tc>
          <w:tcPr>
            <w:tcW w:w="1277"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pPr>
            <w:r>
              <w:rPr/>
              <w:t> </w:t>
            </w:r>
          </w:p>
        </w:tc>
      </w:tr>
      <w:tr>
        <w:trPr/>
        <w:tc>
          <w:tcPr>
            <w:tcW w:w="12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Failure to Deliver:</w:t>
            </w:r>
          </w:p>
        </w:tc>
        <w:tc>
          <w:tcPr>
            <w:tcW w:w="89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Applicable</w:t>
            </w:r>
          </w:p>
        </w:tc>
      </w:tr>
      <w:tr>
        <w:trPr/>
        <w:tc>
          <w:tcPr>
            <w:tcW w:w="1277"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pPr>
            <w:r>
              <w:rPr/>
              <w:t> </w:t>
            </w:r>
          </w:p>
        </w:tc>
      </w:tr>
      <w:tr>
        <w:trPr/>
        <w:tc>
          <w:tcPr>
            <w:tcW w:w="12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Other Applicable Provisions:</w:t>
            </w:r>
          </w:p>
        </w:tc>
        <w:tc>
          <w:tcPr>
            <w:tcW w:w="89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tc>
      </w:tr>
    </w:tbl>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i/>
          <w:color w:val="000000"/>
          <w:sz w:val="20"/>
          <w:u w:val="single"/>
        </w:rPr>
        <w:t>Disposition of Hedge Shares</w:t>
      </w:r>
      <w:r>
        <w:rPr>
          <w:rFonts w:ascii="Times New Roman" w:hAnsi="Times New Roman"/>
          <w:color w:val="000000"/>
          <w:sz w:val="20"/>
        </w:rPr>
        <w:t>. Counterparty hereby agrees that if, in the good faith reasonable judgment of Dealer, based on the advice of legal counsel, the Shares acquired by Dealer for the purpose of effecting a commercially reasonable hedge of its obligations pursuant to the Transaction (the “</w:t>
      </w:r>
      <w:r>
        <w:rPr>
          <w:rFonts w:ascii="Times New Roman" w:hAnsi="Times New Roman"/>
          <w:b/>
          <w:color w:val="000000"/>
          <w:sz w:val="20"/>
        </w:rPr>
        <w:t>Hedge</w:t>
      </w:r>
      <w:r>
        <w:rPr>
          <w:rFonts w:ascii="Times New Roman" w:hAnsi="Times New Roman"/>
          <w:color w:val="000000"/>
          <w:sz w:val="20"/>
        </w:rPr>
        <w:t> </w:t>
      </w:r>
      <w:r>
        <w:rPr>
          <w:rFonts w:ascii="Times New Roman" w:hAnsi="Times New Roman"/>
          <w:b/>
          <w:color w:val="000000"/>
          <w:sz w:val="20"/>
        </w:rPr>
        <w:t>Shares</w:t>
      </w:r>
      <w:r>
        <w:rPr>
          <w:rFonts w:ascii="Times New Roman" w:hAnsi="Times New Roman"/>
          <w:color w:val="000000"/>
          <w:sz w:val="20"/>
        </w:rPr>
        <w:t xml:space="preserve">”)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 (C)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Times New Roman" w:hAnsi="Times New Roman"/>
          <w:i/>
          <w:color w:val="000000"/>
          <w:sz w:val="20"/>
        </w:rPr>
        <w:t>provided, however</w:t>
      </w:r>
      <w:r>
        <w:rPr>
          <w:rFonts w:ascii="Times New Roman" w:hAnsi="Times New Roman"/>
          <w:color w:val="000000"/>
          <w:sz w:val="20"/>
        </w:rPr>
        <w:t>, that, if Counterparty elects clause (i) above but Dealer, in its sole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w:t>
      </w:r>
      <w:r>
        <w:rPr>
          <w:rFonts w:ascii="Times New Roman" w:hAnsi="Times New Roman"/>
          <w:color w:val="0000FF"/>
          <w:sz w:val="20"/>
        </w:rPr>
        <w:t> </w:t>
      </w:r>
      <w:r>
        <w:rPr>
          <w:rFonts w:ascii="Times New Roman" w:hAnsi="Times New Roman"/>
          <w:i/>
          <w:color w:val="000000"/>
          <w:sz w:val="20"/>
        </w:rPr>
        <w:t xml:space="preserve">provided </w:t>
      </w:r>
      <w:r>
        <w:rPr>
          <w:rFonts w:ascii="Times New Roman" w:hAnsi="Times New Roman"/>
          <w:color w:val="000000"/>
          <w:sz w:val="20"/>
        </w:rPr>
        <w:t xml:space="preserve">that Dealer has given Counterparty reasonable notice of its determination and provided Counterparty with reasonable opportunity to satisfy Dealer’s concerns; (ii) in order to allow Dealer to sell the Hedge Shares in a private placement, enter into a private placement agreement substantially similar to private placement purchase agreements customary for private placements of equity securities of companies of a similar size in a similar industry, in form and substance commercially reasonably satisfactory to Dealer using reasonable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w:t>
      </w:r>
      <w:r>
        <w:rPr>
          <w:rFonts w:ascii="Times New Roman" w:hAnsi="Times New Roman"/>
          <w:i/>
          <w:color w:val="000000"/>
          <w:sz w:val="20"/>
        </w:rPr>
        <w:t>provided</w:t>
      </w:r>
      <w:r>
        <w:rPr>
          <w:rFonts w:ascii="Times New Roman" w:hAnsi="Times New Roman"/>
          <w:color w:val="000000"/>
          <w:sz w:val="20"/>
        </w:rPr>
        <w:t xml:space="preserve"> that no “comfort letter” or accountants’ consent shall be required to be delivered in connection with any private placements; or (iii) at any time on a Physical Settlement Date, purchase the Hedge Shares from Dealer at the then-prevailing market price at one or more times on such Exchange Business Days, and in the amounts, requested by Dealer.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i/>
          <w:color w:val="000000"/>
          <w:sz w:val="20"/>
          <w:u w:val="single"/>
        </w:rPr>
        <w:t>Repurchase Notices</w:t>
      </w:r>
      <w:r>
        <w:rPr>
          <w:rFonts w:ascii="Times New Roman" w:hAnsi="Times New Roman"/>
          <w:color w:val="000000"/>
          <w:sz w:val="20"/>
        </w:rPr>
        <w:t>. If at any time Counterparty is subject to Section 16 of the Exchange Act, Counterparty shall, at least one Scheduled Valid Day prior to any day on which Counterparty intends to effect any repurchase of Shares, give Dealer written notice of such repurchase (a “</w:t>
      </w:r>
      <w:r>
        <w:rPr>
          <w:rFonts w:ascii="Times New Roman" w:hAnsi="Times New Roman"/>
          <w:b/>
          <w:color w:val="000000"/>
          <w:sz w:val="20"/>
        </w:rPr>
        <w:t>Repurchase Notice</w:t>
      </w:r>
      <w:r>
        <w:rPr>
          <w:rFonts w:ascii="Times New Roman" w:hAnsi="Times New Roman"/>
          <w:color w:val="000000"/>
          <w:sz w:val="20"/>
        </w:rPr>
        <w:t xml:space="preserve">”) on such day if, following such repurchase, the Notice Percentage would reasonably be expected to be (i) greater than 14.54% and (ii) greater by 0.5% than the Notice Percentage included in the immediately preceding Repurchase Notice (or, in the case of the first such Repurchase Notice, greater than the Notice Percentage as of the date hereof); </w:t>
      </w:r>
      <w:r>
        <w:rPr>
          <w:rFonts w:ascii="Times New Roman" w:hAnsi="Times New Roman"/>
          <w:i/>
          <w:color w:val="000000"/>
          <w:sz w:val="20"/>
        </w:rPr>
        <w:t>provided</w:t>
      </w:r>
      <w:r>
        <w:rPr>
          <w:rFonts w:ascii="Times New Roman" w:hAnsi="Times New Roman"/>
          <w:color w:val="000000"/>
          <w:sz w:val="20"/>
        </w:rPr>
        <w:t xml:space="preserve"> that, in the case of any repurchases of Shares pursuant to a plan under Rule 10b5-1 under the Exchange Act, Counterparty may elect to satisfy such requirement by promptly providing Dealer with advance written notice on or prior to any such day of entry into such plan, the maximum number of Shares that may be purchased thereunder and the approximate dates or periods during which such purchases may occur (with such maximum number of Shares deemed repurchased on the date of such notice for purposes of this Section 8(e)), in each case so long as such advance written notice shall not contain any material non-public information with respect to the Issuer or the Shares. The “</w:t>
      </w:r>
      <w:r>
        <w:rPr>
          <w:rFonts w:ascii="Times New Roman" w:hAnsi="Times New Roman"/>
          <w:b/>
          <w:color w:val="000000"/>
          <w:sz w:val="20"/>
        </w:rPr>
        <w:t>Notice Percentage</w:t>
      </w:r>
      <w:r>
        <w:rPr>
          <w:rFonts w:ascii="Times New Roman" w:hAnsi="Times New Roman"/>
          <w:color w:val="000000"/>
          <w:sz w:val="20"/>
        </w:rPr>
        <w:t xml:space="preserve">” as of any day is the fraction, expressed as a percentage, the numerator of which is the aggregate Number of Shares, </w:t>
      </w:r>
      <w:r>
        <w:rPr>
          <w:rFonts w:ascii="Times New Roman" w:hAnsi="Times New Roman"/>
          <w:i/>
          <w:color w:val="000000"/>
          <w:sz w:val="20"/>
        </w:rPr>
        <w:t>plus</w:t>
      </w:r>
      <w:r>
        <w:rPr>
          <w:rFonts w:ascii="Times New Roman" w:hAnsi="Times New Roman"/>
          <w:color w:val="000000"/>
          <w:sz w:val="20"/>
        </w:rPr>
        <w:t xml:space="preserve"> the aggregate number of Shares underlying any other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 w:hAnsi="Times New Roman"/>
          <w:b/>
          <w:color w:val="000000"/>
          <w:sz w:val="20"/>
        </w:rPr>
        <w:t>Indemnified Party</w:t>
      </w:r>
      <w:r>
        <w:rPr>
          <w:rFonts w:ascii="Times New Roman" w:hAnsi="Times New Roman"/>
          <w:color w:val="000000"/>
          <w:sz w:val="20"/>
        </w:rPr>
        <w:t>”) from and against any and all commercially reasonable losses (including, if applicable, direct losses relating to Dealer’s commercially reasonable hedging activities as a consequence of becoming, or of the risk of becoming, a Section 16 “insider” or otherwise obtaining “inside information” as defined in the Corporations Act,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or, if applicable, under the Corporations Act, ASIC Act or any other law, regulation or regulatory order of an Australian law,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commercially reasonable expenses (including commercially reasonable outside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Counterparty shall be relieved from liability under this Section 8(e) to the extent that the Indemnified Party fails promptly to notify Counterparty of any action commenced against it in respect of which indemnity may be sought hereunder (it being understood that any such notice delivered within 30 calendar days of the commencement of any such action shall be deemed to have been delivered promptly for such purpose), if and to the extent that Counterparty is materially prejudiced by such delayed notification. This indemnity shall survive the completion of the Transaction contemplated by this Confirmation and any assignment and delegation of the Transaction made pursuant to this Confirmation or the Agreement and shall inure to the benefit of any permitted assignee of Dealer. Counterparty will not be liable under this indemnity provision to the extent any loss, claim, damage, liability or expense is conclusively found in a final and non-appealable judgment by a court of competent jurisdiction to have resulted from Dealer’s gross negligence or willful misconduct.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i/>
          <w:color w:val="000000"/>
          <w:sz w:val="20"/>
          <w:u w:val="single"/>
        </w:rPr>
        <w:t>Transfer and Assignment</w:t>
      </w:r>
      <w:r>
        <w:rPr>
          <w:rFonts w:ascii="Times New Roman" w:hAnsi="Times New Roman"/>
          <w:color w:val="000000"/>
          <w:sz w:val="20"/>
        </w:rPr>
        <w:t xml:space="preserve">. Either party may transfer or assign any of its rights or obligations under the Transaction with the prior written consent of the non-transferring party, such consent not to be unreasonably withheld or delayed; </w:t>
      </w:r>
      <w:r>
        <w:rPr>
          <w:rFonts w:ascii="Times New Roman" w:hAnsi="Times New Roman"/>
          <w:i/>
          <w:color w:val="000000"/>
          <w:sz w:val="20"/>
        </w:rPr>
        <w:t>provided</w:t>
      </w:r>
      <w:r>
        <w:rPr>
          <w:rFonts w:ascii="Times New Roman" w:hAnsi="Times New Roman"/>
          <w:color w:val="000000"/>
          <w:sz w:val="20"/>
        </w:rPr>
        <w:t xml:space="preserve"> that Dealer may transfer or assign its rights and obligations hereunder, in whole or in part, without Counterparty’s consent, to any affiliate of Dealer (a “</w:t>
      </w:r>
      <w:r>
        <w:rPr>
          <w:rFonts w:ascii="Times New Roman" w:hAnsi="Times New Roman"/>
          <w:b/>
          <w:color w:val="000000"/>
          <w:sz w:val="20"/>
        </w:rPr>
        <w:t>Designated Transferee</w:t>
      </w:r>
      <w:r>
        <w:rPr>
          <w:rFonts w:ascii="Times New Roman" w:hAnsi="Times New Roman"/>
          <w:color w:val="000000"/>
          <w:sz w:val="20"/>
        </w:rPr>
        <w:t xml:space="preserve">”) (A) whose obligations would be guaranteed by Dealer or Dealer’s ultimate parent or (B) that has, or whose obligations would be guaranteed by a person with, in either case under this clause (B), a rating for its long-term, unsecured and unsubordinated indebtedness at least equivalent to Dealer’s (or its guarantor’s) at the time of such transfer or assignment,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in the case of this clause (B), in no event shall the credit rating of the Designated Transferee or of its guarantor (whichever is higher) be lower than A3 from Moody’s Investors Service, Inc. or its successor or A- from S&amp;P Global Ratings, a division of S&amp;P Global Inc., or its successor; </w:t>
      </w:r>
      <w:r>
        <w:rPr>
          <w:rFonts w:ascii="Times New Roman" w:hAnsi="Times New Roman"/>
          <w:i/>
          <w:color w:val="000000"/>
          <w:sz w:val="20"/>
        </w:rPr>
        <w:t>provided further</w:t>
      </w:r>
      <w:r>
        <w:rPr>
          <w:rFonts w:ascii="Times New Roman" w:hAnsi="Times New Roman"/>
          <w:color w:val="000000"/>
          <w:sz w:val="20"/>
        </w:rPr>
        <w:t xml:space="preserve"> that (i) Dealer will notify Counterparty in writing prior to or promptly after any proposed transfer or assignment to a Designated Transferee, (ii) after any such transfer or assignment, Counterparty will not, as a result of any withholding or deduction made by the transferee or assignee as a result of any tax, receive from such transferee or assignee on any payment date or delivery date (after accounting for amounts paid under Section 2(d)(i)(4) of the Agreement as well as such withholding or deduction from the payment or delivery) an amount or a number of Shares, as applicable, lower than the amount or the number of Shares, as applicable, that Counterparty would have received in the absence of such transfer or assignment, and (iii) Dealer shall cause the transferee or assignee to make such Payee Tax Representations as are reasonably acceptable to Counterparty and provide Counterparty with a complete and accurate U.S. Internal Revenue Service Form W-9 or W-8 (as applicable), and any other tax documentation as may be reasonably requested by Counterparty, prior to becoming a party to the Transaction to permit Counterparty to determine that results described in clause (ii) will not occur upon or after such transfer or assignment. At any time at which (1) the Equity Percentage exceeds 8.0% or (2) Dealer, Dealer Group (as defined below) or any person whose ownership position would be aggregated with that of Dealer or Dealer Group (Dealer, Dealer Group or any such person, a “</w:t>
      </w:r>
      <w:r>
        <w:rPr>
          <w:rFonts w:ascii="Times New Roman" w:hAnsi="Times New Roman"/>
          <w:b/>
          <w:color w:val="000000"/>
          <w:sz w:val="20"/>
        </w:rPr>
        <w:t>Dealer Person</w:t>
      </w:r>
      <w:r>
        <w:rPr>
          <w:rFonts w:ascii="Times New Roman" w:hAnsi="Times New Roman"/>
          <w:color w:val="000000"/>
          <w:sz w:val="20"/>
        </w:rPr>
        <w:t>”) under any applicable “business combinations statute” or other federal, state or local law, rule, regulation or regulatory order or organizational documents or contracts of Counterparty applicable to ownership of Shares (“</w:t>
      </w:r>
      <w:r>
        <w:rPr>
          <w:rFonts w:ascii="Times New Roman" w:hAnsi="Times New Roman"/>
          <w:b/>
          <w:color w:val="000000"/>
          <w:sz w:val="20"/>
        </w:rPr>
        <w:t>Applicable Restrictions</w:t>
      </w:r>
      <w:r>
        <w:rPr>
          <w:rFonts w:ascii="Times New Roman" w:hAnsi="Times New Roman"/>
          <w:color w:val="000000"/>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could result in an adverse effect on a Dealer Person, under any Applicable Restriction, as determined by Dealer in its reasonable discretion </w:t>
      </w:r>
      <w:r>
        <w:rPr>
          <w:rFonts w:ascii="Times New Roman" w:hAnsi="Times New Roman"/>
          <w:i/>
          <w:color w:val="000000"/>
          <w:sz w:val="20"/>
        </w:rPr>
        <w:t>minus</w:t>
      </w:r>
      <w:r>
        <w:rPr>
          <w:rFonts w:ascii="Times New Roman" w:hAnsi="Times New Roman"/>
          <w:color w:val="000000"/>
          <w:sz w:val="20"/>
        </w:rPr>
        <w:t xml:space="preserve"> (y) 1% of the number of Shares outstanding on the date of determination (either such condition described in clause (1) or (2), an “</w:t>
      </w:r>
      <w:r>
        <w:rPr>
          <w:rFonts w:ascii="Times New Roman" w:hAnsi="Times New Roman"/>
          <w:b/>
          <w:color w:val="000000"/>
          <w:sz w:val="20"/>
        </w:rPr>
        <w:t>Excess Ownership Position</w:t>
      </w:r>
      <w:r>
        <w:rPr>
          <w:rFonts w:ascii="Times New Roman" w:hAnsi="Times New Roman"/>
          <w:color w:val="000000"/>
          <w:sz w:val="20"/>
        </w:rPr>
        <w:t>”), if Dealer, in its commercially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Valid Day as an Early Termination Date with respect to a portion (the “</w:t>
      </w:r>
      <w:r>
        <w:rPr>
          <w:rFonts w:ascii="Times New Roman" w:hAnsi="Times New Roman"/>
          <w:b/>
          <w:color w:val="000000"/>
          <w:sz w:val="20"/>
        </w:rPr>
        <w:t>Terminated Portion</w:t>
      </w:r>
      <w:r>
        <w:rPr>
          <w:rFonts w:ascii="Times New Roman" w:hAnsi="Times New Roman"/>
          <w:color w:val="000000"/>
          <w:sz w:val="20"/>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 w:hAnsi="Times New Roman"/>
          <w:b/>
          <w:color w:val="000000"/>
          <w:sz w:val="20"/>
        </w:rPr>
        <w:t>Equity Percentage</w:t>
      </w:r>
      <w:r>
        <w:rPr>
          <w:rFonts w:ascii="Times New Roman" w:hAnsi="Times New Roman"/>
          <w:color w:val="000000"/>
          <w:sz w:val="20"/>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Rule 13d-5(b)(1) under the Exchange Act) of which Dealer is or may be deemed to be a part (collectively, “</w:t>
      </w:r>
      <w:r>
        <w:rPr>
          <w:rFonts w:ascii="Times New Roman" w:hAnsi="Times New Roman"/>
          <w:b/>
          <w:color w:val="000000"/>
          <w:sz w:val="20"/>
        </w:rPr>
        <w:t>Dealer Group</w:t>
      </w:r>
      <w:r>
        <w:rPr>
          <w:rFonts w:ascii="Times New Roman" w:hAnsi="Times New Roman"/>
          <w:color w:val="000000"/>
          <w:sz w:val="20"/>
        </w:rPr>
        <w:t>”) “beneficially owns” (within the meaning of Section 13 of the Exchange Act), without duplication, on such day (or, to the extent that Counterparty is subject to Section 16 of the Exchange Act and, for any reason, the equivalent calculation under Section 16 of the Exchange Act and the rules and regulations thereunder results in a higher number, such higher number) and (B) the denominator of which is the number of Shares outstanding on such day.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the case of a transfer or assignment by Counterparty of its rights and obligations hereunder and under the Agreement, in whole or in part (any such Options so transferred or assigned, the “</w:t>
      </w:r>
      <w:r>
        <w:rPr>
          <w:rFonts w:ascii="Times New Roman" w:hAnsi="Times New Roman"/>
          <w:b/>
          <w:color w:val="000000"/>
          <w:sz w:val="20"/>
        </w:rPr>
        <w:t>Transfer Options</w:t>
      </w:r>
      <w:r>
        <w:rPr>
          <w:rFonts w:ascii="Times New Roman" w:hAnsi="Times New Roman"/>
          <w:color w:val="000000"/>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(B) [Reserved]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(C) such transfer or assignment shall be effected on terms, including any commercially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and reasonably satisfactory to Dealer;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(D) Dealer will not, as a result of such transfer or assignment, be required to pay or deliver, as applicable, on any payment date or delivery date (after accounting for amounts paid under Section 2(d)(i)(4) of the Agreement) an amount or a number of Shares, as applicable, greater than an amount or the number of Shares, as applicable, that Dealer would have been required to pay or deliver to Counterparty in the absence of such transfer or assignment;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(E) an Event of Default, Potential Event of Default or Termination Event will not occur as a result of such transfer or assignment;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(F) Counterparty shall have caused the transferee or assignee to make such Payee Tax Representations as are reasonably acceptable to Dealer and to provide a properly executed U.S. Internal Revenue Service Form W-9 or applicable Form W-8 and any such tax documentation as may be reasonably requested by Dealer to permit Dealer to determine that results described in clause (D) will not occur upon or after such transfer or assignment; and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(G) Counterparty shall be responsible for all commercially reasonable costs and expenses, including reasonable counsel fees, incurred by Dealer in connection with such transfer or assignment.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For the avoidance of doubt, the representations and covenants with respect to Sections 8(t) and 8(u)(ii) shall remain unaffected by such designation. Dealer shall be discharged of its obligations to Counterparty to the extent of any such performance.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i/>
          <w:color w:val="000000"/>
          <w:sz w:val="20"/>
          <w:u w:val="single"/>
        </w:rPr>
        <w:t>Staggered Settlement</w:t>
      </w:r>
      <w:r>
        <w:rPr>
          <w:rFonts w:ascii="Times New Roman" w:hAnsi="Times New Roman"/>
          <w:color w:val="000000"/>
          <w:sz w:val="20"/>
        </w:rPr>
        <w:t>. If Dealer determines reasonably and in good faith based on the reasonable advice of counsel (a) with respect to applicable legal and regulatory requirements, including any requirements relating to a Hypothetical Dealer’s Applicable Hedge Positions, that it would not be practicable or advisable to deliver, or to acquire Shares to deliver, any or all of the Shares to be delivered by Dealer on the Settlement Date or (b) that the number of Shares required to be delivered to Counterparty hereunder on the Settlement Date would result in an Excess Ownership Position, then Dealer may, by notice to Counterparty prior to the Settlement Date (a “</w:t>
      </w:r>
      <w:r>
        <w:rPr>
          <w:rFonts w:ascii="Times New Roman" w:hAnsi="Times New Roman"/>
          <w:b/>
          <w:color w:val="000000"/>
          <w:sz w:val="20"/>
        </w:rPr>
        <w:t>Nominal Settlement Date</w:t>
      </w:r>
      <w:r>
        <w:rPr>
          <w:rFonts w:ascii="Times New Roman" w:hAnsi="Times New Roman"/>
          <w:color w:val="000000"/>
          <w:sz w:val="20"/>
        </w:rPr>
        <w:t>”), elect to deliver any Shares due to be delivered on two or more dates (each, a “</w:t>
      </w:r>
      <w:r>
        <w:rPr>
          <w:rFonts w:ascii="Times New Roman" w:hAnsi="Times New Roman"/>
          <w:b/>
          <w:color w:val="000000"/>
          <w:sz w:val="20"/>
        </w:rPr>
        <w:t>Staggered Settlement Date</w:t>
      </w:r>
      <w:r>
        <w:rPr>
          <w:rFonts w:ascii="Times New Roman" w:hAnsi="Times New Roman"/>
          <w:color w:val="000000"/>
          <w:sz w:val="20"/>
        </w:rPr>
        <w:t>”) or at two or more times on the Nominal Settlement Date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 in such notice, Dealer will specify to Counterparty the related Staggered Settlement Dates (each of which will be on or prior to such Nominal Settlement Date) or delivery times and how it will allocate the Shares it is required to deliver hereunder on the Settlement Date among the Staggered Settlement Dates or delivery times; and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 xml:space="preserve">(ii) the aggregate number of Shares that Dealer will deliver to Counterparty hereunder on all such Staggered Settlement Dates and delivery times will equal the number of Shares that Dealer would otherwise be required to deliver on such Nominal Settlement Date; </w:t>
      </w:r>
      <w:r>
        <w:rPr>
          <w:rFonts w:ascii="Times New Roman" w:hAnsi="Times New Roman"/>
          <w:i/>
          <w:color w:val="000000"/>
          <w:sz w:val="20"/>
        </w:rPr>
        <w:t>provided</w:t>
      </w:r>
      <w:r>
        <w:rPr>
          <w:rFonts w:ascii="Times New Roman" w:hAnsi="Times New Roman"/>
          <w:color w:val="000000"/>
          <w:sz w:val="20"/>
        </w:rPr>
        <w:t xml:space="preserve"> that in no event shall any Staggered Settlement Date be a date later than the Final Termination Date.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i/>
          <w:color w:val="000000"/>
          <w:sz w:val="20"/>
          <w:u w:val="single"/>
        </w:rPr>
        <w:t>Tax Disclosure</w:t>
      </w:r>
      <w:r>
        <w:rPr>
          <w:rFonts w:ascii="Times New Roman" w:hAnsi="Times New Roman"/>
          <w:color w:val="000000"/>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i/>
          <w:color w:val="000000"/>
          <w:sz w:val="20"/>
          <w:u w:val="single"/>
        </w:rPr>
        <w:t>No Netting and Set-off</w:t>
      </w:r>
      <w:r>
        <w:rPr>
          <w:rFonts w:ascii="Times New Roman" w:hAnsi="Times New Roman"/>
          <w:i/>
          <w:color w:val="000000"/>
          <w:sz w:val="20"/>
        </w:rPr>
        <w:t xml:space="preserve">. </w:t>
      </w:r>
      <w:r>
        <w:rPr>
          <w:rFonts w:ascii="Times New Roman" w:hAnsi="Times New Roman"/>
          <w:color w:val="000000"/>
          <w:sz w:val="20"/>
        </w:rPr>
        <w:t>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i/>
          <w:color w:val="000000"/>
          <w:sz w:val="20"/>
          <w:u w:val="single"/>
        </w:rPr>
        <w:t>Equity Rights</w:t>
      </w:r>
      <w:r>
        <w:rPr>
          <w:rFonts w:ascii="Times New Roman" w:hAnsi="Times New Roman"/>
          <w:color w:val="000000"/>
          <w:sz w:val="20"/>
        </w:rPr>
        <w:t>. Dealer acknowledges and agrees that this Confirmation is not intended to convey to it rights with respect to the Transaction that are senior to the claims of shareholders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i/>
          <w:color w:val="000000"/>
          <w:sz w:val="20"/>
          <w:u w:val="single"/>
        </w:rPr>
        <w:t>Early Unwind</w:t>
      </w:r>
      <w:r>
        <w:rPr>
          <w:rFonts w:ascii="Times New Roman" w:hAnsi="Times New Roman"/>
          <w:color w:val="000000"/>
          <w:sz w:val="20"/>
        </w:rPr>
        <w:t>. In the event the sale of the [“Firm Securities”]21 [“Option Securities”]22 (as defined in the Purchase Agreement dated as of December 2, 2025, among Counterparty and Citigroup Global Markets Inc., Goldman Sachs &amp; Co. LLC and J.P. Morgan Securities LLC, as representatives of the Initial Purchasers party thereto (the “</w:t>
      </w:r>
      <w:r>
        <w:rPr>
          <w:rFonts w:ascii="Times New Roman" w:hAnsi="Times New Roman"/>
          <w:b/>
          <w:color w:val="000000"/>
          <w:sz w:val="20"/>
        </w:rPr>
        <w:t>Initial Purchasers</w:t>
      </w:r>
      <w:r>
        <w:rPr>
          <w:rFonts w:ascii="Times New Roman" w:hAnsi="Times New Roman"/>
          <w:color w:val="000000"/>
          <w:sz w:val="20"/>
        </w:rPr>
        <w:t>”)) is not consummated with the Initial Purchasers for any reason by 5:00 p.m. (New York City time) on the Premium Payment Date, or such later date as agreed upon by the parties (the Premium Payment Date or such later date, the “</w:t>
      </w:r>
      <w:r>
        <w:rPr>
          <w:rFonts w:ascii="Times New Roman" w:hAnsi="Times New Roman"/>
          <w:b/>
          <w:color w:val="000000"/>
          <w:sz w:val="20"/>
        </w:rPr>
        <w:t>Early Unwind Date</w:t>
      </w:r>
      <w:r>
        <w:rPr>
          <w:rFonts w:ascii="Times New Roman" w:hAnsi="Times New Roman"/>
          <w:color w:val="000000"/>
          <w:sz w:val="20"/>
        </w:rPr>
        <w:t>”), the Transaction shall automatically terminate (the “</w:t>
      </w:r>
      <w:r>
        <w:rPr>
          <w:rFonts w:ascii="Times New Roman" w:hAnsi="Times New Roman"/>
          <w:b/>
          <w:color w:val="000000"/>
          <w:sz w:val="20"/>
        </w:rPr>
        <w:t>Early Unwind</w:t>
      </w:r>
      <w:r>
        <w:rPr>
          <w:rFonts w:ascii="Times New Roman" w:hAnsi="Times New Roman"/>
          <w:color w:val="000000"/>
          <w:sz w:val="20"/>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i/>
          <w:color w:val="000000"/>
          <w:sz w:val="20"/>
          <w:u w:val="single"/>
        </w:rPr>
        <w:t>Wall Street Transparency and Accountability Act</w:t>
      </w:r>
      <w:r>
        <w:rPr>
          <w:rFonts w:ascii="Times New Roman" w:hAnsi="Times New Roman"/>
          <w:i/>
          <w:color w:val="000000"/>
          <w:sz w:val="20"/>
        </w:rPr>
        <w:t xml:space="preserve">. </w:t>
      </w:r>
      <w:r>
        <w:rPr>
          <w:rFonts w:ascii="Times New Roman" w:hAnsi="Times New Roman"/>
          <w:color w:val="000000"/>
          <w:sz w:val="20"/>
        </w:rPr>
        <w:t>In connection with Section 739 of the Wall Street Transparency and Accountability Act of 2010 (“</w:t>
      </w:r>
      <w:r>
        <w:rPr>
          <w:rFonts w:ascii="Times New Roman" w:hAnsi="Times New Roman"/>
          <w:b/>
          <w:color w:val="000000"/>
          <w:sz w:val="20"/>
        </w:rPr>
        <w:t>WSTAA</w:t>
      </w:r>
      <w:r>
        <w:rPr>
          <w:rFonts w:ascii="Times New Roman" w:hAnsi="Times New Roman"/>
          <w:color w:val="000000"/>
          <w:sz w:val="20"/>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i/>
          <w:color w:val="000000"/>
          <w:sz w:val="20"/>
          <w:u w:val="single"/>
        </w:rPr>
        <w:t>Amendments to Equity Definitions</w:t>
      </w:r>
      <w:r>
        <w:rPr>
          <w:rFonts w:ascii="Times New Roman" w:hAnsi="Times New Roman"/>
          <w:color w:val="000000"/>
          <w:sz w:val="20"/>
        </w:rPr>
        <w:t>. The following amendments shall be made to the Equity Definitions: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 solely for purposes of applying the Equity Definitions and for purposes of this Confirmation, any reference in the Equity Definitions to a Strike Price shall be deemed to be a reference to either of the Strike Price or the Cap Price, or both, as appropriate;</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21 Insert for Base Call Option Confirmation.</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22 Insert for Additional Call Option Confirmation.</w:t>
      </w:r>
    </w:p>
    <w:p>
      <w:pPr>
        <w:pStyle w:val="TextBody"/>
        <w:bidi w:val="0"/>
        <w:spacing w:before="0" w:after="0"/>
        <w:ind w:left="360" w:right="0" w:hanging="36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(ii) for the purpose of any adjustment under Section 11.2(c) of the Equity Definitions, the first sentence of Section 11.2(c) of the Equity Definitions, prior to clause (A) thereof, is hereby amended to read as follows: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Times New Roman" w:hAnsi="Times New Roman"/>
          <w:i/>
          <w:color w:val="000000"/>
          <w:sz w:val="20"/>
        </w:rPr>
        <w:t>provided</w:t>
      </w:r>
      <w:r>
        <w:rPr>
          <w:rFonts w:ascii="Times New Roman" w:hAnsi="Times New Roman"/>
          <w:color w:val="000000"/>
          <w:sz w:val="20"/>
        </w:rPr>
        <w:t xml:space="preserve"> that such event is not based on (x) an observable market, other than the market for Counterparty’s own stock or (y) an observable index, other than an index calculated and measured solely by reference to Counterparty’s own operations) and, if so, will (i) make appropriate adjustment(s), if any, determined in a commercially reasonable manner, to any one or more of:”, and the portion of such sentence immediately preceding clause (ii) thereof is hereby amended by deleting the words “diluting or concentrative” and the words “(</w:t>
      </w:r>
      <w:r>
        <w:rPr>
          <w:rFonts w:ascii="Times New Roman" w:hAnsi="Times New Roman"/>
          <w:i/>
          <w:color w:val="000000"/>
          <w:sz w:val="20"/>
        </w:rPr>
        <w:t>provided</w:t>
      </w:r>
      <w:r>
        <w:rPr>
          <w:rFonts w:ascii="Times New Roman" w:hAnsi="Times New Roman"/>
          <w:color w:val="000000"/>
          <w:sz w:val="20"/>
        </w:rPr>
        <w:t xml:space="preserve"> that no adjustments will be made to account solely for changes in volatility, expected dividends, stock loan rate or liquidity relative to the relevant Shares)” and replacing such latter phrase with the words “(</w:t>
      </w:r>
      <w:r>
        <w:rPr>
          <w:rFonts w:ascii="Times New Roman" w:hAnsi="Times New Roman"/>
          <w:i/>
          <w:color w:val="000000"/>
          <w:sz w:val="20"/>
        </w:rPr>
        <w:t>provided</w:t>
      </w:r>
      <w:r>
        <w:rPr>
          <w:rFonts w:ascii="Times New Roman" w:hAnsi="Times New Roman"/>
          <w:color w:val="000000"/>
          <w:sz w:val="20"/>
        </w:rPr>
        <w:t xml:space="preserve"> that solely in the case of Sections 11.2(e)(i), (ii)(A) and (iv), no adjustments will be made to account solely for changes in volatility, expected dividends, stock loan rate, or liquidity relative to the relevant Shares as determined by the Calculation Agent in a commercially reasonable manner, but, for the avoidance of doubt, solely in the case of Sections 11.2(e)(ii)(B) through (D), (iii), (v), (vi) and (vii), adjustments may be made to account solely for changes in volatility, expected dividends, stock loan rate or liquidity relative to the relevant Shares)”;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 xml:space="preserve">(iii) Section 11.2(a) of the Equity Definitions is hereby amended by (1) deleting the words “in the determination of the Calculation Agent, a diluting or concentrative effect on the theoretical value of the relevant Shares” and replacing these words with “in the commercially reasonable judgment of the Calculation Agent, a material economic effect on the theoretical value of the Shares or options on such Shares”; and (2) adding at the end thereof “; </w:t>
      </w:r>
      <w:r>
        <w:rPr>
          <w:rFonts w:ascii="Times New Roman" w:hAnsi="Times New Roman"/>
          <w:i/>
          <w:color w:val="000000"/>
          <w:sz w:val="20"/>
        </w:rPr>
        <w:t>provided</w:t>
      </w:r>
      <w:r>
        <w:rPr>
          <w:rFonts w:ascii="Times New Roman" w:hAnsi="Times New Roman"/>
          <w:color w:val="000000"/>
          <w:sz w:val="20"/>
        </w:rPr>
        <w:t xml:space="preserve"> that such event is not based on (i) an observable market, other than the market for Counterparty’s own stock or (ii) an observable index, other than an index calculated and measured solely by reference to Counterparty’s own operations”;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 xml:space="preserve">(iv) 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on the Shares; </w:t>
      </w:r>
      <w:r>
        <w:rPr>
          <w:rFonts w:ascii="Times New Roman" w:hAnsi="Times New Roman"/>
          <w:i/>
          <w:color w:val="000000"/>
          <w:sz w:val="20"/>
        </w:rPr>
        <w:t>provided</w:t>
      </w:r>
      <w:r>
        <w:rPr>
          <w:rFonts w:ascii="Times New Roman" w:hAnsi="Times New Roman"/>
          <w:color w:val="000000"/>
          <w:sz w:val="20"/>
        </w:rPr>
        <w:t xml:space="preserve"> that such corporate event involving the Issuer is not based on (a) an observable market, other than the market for Counterparty’s own stock or (b) an observable index, other than an index calculated and measured solely by reference to Counterparty’s own operations.”;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(v) Section 12.7(b) of the Equity Definitions is hereby amended by deleting the words “(and in any event within five Exchange Business Days) by the parties after” appearing after the words “agreed promptly” and replacing with the words “by the parties on or prior to”; and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(vi) “Extraordinary Dividend” (as such term is used in the Equity Definitions) means any cash dividend on the Shares.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(n) </w:t>
      </w:r>
      <w:r>
        <w:rPr>
          <w:rFonts w:ascii="Times New Roman" w:hAnsi="Times New Roman"/>
          <w:i/>
          <w:color w:val="000000"/>
          <w:sz w:val="20"/>
          <w:u w:val="single"/>
        </w:rPr>
        <w:t>Governing Law</w:t>
      </w:r>
      <w:r>
        <w:rPr>
          <w:rFonts w:ascii="Times New Roman" w:hAnsi="Times New Roman"/>
          <w:color w:val="000000"/>
          <w:sz w:val="20"/>
        </w:rPr>
        <w:t xml:space="preserve">. </w:t>
      </w:r>
      <w:r>
        <w:rPr>
          <w:rFonts w:ascii="Times New Roman" w:hAnsi="Times New Roman"/>
          <w:b/>
          <w:color w:val="000000"/>
          <w:sz w:val="20"/>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 THE PARTIES HERETO IRREVOCABLY SUBMIT TO THE EXCLUSIVE JURISDICTION OF THE FEDERAL AND STATE COURTS LOCATED IN THE BOROUGH OF MANHATTAN, IN THE CITY OF NEW YORK IN ANY SUIT OR PROCEEDING ARISING OUT OF OR RELATING TO THE AGREEMENT, THIS CONFIRMATION OR ANY TRANSACTIONS CONTEMPLATED HEREBY.</w:t>
      </w:r>
      <w:r>
        <w:rPr>
          <w:rFonts w:ascii="Times New Roman" w:hAnsi="Times New Roman"/>
          <w:color w:val="000000"/>
          <w:sz w:val="20"/>
        </w:rPr>
        <w:t> </w:t>
      </w:r>
      <w:r>
        <w:rPr>
          <w:rFonts w:ascii="Times New Roman" w:hAnsi="Times New Roman"/>
          <w:b/>
          <w:color w:val="000000"/>
          <w:sz w:val="20"/>
        </w:rPr>
        <w:t>DEALER AND COUNTERPARTY INTEND THAT THIS TRANSACTION BE ENTERED INTO, AND THIS CONFIRMATION BE EXECUTED, IN THE STATE OF NEW YORK.</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i/>
          <w:color w:val="000000"/>
          <w:sz w:val="20"/>
          <w:u w:val="single"/>
        </w:rPr>
        <w:t>Amendment to the Agreement</w:t>
      </w:r>
      <w:r>
        <w:rPr>
          <w:rFonts w:ascii="Times New Roman" w:hAnsi="Times New Roman"/>
          <w:color w:val="000000"/>
          <w:sz w:val="20"/>
        </w:rPr>
        <w:t>. Section 12(a) of the Agreement is hereby amended by (i) deleting the phrase “or email” in the third line thereof and (ii) deleting the phrase “or that communication is delivered (or attempted) or received, as applicable, after the close of business on a Local Business Day” in the final clause thereof.</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(p) </w:t>
      </w:r>
      <w:r>
        <w:rPr>
          <w:rFonts w:ascii="Times New Roman" w:hAnsi="Times New Roman"/>
          <w:i/>
          <w:color w:val="000000"/>
          <w:sz w:val="20"/>
          <w:u w:val="single"/>
        </w:rPr>
        <w:t>Adjustments</w:t>
      </w:r>
      <w:r>
        <w:rPr>
          <w:rFonts w:ascii="Times New Roman" w:hAnsi="Times New Roman"/>
          <w:color w:val="000000"/>
          <w:sz w:val="20"/>
        </w:rPr>
        <w:t>. For the avoidance of doubt, whenever the Calculation Agent or Determining Party is called upon to make an adjustment pursuant to the terms of this Confirmation or the Equity Definitions to take into account the effect of an event, the Calculation Agent or Determining Party shall make such adjustment by reference to the effect of such event on the Hedging Party, assuming that the Hedging Party maintains a commercially reasonable hedge position.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(q) </w:t>
      </w:r>
      <w:r>
        <w:rPr>
          <w:rFonts w:ascii="Times New Roman" w:hAnsi="Times New Roman"/>
          <w:i/>
          <w:color w:val="000000"/>
          <w:sz w:val="20"/>
          <w:u w:val="single"/>
        </w:rPr>
        <w:t>Delivery or Receipt of Cash</w:t>
      </w:r>
      <w:r>
        <w:rPr>
          <w:rFonts w:ascii="Times New Roman" w:hAnsi="Times New Roman"/>
          <w:color w:val="000000"/>
          <w:sz w:val="20"/>
        </w:rPr>
        <w:t>. For the avoidance of doubt, other than payment of the Premium by Counterparty, nothing in this Confirmation shall be interpreted as requiring Counterparty to cash settle the Transaction, except in circumstances where cash settlement is within Counterparty’s control (including, without limitation, where Counterparty elects to deliver or receive cash) or in those circumstances in which holders of Shares would also receive cash.</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(r) </w:t>
      </w:r>
      <w:r>
        <w:rPr>
          <w:rFonts w:ascii="Times New Roman" w:hAnsi="Times New Roman"/>
          <w:i/>
          <w:color w:val="000000"/>
          <w:sz w:val="20"/>
          <w:u w:val="single"/>
        </w:rPr>
        <w:t>Waiver of Jury Trial</w:t>
      </w:r>
      <w:r>
        <w:rPr>
          <w:rFonts w:ascii="Times New Roman" w:hAnsi="Times New Roman"/>
          <w:color w:val="000000"/>
          <w:sz w:val="20"/>
        </w:rPr>
        <w:t xml:space="preserve">. </w:t>
      </w:r>
      <w:r>
        <w:rPr>
          <w:rFonts w:ascii="Times New Roman" w:hAnsi="Times New Roman"/>
          <w:b/>
          <w:color w:val="000000"/>
          <w:sz w:val="20"/>
        </w:rPr>
        <w:t>EACH PARTY HEREBY IRREVOCABLY WAIVES ANY AND ALL RIGHTS TO TRIAL BY JURY WITH RESPECT TO ANY LEGAL PROCEEDING ARISING OUT OF OR RELATING TO THE AGREEMENT, THIS CONFIRMATION OR ANY TRANSACTIONS CONTEMPLATED HEREBY.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i/>
          <w:color w:val="000000"/>
          <w:sz w:val="20"/>
          <w:u w:val="single"/>
        </w:rPr>
        <w:t>Amendment</w:t>
      </w:r>
      <w:r>
        <w:rPr>
          <w:rFonts w:ascii="Times New Roman" w:hAnsi="Times New Roman"/>
          <w:i/>
          <w:color w:val="000000"/>
          <w:sz w:val="20"/>
        </w:rPr>
        <w:t>.</w:t>
      </w:r>
      <w:r>
        <w:rPr>
          <w:rFonts w:ascii="Times New Roman" w:hAnsi="Times New Roman"/>
          <w:color w:val="000000"/>
          <w:sz w:val="20"/>
        </w:rPr>
        <w:t xml:space="preserve"> This Confirmation and the Agreement may not be modified, amended or supplemented, except in a written instrument signed by Counterparty and Dealer.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 </w:t>
      </w:r>
      <w:r>
        <w:rPr>
          <w:rFonts w:ascii="Times New Roman" w:hAnsi="Times New Roman"/>
          <w:i/>
          <w:color w:val="000000"/>
          <w:sz w:val="20"/>
          <w:u w:val="single"/>
        </w:rPr>
        <w:t>Counterparts</w:t>
      </w:r>
      <w:r>
        <w:rPr>
          <w:rFonts w:ascii="Times New Roman" w:hAnsi="Times New Roman"/>
          <w:color w:val="000000"/>
          <w:sz w:val="20"/>
        </w:rPr>
        <w:t>. This Confirmation may be executed in several counterparts, each of which shall be deemed an original but all of which together shall constitute one and the same instrument. Delivery of an executed signature page by electronic transmission (e.g. “pdf” or “tif”), or any electronic signature complying with the U.S. federal ESIGN Act of 2000, Uniform Electronic Transactions Act or other applicable law, e.g., www.docusign.com, shall be effective as delivery of a manually executed counterpart hereof.</w:t>
      </w:r>
    </w:p>
    <w:p>
      <w:pPr>
        <w:pStyle w:val="TextBody"/>
        <w:bidi w:val="0"/>
        <w:spacing w:before="0" w:after="0"/>
        <w:jc w:val="left"/>
        <w:rPr>
          <w:rFonts w:ascii="Times New Roman" w:hAnsi="Times New Roman"/>
        </w:rPr>
      </w:pPr>
      <w:r>
        <w:rPr>
          <w:rFonts w:ascii="Times New Roman" w:hAnsi="Times New Roman"/>
        </w:rPr>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 xml:space="preserve">(u) </w:t>
      </w:r>
      <w:r>
        <w:rPr>
          <w:rFonts w:ascii="Times New Roman" w:hAnsi="Times New Roman"/>
          <w:i/>
          <w:color w:val="000000"/>
          <w:sz w:val="20"/>
          <w:u w:val="single"/>
        </w:rPr>
        <w:t>Tax Forms</w:t>
      </w:r>
      <w:r>
        <w:rPr>
          <w:rFonts w:ascii="Times New Roman" w:hAnsi="Times New Roman"/>
          <w:color w:val="000000"/>
          <w:sz w:val="20"/>
        </w:rPr>
        <w:t>. For the purpose of Sections 4(a)(i) and (ii) of the Agreement, Counterparty agrees to deliver to Dealer a duly executed and completed U.S. Internal Revenue Service Form W-8BEN-E (or successor thereto) and Dealer agrees to deliver to Counterparty, as applicable, a U.S. Internal Revenue Service Form [  ]23 (or successor thereto). Such forms or documents shall be delivered upon (i) execution of this Confirmation, (ii) Counterparty or Dealer, as applicable, learning that any such tax form previously provided by it has become obsolete or incorrect, and (iii) reasonable request of the other party.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(v) </w:t>
      </w:r>
      <w:r>
        <w:rPr>
          <w:rFonts w:ascii="Times New Roman" w:hAnsi="Times New Roman"/>
          <w:i/>
          <w:color w:val="000000"/>
          <w:sz w:val="20"/>
          <w:u w:val="single"/>
        </w:rPr>
        <w:t>Payee Tax Representations</w:t>
      </w:r>
      <w:r>
        <w:rPr>
          <w:rFonts w:ascii="Times New Roman" w:hAnsi="Times New Roman"/>
          <w:i/>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 For the purpose of Section 3(f) of the Agreement, Counterparty makes the representations below:</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Counterparty (i) is organized under the laws of Australia, is a tax resident of Australia and is a corporation for U.S. federal income tax purposes, (ii) no payment received or to be received under the Agreement will be effectively connected with the conduct of a trade or business carried on by it at or through a permanent establishment in the United States or otherwise outside Australia and (iii) it is a “non-U.S. branch of a foreign person” as that term is used in Section 1.1441-4(a)(3)(ii) of U.S. Treasury Regulations and “foreign person” as that term is used in Section 1.6041-4(a)(4) of the United States Treasury Regulations.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720" w:right="0" w:firstLine="360"/>
        <w:jc w:val="both"/>
        <w:rPr>
          <w:rFonts w:ascii="Times New Roman" w:hAnsi="Times New Roman"/>
          <w:color w:val="000000"/>
          <w:sz w:val="20"/>
        </w:rPr>
      </w:pPr>
      <w:r>
        <w:rPr>
          <w:rFonts w:ascii="Times New Roman" w:hAnsi="Times New Roman"/>
          <w:color w:val="000000"/>
          <w:sz w:val="20"/>
        </w:rPr>
        <w:t>(ii) For the purpose of Section 3(f) of the Agreement, Dealer makes the representations below:</w:t>
      </w:r>
    </w:p>
    <w:p>
      <w:pPr>
        <w:pStyle w:val="TextBody"/>
        <w:bidi w:val="0"/>
        <w:spacing w:before="0" w:after="0"/>
        <w:jc w:val="left"/>
        <w:rPr>
          <w:rFonts w:ascii="Times New Roman" w:hAnsi="Times New Roman"/>
        </w:rPr>
      </w:pPr>
      <w:r>
        <w:rPr>
          <w:rFonts w:ascii="Times New Roman" w:hAnsi="Times New Roman"/>
        </w:rPr>
      </w:r>
    </w:p>
    <w:p>
      <w:pPr>
        <w:pStyle w:val="TextBody"/>
        <w:bidi w:val="0"/>
        <w:spacing w:lineRule="auto" w:line="240" w:before="0" w:after="0"/>
        <w:ind w:left="720" w:right="0" w:hanging="0"/>
        <w:jc w:val="both"/>
        <w:rPr>
          <w:rFonts w:ascii="Times New Roman" w:hAnsi="Times New Roman"/>
          <w:color w:val="000000"/>
          <w:sz w:val="20"/>
        </w:rPr>
      </w:pPr>
      <w:r>
        <w:rPr>
          <w:rFonts w:ascii="Times New Roman" w:hAnsi="Times New Roman"/>
          <w:color w:val="000000"/>
          <w:sz w:val="20"/>
        </w:rPr>
        <w:t>Dealer is a [_______________________________________________________________________].24</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 </w:t>
      </w:r>
      <w:r>
        <w:rPr>
          <w:rFonts w:ascii="Times New Roman" w:hAnsi="Times New Roman"/>
          <w:i/>
          <w:color w:val="000000"/>
          <w:sz w:val="20"/>
          <w:u w:val="single"/>
        </w:rPr>
        <w:t>Withholding Tax Imposed on Payments to Non-U.S. Counterparties under the United States Foreign Account Tax Compliance Provisions of the HIRE Act</w:t>
      </w:r>
      <w:r>
        <w:rPr>
          <w:rFonts w:ascii="Times New Roman" w:hAnsi="Times New Roman"/>
          <w:color w:val="000000"/>
          <w:sz w:val="20"/>
        </w:rPr>
        <w:t>. “Indemnifiable Tax”, as defined in Section 14 of the Agreement, shall not include any U.S. federal withholding tax imposed or collected pursuant to FATCA (a “</w:t>
      </w:r>
      <w:r>
        <w:rPr>
          <w:rFonts w:ascii="Times New Roman" w:hAnsi="Times New Roman"/>
          <w:b/>
          <w:color w:val="000000"/>
          <w:sz w:val="20"/>
        </w:rPr>
        <w:t>FATCA Withholding Tax</w:t>
      </w:r>
      <w:r>
        <w:rPr>
          <w:rFonts w:ascii="Times New Roman" w:hAnsi="Times New Roman"/>
          <w:color w:val="000000"/>
          <w:sz w:val="20"/>
        </w:rPr>
        <w:t>”). “FATCA” is defined as Sections 1471 through 1474 of the United States Internal Revenue Code of 1986, as amended (the “</w:t>
      </w:r>
      <w:r>
        <w:rPr>
          <w:rFonts w:ascii="Times New Roman" w:hAnsi="Times New Roman"/>
          <w:b/>
          <w:color w:val="000000"/>
          <w:sz w:val="20"/>
        </w:rPr>
        <w:t>Code</w:t>
      </w:r>
      <w:r>
        <w:rPr>
          <w:rFonts w:ascii="Times New Roman" w:hAnsi="Times New Roman"/>
          <w:color w:val="000000"/>
          <w:sz w:val="20"/>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For the avoidance of doubt, a FATCA Withholding Tax is a Tax the deduction or withholding of which is required by applicable law for the purposes of Section 2(d) of the Agreement.</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 xml:space="preserve">23 To be populated with appropriate form for dealer. </w:t>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24 Insert applicable Dealer tax representation.</w:t>
      </w:r>
    </w:p>
    <w:p>
      <w:pPr>
        <w:pStyle w:val="TextBody"/>
        <w:bidi w:val="0"/>
        <w:spacing w:before="0" w:after="0"/>
        <w:ind w:left="360" w:right="0" w:hanging="36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(x) </w:t>
      </w:r>
      <w:r>
        <w:rPr>
          <w:rFonts w:ascii="Times New Roman" w:hAnsi="Times New Roman"/>
          <w:i/>
          <w:color w:val="000000"/>
          <w:sz w:val="20"/>
          <w:u w:val="single"/>
        </w:rPr>
        <w:t>Section 871(m)</w:t>
      </w:r>
      <w:r>
        <w:rPr>
          <w:rFonts w:ascii="Times New Roman" w:hAnsi="Times New Roman"/>
          <w:i/>
          <w:color w:val="000000"/>
          <w:sz w:val="20"/>
        </w:rPr>
        <w:t xml:space="preserve">. </w:t>
      </w:r>
      <w:r>
        <w:rPr>
          <w:rFonts w:ascii="Times New Roman" w:hAnsi="Times New Roman"/>
          <w:color w:val="000000"/>
          <w:sz w:val="20"/>
        </w:rPr>
        <w:t>“Indemnifiable Tax”, as defined in Section 14 of the Agreement, shall not include any tax imposed on payments treated as dividends from sources within the United States under Section 871(m) of the Code or any regulations issued thereunder. For the avoidance of doubt, any such tax imposed under Section 871(m) of the Code is a Tax the deduction or withholding of which is required by applicable law for the purposes of Section 2(d) of the Agreement</w:t>
      </w:r>
      <w:r>
        <w:rPr>
          <w:rFonts w:ascii="Times New Roman" w:hAnsi="Times New Roman"/>
          <w:i/>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(y) </w:t>
      </w:r>
      <w:r>
        <w:rPr>
          <w:rFonts w:ascii="Times New Roman" w:hAnsi="Times New Roman"/>
          <w:i/>
          <w:color w:val="000000"/>
          <w:sz w:val="20"/>
          <w:u w:val="single"/>
        </w:rPr>
        <w:t>Agreements and Acknowledgements Regarding Hedging</w:t>
      </w:r>
      <w:r>
        <w:rPr>
          <w:rFonts w:ascii="Times New Roman" w:hAnsi="Times New Roman"/>
          <w:color w:val="000000"/>
          <w:sz w:val="20"/>
        </w:rPr>
        <w:t>. Counterparty understands, acknowledges and agrees that: (A) at any time on or prior to the final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the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 (E) each party’s rights and obligations under this Transaction are not dependent or conditional upon Dealer owning or having any legal or equitable interest in the Shares or any expectation of Dealer acquiring such an interest and the fact that Dealer may or may not have such an interest or an expectation of acquiring such an interest shall have no effect whatsoever on the rights and obligations of the parties under this Transaction; and (F) for the avoidance of doubt, notwithstanding any provision of the Equity Definitions: (i) neither party shall acquire any right to exercise, or control the exercise of, any voting or disposal rights relating to any Shares or to give any consent with respect to the Shares by virtue of the Transaction; (ii) the parties are not acting in concert in respect of the exercise of voting or disposal rights relating to any Shares and the parties will make their own determination independently of each other in relation to corporate actions in respect of the Issuer and any Shares that may be held by them; and (iii) there is no agreement, arrangement or understanding between the parties in relation to voting or disposal of any Shares or for the purpose of controlling or influencing the composition of the Issuer's board or the conduct of the Issuer's affairs. Without limiting the generality of the foregoing, Counterparty shall not be entitled pursuant to the Transaction, whether directly or indirectly, to vote or direct the voting of, or to give or direct the giving of any consent with respect to, any Shares (including any Shares held by or on behalf of Dealer as a hedge for the Transaction), and the parties agree that Dealer under this Transaction shall not take any such directions or instructions from the other party, or any of its officers, directors, employees, agents or representatives, as to such voting or consent.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(z) [</w:t>
      </w:r>
      <w:r>
        <w:rPr>
          <w:rFonts w:ascii="Times New Roman" w:hAnsi="Times New Roman"/>
          <w:i/>
          <w:color w:val="000000"/>
          <w:sz w:val="20"/>
          <w:u w:val="single"/>
        </w:rPr>
        <w:t>U.S. Resolution Stay Protocol</w:t>
      </w:r>
      <w:r>
        <w:rPr>
          <w:rFonts w:ascii="Times New Roman" w:hAnsi="Times New Roman"/>
          <w:color w:val="000000"/>
          <w:sz w:val="20"/>
        </w:rPr>
        <w:t>. To the extent that the QFC Stay Rules are applicable hereto, then the parties agree that (i) to the extent that prior to the date hereof both parties have adhered to the 2018 ISDA U.S. Resolution Stay Protocol (the “</w:t>
      </w:r>
      <w:r>
        <w:rPr>
          <w:rFonts w:ascii="Times New Roman" w:hAnsi="Times New Roman"/>
          <w:b/>
          <w:color w:val="000000"/>
          <w:sz w:val="20"/>
        </w:rPr>
        <w:t>Protocol</w:t>
      </w:r>
      <w:r>
        <w:rPr>
          <w:rFonts w:ascii="Times New Roman" w:hAnsi="Times New Roman"/>
          <w:color w:val="000000"/>
          <w:sz w:val="20"/>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hAnsi="Times New Roman"/>
          <w:b/>
          <w:color w:val="000000"/>
          <w:sz w:val="20"/>
        </w:rPr>
        <w:t>Bilateral Agreement</w:t>
      </w:r>
      <w:r>
        <w:rPr>
          <w:rFonts w:ascii="Times New Roman" w:hAnsi="Times New Roman"/>
          <w:color w:val="000000"/>
          <w:sz w:val="20"/>
        </w:rPr>
        <w: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hAnsi="Times New Roman"/>
          <w:b/>
          <w:color w:val="000000"/>
          <w:sz w:val="20"/>
        </w:rPr>
        <w:t>Bilateral Terms</w:t>
      </w:r>
      <w:r>
        <w:rPr>
          <w:rFonts w:ascii="Times New Roman" w:hAnsi="Times New Roman"/>
          <w:color w:val="000000"/>
          <w:sz w:val="20"/>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Times New Roman" w:hAnsi="Times New Roman"/>
          <w:b/>
          <w:color w:val="000000"/>
          <w:sz w:val="20"/>
        </w:rPr>
        <w:t>QFC Stay Terms</w:t>
      </w:r>
      <w:r>
        <w:rPr>
          <w:rFonts w:ascii="Times New Roman" w:hAnsi="Times New Roman"/>
          <w:color w:val="000000"/>
          <w:sz w:val="20"/>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both"/>
        <w:rPr>
          <w:color w:val="000000"/>
        </w:rPr>
      </w:pPr>
      <w:r>
        <w:rPr>
          <w:color w:val="000000"/>
        </w:rPr>
        <w:t>“</w:t>
      </w:r>
      <w:r>
        <w:rPr>
          <w:rFonts w:ascii="Times New Roman" w:hAnsi="Times New Roman"/>
          <w:b/>
          <w:color w:val="000000"/>
          <w:sz w:val="20"/>
        </w:rPr>
        <w:t>QFC Stay Rules</w:t>
      </w:r>
      <w:r>
        <w:rPr>
          <w:rFonts w:ascii="Times New Roman" w:hAnsi="Times New Roman"/>
          <w:color w:val="000000"/>
          <w:sz w:val="20"/>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enhancements.]25</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(aa)          </w:t>
      </w:r>
      <w:r>
        <w:rPr>
          <w:rFonts w:ascii="Times New Roman" w:hAnsi="Times New Roman"/>
          <w:i/>
          <w:color w:val="000000"/>
          <w:sz w:val="20"/>
          <w:u w:val="single"/>
        </w:rPr>
        <w:t>CARES Act</w:t>
      </w:r>
      <w:r>
        <w:rPr>
          <w:rFonts w:ascii="Times New Roman" w:hAnsi="Times New Roman"/>
          <w:color w:val="000000"/>
          <w:sz w:val="20"/>
        </w:rPr>
        <w:t>. 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 w:hAnsi="Times New Roman"/>
          <w:b/>
          <w:color w:val="000000"/>
          <w:sz w:val="20"/>
        </w:rPr>
        <w:t>Cares Act</w:t>
      </w:r>
      <w:r>
        <w:rPr>
          <w:rFonts w:ascii="Times New Roman" w:hAnsi="Times New Roman"/>
          <w:color w:val="000000"/>
          <w:sz w:val="20"/>
        </w:rPr>
        <w:t>”),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the U.S. Department of Treasury or similar governmental entity for the purpose of providing liquidity to the financial system. Accordingly, Counterparty represents and warrants that neither it, nor any of its subsidiaries have applied, and throughout the term of this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comply with any requirement to, or otherwise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this Transaction (either by specific reference to this Transaction or by general reference to transactions with the attributes of this Transaction in all relevant respects).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(bb)          [</w:t>
      </w:r>
      <w:r>
        <w:rPr>
          <w:rFonts w:ascii="Times New Roman" w:hAnsi="Times New Roman"/>
          <w:i/>
          <w:color w:val="000000"/>
          <w:sz w:val="20"/>
          <w:u w:val="single"/>
        </w:rPr>
        <w:t>Dealer Boilerplate</w:t>
      </w:r>
      <w:r>
        <w:rPr>
          <w:rFonts w:ascii="Times New Roman" w:hAnsi="Times New Roman"/>
          <w:color w:val="000000"/>
          <w:sz w:val="20"/>
        </w:rPr>
        <w:t>. Insert additional Dealer boilerplate, if applicable]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 xml:space="preserve">25 Insert preferred form of US QFC Stay Rule language for each Dealer. </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Please confirm that the foregoing correctly sets forth the terms of our agreement by sending to us a letter or telex substantially similar to this facsimile, which letter or telex sets forth the material terms of the Transaction to which this Confirmation relates and indicates your agreement to those terms.26</w:t>
      </w:r>
    </w:p>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510" w:name="z17aed502432c4babb28f5bd187039220"/>
      <w:bookmarkStart w:id="511" w:name="z17aed502432c4babb28f5bd187039220"/>
      <w:bookmarkEnd w:id="511"/>
    </w:p>
    <w:tbl>
      <w:tblPr>
        <w:tblW w:w="1414" w:type="dxa"/>
        <w:jc w:val="left"/>
        <w:tblInd w:w="0" w:type="dxa"/>
        <w:tblLayout w:type="fixed"/>
        <w:tblCellMar>
          <w:top w:w="0" w:type="dxa"/>
          <w:left w:w="0" w:type="dxa"/>
          <w:bottom w:w="0" w:type="dxa"/>
          <w:right w:w="0" w:type="dxa"/>
        </w:tblCellMar>
      </w:tblPr>
      <w:tblGrid>
        <w:gridCol w:w="60"/>
        <w:gridCol w:w="501"/>
        <w:gridCol w:w="853"/>
      </w:tblGrid>
      <w:tr>
        <w:trPr/>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Yours faithfully,</w:t>
            </w:r>
          </w:p>
        </w:tc>
      </w:tr>
      <w:tr>
        <w:trPr/>
        <w:tc>
          <w:tcPr>
            <w:tcW w:w="60"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[___________]</w:t>
            </w:r>
          </w:p>
        </w:tc>
      </w:tr>
      <w:tr>
        <w:trPr/>
        <w:tc>
          <w:tcPr>
            <w:tcW w:w="60"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5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0"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26 Insert applicable Dealer signature page boilerplate language.</w:t>
      </w:r>
    </w:p>
    <w:p>
      <w:pPr>
        <w:pStyle w:val="TextBody"/>
        <w:bidi w:val="0"/>
        <w:spacing w:before="0" w:after="0"/>
        <w:ind w:left="360" w:right="0" w:hanging="36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[Base][Additional] Capped Call Confirmation</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12" w:name="z952f60e784834852b0a56dbbf77eb254"/>
      <w:bookmarkStart w:id="513" w:name="z952f60e784834852b0a56dbbf77eb254"/>
      <w:bookmarkEnd w:id="513"/>
    </w:p>
    <w:tbl>
      <w:tblPr>
        <w:tblW w:w="2425" w:type="dxa"/>
        <w:jc w:val="left"/>
        <w:tblInd w:w="0" w:type="dxa"/>
        <w:tblLayout w:type="fixed"/>
        <w:tblCellMar>
          <w:top w:w="0" w:type="dxa"/>
          <w:left w:w="0" w:type="dxa"/>
          <w:bottom w:w="0" w:type="dxa"/>
          <w:right w:w="0" w:type="dxa"/>
        </w:tblCellMar>
      </w:tblPr>
      <w:tblGrid>
        <w:gridCol w:w="260"/>
        <w:gridCol w:w="2105"/>
        <w:gridCol w:w="60"/>
      </w:tblGrid>
      <w:tr>
        <w:trPr/>
        <w:tc>
          <w:tcPr>
            <w:tcW w:w="260" w:type="dxa"/>
            <w:tcBorders/>
            <w:vAlign w:val="center"/>
          </w:tcPr>
          <w:p>
            <w:pPr>
              <w:pStyle w:val="TableContents"/>
              <w:bidi w:val="0"/>
              <w:spacing w:before="0" w:after="283"/>
              <w:jc w:val="left"/>
              <w:rPr/>
            </w:pPr>
            <w:r>
              <w:rPr/>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Agreed and Accepted By:</w:t>
            </w:r>
          </w:p>
        </w:tc>
        <w:tc>
          <w:tcPr>
            <w:tcW w:w="6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165" w:type="dxa"/>
            <w:gridSpan w:val="2"/>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r>
          </w:p>
        </w:tc>
        <w:tc>
          <w:tcPr>
            <w:tcW w:w="21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IREN LIMITED</w:t>
            </w:r>
          </w:p>
        </w:tc>
        <w:tc>
          <w:tcPr>
            <w:tcW w:w="6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165" w:type="dxa"/>
            <w:gridSpan w:val="2"/>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10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2165"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2165"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[Base][Additional] Capped Call Confirmation</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TextBody"/>
        <w:bidi w:val="0"/>
        <w:spacing w:lineRule="auto" w:line="240" w:before="0" w:after="0"/>
        <w:jc w:val="right"/>
        <w:rPr>
          <w:rFonts w:ascii="Times New Roman" w:hAnsi="Times New Roman"/>
          <w:b/>
          <w:color w:val="000000"/>
          <w:sz w:val="20"/>
        </w:rPr>
      </w:pPr>
      <w:r>
        <w:rPr>
          <w:rFonts w:ascii="Times New Roman" w:hAnsi="Times New Roman"/>
          <w:b/>
          <w:color w:val="000000"/>
          <w:sz w:val="20"/>
        </w:rPr>
        <w:t>Schedule 127</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of Guarantee]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27 NTD: Include if applicable.</w:t>
      </w:r>
    </w:p>
    <w:p>
      <w:pPr>
        <w:pStyle w:val="TextBody"/>
        <w:bidi w:val="0"/>
        <w:spacing w:before="0" w:after="0"/>
        <w:ind w:left="360" w:right="0" w:hanging="360"/>
        <w:jc w:val="left"/>
        <w:rPr>
          <w:rFonts w:ascii="Times New Roman" w:hAnsi="Times New Roman"/>
          <w:sz w:val="20"/>
        </w:rPr>
      </w:pPr>
      <w:r>
        <w:rPr>
          <w:rFonts w:ascii="Times New Roman" w:hAnsi="Times New Roman"/>
          <w:sz w:val="20"/>
        </w:rPr>
      </w:r>
    </w:p>
    <w:p>
      <w:pPr>
        <w:pStyle w:val="TextBody"/>
        <w:bidi w:val="0"/>
        <w:spacing w:before="0" w:after="0"/>
        <w:ind w:left="360" w:right="0" w:hanging="360"/>
        <w:jc w:val="center"/>
        <w:rPr>
          <w:rFonts w:ascii="Times New Roman" w:hAnsi="Times New Roman"/>
          <w:color w:val="000000"/>
          <w:sz w:val="20"/>
        </w:rPr>
      </w:pPr>
      <w:r>
        <w:rPr>
          <w:rFonts w:ascii="Times New Roman" w:hAnsi="Times New Roman"/>
          <w:color w:val="000000"/>
          <w:sz w:val="20"/>
        </w:rPr>
        <w:t>Schedule 1</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Annex A</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each Component of the Transaction, the Number of Options and Expiration Date is set forth below.</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14" w:name="z1a635683c9514d8b87701ff5101de982"/>
      <w:bookmarkStart w:id="515" w:name="z1a635683c9514d8b87701ff5101de982"/>
      <w:bookmarkEnd w:id="515"/>
    </w:p>
    <w:tbl>
      <w:tblPr>
        <w:tblW w:w="4725" w:type="dxa"/>
        <w:jc w:val="left"/>
        <w:tblInd w:w="0" w:type="dxa"/>
        <w:tblLayout w:type="fixed"/>
        <w:tblCellMar>
          <w:top w:w="0" w:type="dxa"/>
          <w:left w:w="0" w:type="dxa"/>
          <w:bottom w:w="0" w:type="dxa"/>
          <w:right w:w="0" w:type="dxa"/>
        </w:tblCellMar>
      </w:tblPr>
      <w:tblGrid>
        <w:gridCol w:w="1730"/>
        <w:gridCol w:w="1565"/>
        <w:gridCol w:w="1430"/>
      </w:tblGrid>
      <w:tr>
        <w:trPr/>
        <w:tc>
          <w:tcPr>
            <w:tcW w:w="1730"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[Component Number</w:t>
            </w:r>
          </w:p>
        </w:tc>
        <w:tc>
          <w:tcPr>
            <w:tcW w:w="1565"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Number of Options</w:t>
            </w:r>
          </w:p>
        </w:tc>
        <w:tc>
          <w:tcPr>
            <w:tcW w:w="1430"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Expiration Date</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16,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19,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20,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21,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22,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23,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26,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27,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9</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28,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29,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11</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30,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3,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13</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4,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14</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5,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15</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6,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16</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7,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17</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10,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18</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11,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19</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12,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13,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21</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14,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22</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17,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23</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18,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24</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19,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25</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20,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26</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21,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27</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24,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28</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25,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29</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26, 2032</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30</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May 27, 2032]28</w:t>
            </w:r>
          </w:p>
        </w:tc>
      </w:tr>
    </w:tbl>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28 NTD: Insert for 2032 Notes.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Annex A</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16" w:name="z1556443f57a94095b0da104e33effa91"/>
      <w:bookmarkStart w:id="517" w:name="z1556443f57a94095b0da104e33effa91"/>
      <w:bookmarkEnd w:id="517"/>
    </w:p>
    <w:tbl>
      <w:tblPr>
        <w:tblW w:w="4725" w:type="dxa"/>
        <w:jc w:val="left"/>
        <w:tblInd w:w="0" w:type="dxa"/>
        <w:tblLayout w:type="fixed"/>
        <w:tblCellMar>
          <w:top w:w="0" w:type="dxa"/>
          <w:left w:w="0" w:type="dxa"/>
          <w:bottom w:w="0" w:type="dxa"/>
          <w:right w:w="0" w:type="dxa"/>
        </w:tblCellMar>
      </w:tblPr>
      <w:tblGrid>
        <w:gridCol w:w="1730"/>
        <w:gridCol w:w="1565"/>
        <w:gridCol w:w="1430"/>
      </w:tblGrid>
      <w:tr>
        <w:trPr/>
        <w:tc>
          <w:tcPr>
            <w:tcW w:w="1730"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[Component Number</w:t>
            </w:r>
          </w:p>
        </w:tc>
        <w:tc>
          <w:tcPr>
            <w:tcW w:w="1565"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Number of Options</w:t>
            </w:r>
          </w:p>
        </w:tc>
        <w:tc>
          <w:tcPr>
            <w:tcW w:w="1430"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Expiration Date</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18,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19,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20,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21,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22,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25,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26,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27,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9</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28,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April 29,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11</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3,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13</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4,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14</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5,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15</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6,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16</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9,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17</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10,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18</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11,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19</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12,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13,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21</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16,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22</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17,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23</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18,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24</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19,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25</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20,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26</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23,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27</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24,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28</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25,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29</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May 26, 2033</w:t>
            </w:r>
          </w:p>
        </w:tc>
      </w:tr>
      <w:tr>
        <w:trPr/>
        <w:tc>
          <w:tcPr>
            <w:tcW w:w="17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30</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[____]</w:t>
            </w:r>
          </w:p>
        </w:tc>
        <w:tc>
          <w:tcPr>
            <w:tcW w:w="1430" w:type="dxa"/>
            <w:tcBorders/>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May 27, 2033]29</w:t>
            </w:r>
          </w:p>
        </w:tc>
      </w:tr>
    </w:tbl>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jc w:val="left"/>
        <w:rPr/>
      </w:pPr>
      <w:r>
        <w:rPr/>
      </w:r>
    </w:p>
    <w:p>
      <w:pPr>
        <w:pStyle w:val="TextBody"/>
        <w:bidi w:val="0"/>
        <w:spacing w:lineRule="auto" w:line="240" w:before="0" w:after="0"/>
        <w:ind w:left="360" w:right="0" w:hanging="360"/>
        <w:jc w:val="left"/>
        <w:rPr>
          <w:rFonts w:ascii="Times New Roman" w:hAnsi="Times New Roman"/>
          <w:color w:val="000000"/>
          <w:sz w:val="20"/>
        </w:rPr>
      </w:pPr>
      <w:r>
        <w:rPr>
          <w:rFonts w:ascii="Times New Roman" w:hAnsi="Times New Roman"/>
          <w:color w:val="000000"/>
          <w:sz w:val="20"/>
        </w:rPr>
        <w:t>29 NTD: Insert for 2033 Notes.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Annex A</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18" w:name="ef20060782_ex99-1.htm"/>
      <w:bookmarkStart w:id="519" w:name="ksef20060782_ex991"/>
      <w:bookmarkStart w:id="520" w:name="ef20060782_ex99-1.htm"/>
      <w:bookmarkStart w:id="521" w:name="ksef20060782_ex991"/>
      <w:bookmarkEnd w:id="520"/>
      <w:bookmarkEnd w:id="52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color w:val="000000"/>
        </w:rPr>
      </w:pPr>
      <w:r>
        <w:rPr>
          <w:color w:val="000000"/>
        </w:rPr>
        <w:t> </w:t>
      </w:r>
      <w:r>
        <w:rPr>
          <w:color w:val="000000"/>
        </w:rPr>
        <w:drawing>
          <wp:inline distT="0" distB="0" distL="0" distR="0">
            <wp:extent cx="6296025" cy="6381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296025" cy="638175"/>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TextBody"/>
        <w:bidi w:val="0"/>
        <w:spacing w:before="0" w:after="0"/>
        <w:jc w:val="center"/>
        <w:rPr>
          <w:rFonts w:ascii="Times New Roman" w:hAnsi="Times New Roman"/>
          <w:b/>
          <w:color w:val="003551"/>
          <w:sz w:val="20"/>
        </w:rPr>
      </w:pPr>
      <w:r>
        <w:rPr>
          <w:rFonts w:ascii="Times New Roman" w:hAnsi="Times New Roman"/>
          <w:b/>
          <w:color w:val="003551"/>
          <w:sz w:val="20"/>
        </w:rPr>
        <w:t>IREN Closes $2.3 Billion Convertible Notes Offering and the Repurchase of Existing Convertible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NEW YORK, December 8, 2025 (GLOBE NEWSWIRE) – IREN Limited (NASDAQ: IREN) (“IREN”) today announced the closing of its offering of convertible senior notes and repurchase of certain existing convertible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3551"/>
          <w:sz w:val="20"/>
        </w:rPr>
      </w:pPr>
      <w:r>
        <w:rPr>
          <w:rFonts w:ascii="Times New Roman" w:hAnsi="Times New Roman"/>
          <w:b/>
          <w:color w:val="003551"/>
          <w:sz w:val="20"/>
        </w:rPr>
        <w:t>Key details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2" w:name="zef428c80c27444789750a76d0ed721dc"/>
      <w:bookmarkStart w:id="523" w:name="zef428c80c27444789750a76d0ed721dc"/>
      <w:bookmarkEnd w:id="523"/>
    </w:p>
    <w:tbl>
      <w:tblPr>
        <w:tblW w:w="4068" w:type="dxa"/>
        <w:jc w:val="left"/>
        <w:tblInd w:w="0" w:type="dxa"/>
        <w:tblLayout w:type="fixed"/>
        <w:tblCellMar>
          <w:top w:w="0" w:type="dxa"/>
          <w:left w:w="0" w:type="dxa"/>
          <w:bottom w:w="0" w:type="dxa"/>
          <w:right w:w="0" w:type="dxa"/>
        </w:tblCellMar>
      </w:tblPr>
      <w:tblGrid>
        <w:gridCol w:w="38"/>
        <w:gridCol w:w="110"/>
        <w:gridCol w:w="3920"/>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color w:val="003551"/>
              </w:rPr>
            </w:pPr>
            <w:r>
              <w:rPr>
                <w:color w:val="003551"/>
              </w:rPr>
              <w:t>•</w:t>
            </w:r>
          </w:p>
        </w:tc>
        <w:tc>
          <w:tcPr>
            <w:tcW w:w="3920"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Offering of $2.3 billion convertible senior notes</w:t>
            </w:r>
          </w:p>
        </w:tc>
      </w:tr>
    </w:tbl>
    <w:p>
      <w:pPr>
        <w:pStyle w:val="Normal"/>
        <w:bidi w:val="0"/>
        <w:spacing w:before="0" w:after="0"/>
        <w:jc w:val="left"/>
        <w:rPr>
          <w:sz w:val="4"/>
          <w:szCs w:val="4"/>
        </w:rPr>
      </w:pPr>
      <w:r>
        <w:rPr>
          <w:sz w:val="4"/>
          <w:szCs w:val="4"/>
        </w:rPr>
      </w:r>
      <w:bookmarkStart w:id="524" w:name="z70ae0753ae2f4c0e90b85b60c45d6797"/>
      <w:bookmarkStart w:id="525" w:name="z70ae0753ae2f4c0e90b85b60c45d6797"/>
      <w:bookmarkEnd w:id="525"/>
    </w:p>
    <w:tbl>
      <w:tblPr>
        <w:tblW w:w="5433" w:type="dxa"/>
        <w:jc w:val="left"/>
        <w:tblInd w:w="0" w:type="dxa"/>
        <w:tblLayout w:type="fixed"/>
        <w:tblCellMar>
          <w:top w:w="0" w:type="dxa"/>
          <w:left w:w="0" w:type="dxa"/>
          <w:bottom w:w="0" w:type="dxa"/>
          <w:right w:w="0" w:type="dxa"/>
        </w:tblCellMar>
      </w:tblPr>
      <w:tblGrid>
        <w:gridCol w:w="38"/>
        <w:gridCol w:w="125"/>
        <w:gridCol w:w="5270"/>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color w:val="003551"/>
                <w:sz w:val="20"/>
              </w:rPr>
            </w:pPr>
            <w:r>
              <w:rPr>
                <w:rFonts w:ascii="Times New Roman" w:hAnsi="Times New Roman"/>
                <w:color w:val="003551"/>
                <w:sz w:val="20"/>
              </w:rPr>
              <w:t>o</w:t>
            </w:r>
          </w:p>
        </w:tc>
        <w:tc>
          <w:tcPr>
            <w:tcW w:w="5270"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$1.0 billion offering of 0.25% convertible senior notes due 2032</w:t>
            </w:r>
          </w:p>
        </w:tc>
      </w:tr>
    </w:tbl>
    <w:p>
      <w:pPr>
        <w:pStyle w:val="Normal"/>
        <w:bidi w:val="0"/>
        <w:spacing w:before="0" w:after="0"/>
        <w:jc w:val="left"/>
        <w:rPr>
          <w:sz w:val="4"/>
          <w:szCs w:val="4"/>
        </w:rPr>
      </w:pPr>
      <w:r>
        <w:rPr>
          <w:sz w:val="4"/>
          <w:szCs w:val="4"/>
        </w:rPr>
      </w:r>
      <w:bookmarkStart w:id="526" w:name="zefd6fe36c4224672880a8d6ad812b577"/>
      <w:bookmarkStart w:id="527" w:name="zefd6fe36c4224672880a8d6ad812b577"/>
      <w:bookmarkEnd w:id="527"/>
    </w:p>
    <w:tbl>
      <w:tblPr>
        <w:tblW w:w="5433" w:type="dxa"/>
        <w:jc w:val="left"/>
        <w:tblInd w:w="0" w:type="dxa"/>
        <w:tblLayout w:type="fixed"/>
        <w:tblCellMar>
          <w:top w:w="0" w:type="dxa"/>
          <w:left w:w="0" w:type="dxa"/>
          <w:bottom w:w="0" w:type="dxa"/>
          <w:right w:w="0" w:type="dxa"/>
        </w:tblCellMar>
      </w:tblPr>
      <w:tblGrid>
        <w:gridCol w:w="38"/>
        <w:gridCol w:w="125"/>
        <w:gridCol w:w="5270"/>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color w:val="003551"/>
                <w:sz w:val="20"/>
              </w:rPr>
            </w:pPr>
            <w:r>
              <w:rPr>
                <w:rFonts w:ascii="Times New Roman" w:hAnsi="Times New Roman"/>
                <w:color w:val="003551"/>
                <w:sz w:val="20"/>
              </w:rPr>
              <w:t>o</w:t>
            </w:r>
          </w:p>
        </w:tc>
        <w:tc>
          <w:tcPr>
            <w:tcW w:w="5270"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$1.0 billion offering of 1.00% convertible senior notes due 2033</w:t>
            </w:r>
          </w:p>
        </w:tc>
      </w:tr>
    </w:tbl>
    <w:p>
      <w:pPr>
        <w:pStyle w:val="Normal"/>
        <w:bidi w:val="0"/>
        <w:spacing w:before="0" w:after="0"/>
        <w:jc w:val="left"/>
        <w:rPr>
          <w:sz w:val="4"/>
          <w:szCs w:val="4"/>
        </w:rPr>
      </w:pPr>
      <w:r>
        <w:rPr>
          <w:sz w:val="4"/>
          <w:szCs w:val="4"/>
        </w:rPr>
      </w:r>
      <w:bookmarkStart w:id="528" w:name="z3c42ab3ce66e4162ad1a66e7a13e9864"/>
      <w:bookmarkStart w:id="529" w:name="z3c42ab3ce66e4162ad1a66e7a13e9864"/>
      <w:bookmarkEnd w:id="529"/>
    </w:p>
    <w:tbl>
      <w:tblPr>
        <w:tblW w:w="3378" w:type="dxa"/>
        <w:jc w:val="left"/>
        <w:tblInd w:w="0" w:type="dxa"/>
        <w:tblLayout w:type="fixed"/>
        <w:tblCellMar>
          <w:top w:w="0" w:type="dxa"/>
          <w:left w:w="0" w:type="dxa"/>
          <w:bottom w:w="0" w:type="dxa"/>
          <w:right w:w="0" w:type="dxa"/>
        </w:tblCellMar>
      </w:tblPr>
      <w:tblGrid>
        <w:gridCol w:w="38"/>
        <w:gridCol w:w="125"/>
        <w:gridCol w:w="3215"/>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color w:val="003551"/>
                <w:sz w:val="20"/>
              </w:rPr>
            </w:pPr>
            <w:r>
              <w:rPr>
                <w:rFonts w:ascii="Times New Roman" w:hAnsi="Times New Roman"/>
                <w:color w:val="003551"/>
                <w:sz w:val="20"/>
              </w:rPr>
              <w:t>o</w:t>
            </w:r>
          </w:p>
        </w:tc>
        <w:tc>
          <w:tcPr>
            <w:tcW w:w="3215"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$300 million greenshoe fully exercised</w:t>
            </w:r>
          </w:p>
        </w:tc>
      </w:tr>
    </w:tbl>
    <w:p>
      <w:pPr>
        <w:pStyle w:val="Normal"/>
        <w:bidi w:val="0"/>
        <w:spacing w:before="0" w:after="0"/>
        <w:jc w:val="left"/>
        <w:rPr>
          <w:sz w:val="4"/>
          <w:szCs w:val="4"/>
        </w:rPr>
      </w:pPr>
      <w:r>
        <w:rPr>
          <w:sz w:val="4"/>
          <w:szCs w:val="4"/>
        </w:rPr>
      </w:r>
      <w:bookmarkStart w:id="530" w:name="z2421a6b01e8f4047a55e07c170536c95"/>
      <w:bookmarkStart w:id="531" w:name="z2421a6b01e8f4047a55e07c170536c95"/>
      <w:bookmarkEnd w:id="531"/>
    </w:p>
    <w:tbl>
      <w:tblPr>
        <w:tblW w:w="9633" w:type="dxa"/>
        <w:jc w:val="left"/>
        <w:tblInd w:w="0" w:type="dxa"/>
        <w:tblLayout w:type="fixed"/>
        <w:tblCellMar>
          <w:top w:w="0" w:type="dxa"/>
          <w:left w:w="0" w:type="dxa"/>
          <w:bottom w:w="0" w:type="dxa"/>
          <w:right w:w="0" w:type="dxa"/>
        </w:tblCellMar>
      </w:tblPr>
      <w:tblGrid>
        <w:gridCol w:w="38"/>
        <w:gridCol w:w="125"/>
        <w:gridCol w:w="9470"/>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color w:val="003551"/>
                <w:sz w:val="20"/>
              </w:rPr>
            </w:pPr>
            <w:r>
              <w:rPr>
                <w:rFonts w:ascii="Times New Roman" w:hAnsi="Times New Roman"/>
                <w:color w:val="003551"/>
                <w:sz w:val="20"/>
              </w:rPr>
              <w:t>o</w:t>
            </w:r>
          </w:p>
        </w:tc>
        <w:tc>
          <w:tcPr>
            <w:tcW w:w="9470"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Capped call transactions expected to provide a hedge upon conversions up to an initial cap price of $82.24 per share</w:t>
            </w:r>
          </w:p>
        </w:tc>
      </w:tr>
    </w:tbl>
    <w:p>
      <w:pPr>
        <w:pStyle w:val="Normal"/>
        <w:bidi w:val="0"/>
        <w:spacing w:before="0" w:after="0"/>
        <w:jc w:val="left"/>
        <w:rPr>
          <w:sz w:val="4"/>
          <w:szCs w:val="4"/>
        </w:rPr>
      </w:pPr>
      <w:r>
        <w:rPr>
          <w:sz w:val="4"/>
          <w:szCs w:val="4"/>
        </w:rPr>
      </w:r>
      <w:bookmarkStart w:id="532" w:name="z210fe23aca494c3bb59ae71ae3282941"/>
      <w:bookmarkStart w:id="533" w:name="z210fe23aca494c3bb59ae71ae3282941"/>
      <w:bookmarkEnd w:id="533"/>
    </w:p>
    <w:tbl>
      <w:tblPr>
        <w:tblW w:w="9498" w:type="dxa"/>
        <w:jc w:val="left"/>
        <w:tblInd w:w="0" w:type="dxa"/>
        <w:tblLayout w:type="fixed"/>
        <w:tblCellMar>
          <w:top w:w="0" w:type="dxa"/>
          <w:left w:w="0" w:type="dxa"/>
          <w:bottom w:w="0" w:type="dxa"/>
          <w:right w:w="0" w:type="dxa"/>
        </w:tblCellMar>
      </w:tblPr>
      <w:tblGrid>
        <w:gridCol w:w="38"/>
        <w:gridCol w:w="125"/>
        <w:gridCol w:w="9335"/>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color w:val="003551"/>
                <w:sz w:val="20"/>
              </w:rPr>
            </w:pPr>
            <w:r>
              <w:rPr>
                <w:rFonts w:ascii="Times New Roman" w:hAnsi="Times New Roman"/>
                <w:color w:val="003551"/>
                <w:sz w:val="20"/>
              </w:rPr>
              <w:t>o</w:t>
            </w:r>
          </w:p>
        </w:tc>
        <w:tc>
          <w:tcPr>
            <w:tcW w:w="9335"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No put option for investors in the notes other than a customary put right in the case of certain fundamental changes</w:t>
            </w:r>
          </w:p>
        </w:tc>
      </w:tr>
    </w:tbl>
    <w:p>
      <w:pPr>
        <w:pStyle w:val="Normal"/>
        <w:bidi w:val="0"/>
        <w:spacing w:before="0" w:after="0"/>
        <w:jc w:val="left"/>
        <w:rPr>
          <w:sz w:val="4"/>
          <w:szCs w:val="4"/>
        </w:rPr>
      </w:pPr>
      <w:r>
        <w:rPr>
          <w:sz w:val="4"/>
          <w:szCs w:val="4"/>
        </w:rPr>
      </w:r>
      <w:bookmarkStart w:id="534" w:name="zf8f2361086204144bb98701819e596a1"/>
      <w:bookmarkStart w:id="535" w:name="zf8f2361086204144bb98701819e596a1"/>
      <w:bookmarkEnd w:id="535"/>
    </w:p>
    <w:tbl>
      <w:tblPr>
        <w:tblW w:w="8478" w:type="dxa"/>
        <w:jc w:val="left"/>
        <w:tblInd w:w="0" w:type="dxa"/>
        <w:tblLayout w:type="fixed"/>
        <w:tblCellMar>
          <w:top w:w="0" w:type="dxa"/>
          <w:left w:w="0" w:type="dxa"/>
          <w:bottom w:w="0" w:type="dxa"/>
          <w:right w:w="0" w:type="dxa"/>
        </w:tblCellMar>
      </w:tblPr>
      <w:tblGrid>
        <w:gridCol w:w="38"/>
        <w:gridCol w:w="110"/>
        <w:gridCol w:w="8330"/>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color w:val="003551"/>
              </w:rPr>
            </w:pPr>
            <w:r>
              <w:rPr>
                <w:color w:val="003551"/>
              </w:rPr>
              <w:t>•</w:t>
            </w:r>
          </w:p>
        </w:tc>
        <w:tc>
          <w:tcPr>
            <w:tcW w:w="8330"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Repurchase of approximately $544.3 million aggregate principal amount of existing convertible notes</w:t>
            </w:r>
          </w:p>
        </w:tc>
      </w:tr>
    </w:tbl>
    <w:p>
      <w:pPr>
        <w:pStyle w:val="Normal"/>
        <w:bidi w:val="0"/>
        <w:spacing w:before="0" w:after="0"/>
        <w:jc w:val="left"/>
        <w:rPr>
          <w:sz w:val="4"/>
          <w:szCs w:val="4"/>
        </w:rPr>
      </w:pPr>
      <w:r>
        <w:rPr>
          <w:sz w:val="4"/>
          <w:szCs w:val="4"/>
        </w:rPr>
      </w:r>
      <w:bookmarkStart w:id="536" w:name="ze449989613fd44c092d177cbc441351a"/>
      <w:bookmarkStart w:id="537" w:name="ze449989613fd44c092d177cbc441351a"/>
      <w:bookmarkEnd w:id="537"/>
    </w:p>
    <w:tbl>
      <w:tblPr>
        <w:tblW w:w="7128" w:type="dxa"/>
        <w:jc w:val="left"/>
        <w:tblInd w:w="0" w:type="dxa"/>
        <w:tblLayout w:type="fixed"/>
        <w:tblCellMar>
          <w:top w:w="0" w:type="dxa"/>
          <w:left w:w="0" w:type="dxa"/>
          <w:bottom w:w="0" w:type="dxa"/>
          <w:right w:w="0" w:type="dxa"/>
        </w:tblCellMar>
      </w:tblPr>
      <w:tblGrid>
        <w:gridCol w:w="38"/>
        <w:gridCol w:w="125"/>
        <w:gridCol w:w="6965"/>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color w:val="003551"/>
                <w:sz w:val="20"/>
              </w:rPr>
            </w:pPr>
            <w:r>
              <w:rPr>
                <w:rFonts w:ascii="Times New Roman" w:hAnsi="Times New Roman"/>
                <w:color w:val="003551"/>
                <w:sz w:val="20"/>
              </w:rPr>
              <w:t>o</w:t>
            </w:r>
          </w:p>
        </w:tc>
        <w:tc>
          <w:tcPr>
            <w:tcW w:w="6965"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$316.6 million of 3.50% convertible senior notes due 2029 ($13.64 conversion price)</w:t>
            </w:r>
          </w:p>
        </w:tc>
      </w:tr>
    </w:tbl>
    <w:p>
      <w:pPr>
        <w:pStyle w:val="Normal"/>
        <w:bidi w:val="0"/>
        <w:spacing w:before="0" w:after="0"/>
        <w:jc w:val="left"/>
        <w:rPr>
          <w:sz w:val="4"/>
          <w:szCs w:val="4"/>
        </w:rPr>
      </w:pPr>
      <w:r>
        <w:rPr>
          <w:sz w:val="4"/>
          <w:szCs w:val="4"/>
        </w:rPr>
      </w:r>
      <w:bookmarkStart w:id="538" w:name="ze9a251227cfa4c96b72c41bd06213a53"/>
      <w:bookmarkStart w:id="539" w:name="ze9a251227cfa4c96b72c41bd06213a53"/>
      <w:bookmarkEnd w:id="539"/>
    </w:p>
    <w:tbl>
      <w:tblPr>
        <w:tblW w:w="7128" w:type="dxa"/>
        <w:jc w:val="left"/>
        <w:tblInd w:w="0" w:type="dxa"/>
        <w:tblLayout w:type="fixed"/>
        <w:tblCellMar>
          <w:top w:w="0" w:type="dxa"/>
          <w:left w:w="0" w:type="dxa"/>
          <w:bottom w:w="0" w:type="dxa"/>
          <w:right w:w="0" w:type="dxa"/>
        </w:tblCellMar>
      </w:tblPr>
      <w:tblGrid>
        <w:gridCol w:w="38"/>
        <w:gridCol w:w="125"/>
        <w:gridCol w:w="6965"/>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color w:val="003551"/>
                <w:sz w:val="20"/>
              </w:rPr>
            </w:pPr>
            <w:r>
              <w:rPr>
                <w:rFonts w:ascii="Times New Roman" w:hAnsi="Times New Roman"/>
                <w:color w:val="003551"/>
                <w:sz w:val="20"/>
              </w:rPr>
              <w:t>o</w:t>
            </w:r>
          </w:p>
        </w:tc>
        <w:tc>
          <w:tcPr>
            <w:tcW w:w="6965"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$227.7 million of 3.25% convertible senior notes due 2030 ($16.81 conversion price)</w:t>
            </w:r>
          </w:p>
        </w:tc>
      </w:tr>
    </w:tbl>
    <w:p>
      <w:pPr>
        <w:pStyle w:val="Normal"/>
        <w:bidi w:val="0"/>
        <w:spacing w:before="0" w:after="0"/>
        <w:jc w:val="left"/>
        <w:rPr>
          <w:sz w:val="4"/>
          <w:szCs w:val="4"/>
        </w:rPr>
      </w:pPr>
      <w:r>
        <w:rPr>
          <w:sz w:val="4"/>
          <w:szCs w:val="4"/>
        </w:rPr>
      </w:r>
      <w:bookmarkStart w:id="540" w:name="zfa4eec2af1dc431baeb45a828e4ad500"/>
      <w:bookmarkStart w:id="541" w:name="zfa4eec2af1dc431baeb45a828e4ad500"/>
      <w:bookmarkEnd w:id="541"/>
    </w:p>
    <w:tbl>
      <w:tblPr>
        <w:tblW w:w="7113" w:type="dxa"/>
        <w:jc w:val="left"/>
        <w:tblInd w:w="0" w:type="dxa"/>
        <w:tblLayout w:type="fixed"/>
        <w:tblCellMar>
          <w:top w:w="0" w:type="dxa"/>
          <w:left w:w="0" w:type="dxa"/>
          <w:bottom w:w="0" w:type="dxa"/>
          <w:right w:w="0" w:type="dxa"/>
        </w:tblCellMar>
      </w:tblPr>
      <w:tblGrid>
        <w:gridCol w:w="38"/>
        <w:gridCol w:w="125"/>
        <w:gridCol w:w="6950"/>
      </w:tblGrid>
      <w:tr>
        <w:trPr/>
        <w:tc>
          <w:tcPr>
            <w:tcW w:w="38" w:type="dxa"/>
            <w:tcBorders/>
            <w:vAlign w:val="center"/>
          </w:tcPr>
          <w:p>
            <w:pPr>
              <w:pStyle w:val="TableContents"/>
              <w:bidi w:val="0"/>
              <w:spacing w:before="0" w:after="283"/>
              <w:jc w:val="left"/>
              <w:rPr>
                <w:sz w:val="20"/>
              </w:rPr>
            </w:pPr>
            <w:r>
              <w:rPr>
                <w:sz w:val="20"/>
              </w:rPr>
            </w:r>
          </w:p>
        </w:tc>
        <w:tc>
          <w:tcPr>
            <w:tcW w:w="125" w:type="dxa"/>
            <w:tcBorders/>
            <w:vAlign w:val="center"/>
          </w:tcPr>
          <w:p>
            <w:pPr>
              <w:pStyle w:val="TableContents"/>
              <w:bidi w:val="0"/>
              <w:spacing w:before="0" w:after="283"/>
              <w:jc w:val="left"/>
              <w:rPr>
                <w:rFonts w:ascii="Times New Roman" w:hAnsi="Times New Roman"/>
                <w:color w:val="003551"/>
                <w:sz w:val="20"/>
              </w:rPr>
            </w:pPr>
            <w:r>
              <w:rPr>
                <w:rFonts w:ascii="Times New Roman" w:hAnsi="Times New Roman"/>
                <w:color w:val="003551"/>
                <w:sz w:val="20"/>
              </w:rPr>
              <w:t>o</w:t>
            </w:r>
          </w:p>
        </w:tc>
        <w:tc>
          <w:tcPr>
            <w:tcW w:w="6950"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Funded via registered direct placement of approximately 39.7 million ordinary shares</w:t>
            </w:r>
          </w:p>
        </w:tc>
      </w:tr>
    </w:tbl>
    <w:p>
      <w:pPr>
        <w:pStyle w:val="Normal"/>
        <w:bidi w:val="0"/>
        <w:spacing w:before="0" w:after="0"/>
        <w:jc w:val="left"/>
        <w:rPr>
          <w:sz w:val="4"/>
          <w:szCs w:val="4"/>
        </w:rPr>
      </w:pPr>
      <w:r>
        <w:rPr>
          <w:sz w:val="4"/>
          <w:szCs w:val="4"/>
        </w:rPr>
      </w:r>
      <w:bookmarkStart w:id="542" w:name="z1e39954b528c4506bda4d3cf625b1a2b"/>
      <w:bookmarkStart w:id="543" w:name="z1e39954b528c4506bda4d3cf625b1a2b"/>
      <w:bookmarkEnd w:id="5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color w:val="003551"/>
              </w:rPr>
            </w:pPr>
            <w:r>
              <w:rPr>
                <w:color w:val="003551"/>
              </w:rPr>
              <w:t>•</w:t>
            </w:r>
          </w:p>
        </w:tc>
        <w:tc>
          <w:tcPr>
            <w:tcW w:w="10057" w:type="dxa"/>
            <w:tcBorders/>
            <w:vAlign w:val="center"/>
          </w:tcPr>
          <w:p>
            <w:pPr>
              <w:pStyle w:val="TableContents"/>
              <w:bidi w:val="0"/>
              <w:spacing w:before="0" w:after="0"/>
              <w:jc w:val="left"/>
              <w:rPr>
                <w:rFonts w:ascii="Times New Roman" w:hAnsi="Times New Roman"/>
                <w:color w:val="003551"/>
                <w:sz w:val="20"/>
              </w:rPr>
            </w:pPr>
            <w:r>
              <w:rPr>
                <w:rFonts w:ascii="Times New Roman" w:hAnsi="Times New Roman"/>
                <w:color w:val="003551"/>
                <w:sz w:val="20"/>
              </w:rPr>
              <w:t>Combined transactions raise net proceeds of approximately $2.27 billion, lower average annualized cash coupons and extend maturities on outstanding convertible notes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3551"/>
          <w:sz w:val="20"/>
        </w:rPr>
      </w:pPr>
      <w:r>
        <w:rPr>
          <w:rFonts w:ascii="Times New Roman" w:hAnsi="Times New Roman"/>
          <w:b/>
          <w:color w:val="003551"/>
          <w:sz w:val="20"/>
        </w:rPr>
        <w:t>Convertible Notes Offering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IREN closed its offering of $1.15 billion aggregate principal amount of 0.25% convertible senior notes due 2032 (the “2032 notes”) and $1.15 billion aggregate principal amount of 1.00% convertible senior notes due 2033 (the “2033 notes” and, together with the 2032 notes, the “notes”) in a private offering (the “Convertible Notes Offering”) to persons reasonably believed to be qualified institutional buyers pursuant to Rule 144A under the Securities Act of 1933, as amended (the “Securities 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Citigroup, Goldman Sachs &amp; Co. LLC, J.P. Morgan, Jefferies, Cantor and Mizuho acted as bookrunners, and Canaccord Genuity, Macquarie Capital, Moelis &amp; Company and Roth Capital Partners acted as co-managers in connection with the offering.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3551"/>
          <w:sz w:val="20"/>
        </w:rPr>
      </w:pPr>
      <w:r>
        <w:rPr>
          <w:rFonts w:ascii="Times New Roman" w:hAnsi="Times New Roman"/>
          <w:b/>
          <w:color w:val="003551"/>
          <w:sz w:val="20"/>
        </w:rPr>
        <w:t>Repurchase of Existing Convertible Notes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3551"/>
          <w:sz w:val="20"/>
        </w:rPr>
      </w:pPr>
      <w:r>
        <w:rPr>
          <w:rFonts w:ascii="Times New Roman" w:hAnsi="Times New Roman"/>
          <w:color w:val="003551"/>
          <w:sz w:val="20"/>
        </w:rPr>
        <w:t>Concurrently with the closing of the Convertible Notes Offering, IREN closed its separate, privately negotiated transactions with a limited number of holders of IREN’s outstanding 3.25% convertible senior notes due 2030 with an initial conversion price of approximately $16.81 per ordinary share (the “Existing 2030 Convertible Notes”) and 3.50% convertible senior notes due 2029 with an initial conversion price of approximately $13.64 per ordinary share (the “Existing 2029 Convertible Notes” and, together with the Existing 2030 Convertible Notes, the “Existing Convertible Notes”) to repurchase approximately $227.7 million aggregate principal amount of the Existing 2030 Convertible Notes and approximately $316.6 million aggregate principal amount of the Existing 2029 Convertible Notes for an aggregate repurchase price of approximately $1,632.4 million, funded by the Concurrent Equity Offering (as defined below) and includes accrued and unpaid interest on the Existing Convertible Notes to be repurchased (the “Repurchase”).</w:t>
      </w:r>
    </w:p>
    <w:p>
      <w:pPr>
        <w:pStyle w:val="TextBody"/>
        <w:bidi w:val="0"/>
        <w:spacing w:before="0" w:after="0"/>
        <w:jc w:val="left"/>
        <w:rPr/>
      </w:pPr>
      <w:r>
        <w:rPr/>
      </w:r>
    </w:p>
    <w:tbl>
      <w:tblPr>
        <w:tblW w:w="2170" w:type="dxa"/>
        <w:jc w:val="left"/>
        <w:tblInd w:w="0" w:type="dxa"/>
        <w:tblLayout w:type="fixed"/>
        <w:tblCellMar>
          <w:top w:w="0" w:type="dxa"/>
          <w:left w:w="0" w:type="dxa"/>
          <w:bottom w:w="0" w:type="dxa"/>
          <w:right w:w="0" w:type="dxa"/>
        </w:tblCellMar>
      </w:tblPr>
      <w:tblGrid>
        <w:gridCol w:w="2060"/>
        <w:gridCol w:w="110"/>
      </w:tblGrid>
      <w:tr>
        <w:trPr/>
        <w:tc>
          <w:tcPr>
            <w:tcW w:w="2060" w:type="dxa"/>
            <w:tcBorders/>
            <w:vAlign w:val="center"/>
          </w:tcPr>
          <w:p>
            <w:pPr>
              <w:pStyle w:val="TableContents"/>
              <w:bidi w:val="0"/>
              <w:spacing w:before="0" w:after="0"/>
              <w:jc w:val="left"/>
              <w:rPr>
                <w:rFonts w:ascii="Times New Roman" w:hAnsi="Times New Roman"/>
                <w:color w:val="003551"/>
                <w:sz w:val="16"/>
              </w:rPr>
            </w:pPr>
            <w:r>
              <w:rPr>
                <w:rFonts w:ascii="Times New Roman" w:hAnsi="Times New Roman"/>
                <w:color w:val="003551"/>
                <w:sz w:val="16"/>
              </w:rPr>
              <w:t>PROCEED WITH PURPOSE.</w:t>
            </w:r>
          </w:p>
        </w:tc>
        <w:tc>
          <w:tcPr>
            <w:tcW w:w="1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color w:val="003551"/>
                <w:sz w:val="16"/>
              </w:rPr>
            </w:pPr>
            <w:r>
              <w:rPr>
                <w:rFonts w:ascii="Times New Roman" w:hAnsi="Times New Roman"/>
                <w:b w:val="false"/>
                <w:i w:val="false"/>
                <w:caps w:val="false"/>
                <w:smallCaps w:val="false"/>
                <w:color w:val="003551"/>
                <w:sz w:val="16"/>
              </w:rPr>
              <w:t>1</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6296025" cy="6381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296025" cy="638175"/>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TextBody"/>
        <w:bidi w:val="0"/>
        <w:spacing w:before="0" w:after="0"/>
        <w:jc w:val="left"/>
        <w:rPr>
          <w:rFonts w:ascii="Times New Roman" w:hAnsi="Times New Roman"/>
          <w:color w:val="003551"/>
          <w:sz w:val="20"/>
        </w:rPr>
      </w:pPr>
      <w:r>
        <w:rPr>
          <w:rFonts w:ascii="Times New Roman" w:hAnsi="Times New Roman"/>
          <w:color w:val="003551"/>
          <w:sz w:val="20"/>
        </w:rPr>
        <w:t>The principal amount of debt outstanding under the Existing Convertible Notes has been reduced by an amount equal to the principal amount of Existing Convertible Notes that were repurchased, and the Existing Convertible Notes that were repurchased by IREN have been extinguished and, accordingly, will no longer be convertible into IREN’s ordinary shares prior to maturity or otherwise. IREN may repurchase additional Existing Convertible Notes after the completion of the Convertible Notes Offering.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3551"/>
          <w:sz w:val="20"/>
        </w:rPr>
      </w:pPr>
      <w:r>
        <w:rPr>
          <w:rFonts w:ascii="Times New Roman" w:hAnsi="Times New Roman"/>
          <w:color w:val="003551"/>
          <w:sz w:val="20"/>
        </w:rPr>
        <w:t>IREN also announced today the closing of its previously announced registered direct placement of 39,699,102 of its ordinary shares, at an offering price of $41.12 per share to a limited number of purchasers (the “Concurrent Equity Offering”) to fund the Repurchase. The aggregate gross proceeds from the Concurrent Equity Offering equal the aggregate cash consideration payable in connection with the Repurchase.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3551"/>
          <w:sz w:val="20"/>
        </w:rPr>
      </w:pPr>
      <w:r>
        <w:rPr>
          <w:rFonts w:ascii="Times New Roman" w:hAnsi="Times New Roman"/>
          <w:color w:val="003551"/>
          <w:sz w:val="20"/>
        </w:rPr>
        <w:t>Citigroup, Goldman Sachs &amp; Co. LLC and J.P. Morgan acted as placement agents in connection with the Concurrent Equity Offering.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3551"/>
          <w:sz w:val="20"/>
        </w:rPr>
      </w:pPr>
      <w:r>
        <w:rPr>
          <w:rFonts w:ascii="Times New Roman" w:hAnsi="Times New Roman"/>
          <w:b/>
          <w:color w:val="003551"/>
          <w:sz w:val="20"/>
        </w:rPr>
        <w:t>Use of proceeds</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The net proceeds from the Convertible Notes Offering are approximately $2,270.0 million after the initial purchasers’ full exercise of their options to purchase additional notes, after deducting the initial purchasers’ discounts and commissions and IREN’s estimated offering expenses. The proceeds from the Concurrent Equity Offering are approximately $1,632.4 million.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3551"/>
          <w:sz w:val="20"/>
        </w:rPr>
      </w:pPr>
      <w:r>
        <w:rPr>
          <w:rFonts w:ascii="Times New Roman" w:hAnsi="Times New Roman"/>
          <w:color w:val="003551"/>
          <w:sz w:val="20"/>
        </w:rPr>
        <w:t>IREN intends to use the net proceeds from the Convertible Notes Offering, together with the net proceeds from the Concurrent Equity Offering, (i) to fund the $201.0 million cost of entering into the capped call transactions described below; (ii) to repurchase a portion of the Existing Convertible Notes for cash as described above; and (iii) remaining proceeds of $2,068.0 million for general corporate purposes and working capital.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3551"/>
          <w:sz w:val="20"/>
        </w:rPr>
      </w:pPr>
      <w:r>
        <w:rPr>
          <w:rFonts w:ascii="Times New Roman" w:hAnsi="Times New Roman"/>
          <w:b/>
          <w:color w:val="003551"/>
          <w:sz w:val="20"/>
        </w:rPr>
        <w:t>Capped call transactions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In connection with the pricing of the notes and the exercise by the initial purchasers of their option to purchase additional notes, IREN entered into privately negotiated capped call transactions relating to each series of notes with certain of the initial purchasers or their affiliates and certain other financial institutions (the “option counterparties”). The capped call transactions relating to the 2032 notes cover, subject to anti-dilution adjustments, the number of ordinary shares of IREN that initially underlie the 2032 notes. The capped call transactions relating to the 2033 notes cover, subject to anti-dilution adjustments, the number of ordinary shares of IREN that initially underlie the 2033 notes. Due to the initial purchasers’ full exercise of their option to purchase additional notes of each series, IREN entered into additional capped call transactions relating to the additional notes of each series with the option counterparties.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The cap price of the capped call transactions relating to the 2032 notes is initially $82.24 per share, which represents a premium of 100% over the last reported sale price of IREN’s ordinary shares of $41.12 per share on December 2, 2025, and is subject to certain adjustments under the terms of the capped call transactions relating to the 2032 notes. The cap price of the capped call transactions relating to the 2033 notes is initially $82.24 per share, which represents a premium of 100% over the last reported sale price of IREN’s ordinary shares of $41.12 per share on December 2, 2025, and is subject to certain adjustments under the terms of the capped call transactions relating to the 2033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The capped call transactions relating to each series of notes are expected generally to reduce the potential dilution to IREN’s ordinary shares upon any conversion of the notes of such series and/or offset any potential cash payments IREN is required to make in excess of the principal amount of converted notes of such series, as the case may be, with such offset and/or reduction subject to a cap price. If, however, the market price per ordinary share of IREN, as measured under the terms of the applicable capped call transactions, exceeds the cap price of such capped call transactions, there would nevertheless be dilution and/or there would not be an offset of such potential cash payments, in each case, to the extent that such market price exceeds the cap price of such capped call transactions. In addition, the capped call transactions will be solely cash settled unless certain conditions are satisfied.</w:t>
      </w:r>
    </w:p>
    <w:p>
      <w:pPr>
        <w:pStyle w:val="TextBody"/>
        <w:bidi w:val="0"/>
        <w:spacing w:before="0" w:after="0"/>
        <w:jc w:val="left"/>
        <w:rPr/>
      </w:pPr>
      <w:r>
        <w:rPr/>
      </w:r>
    </w:p>
    <w:tbl>
      <w:tblPr>
        <w:tblW w:w="2170" w:type="dxa"/>
        <w:jc w:val="left"/>
        <w:tblInd w:w="0" w:type="dxa"/>
        <w:tblLayout w:type="fixed"/>
        <w:tblCellMar>
          <w:top w:w="0" w:type="dxa"/>
          <w:left w:w="0" w:type="dxa"/>
          <w:bottom w:w="0" w:type="dxa"/>
          <w:right w:w="0" w:type="dxa"/>
        </w:tblCellMar>
      </w:tblPr>
      <w:tblGrid>
        <w:gridCol w:w="2060"/>
        <w:gridCol w:w="110"/>
      </w:tblGrid>
      <w:tr>
        <w:trPr/>
        <w:tc>
          <w:tcPr>
            <w:tcW w:w="2060" w:type="dxa"/>
            <w:tcBorders/>
            <w:vAlign w:val="center"/>
          </w:tcPr>
          <w:p>
            <w:pPr>
              <w:pStyle w:val="TableContents"/>
              <w:bidi w:val="0"/>
              <w:spacing w:before="0" w:after="0"/>
              <w:jc w:val="left"/>
              <w:rPr>
                <w:rFonts w:ascii="Times New Roman" w:hAnsi="Times New Roman"/>
                <w:color w:val="003551"/>
                <w:sz w:val="16"/>
              </w:rPr>
            </w:pPr>
            <w:r>
              <w:rPr>
                <w:rFonts w:ascii="Times New Roman" w:hAnsi="Times New Roman"/>
                <w:color w:val="003551"/>
                <w:sz w:val="16"/>
              </w:rPr>
              <w:t>PROCEED WITH PURPOSE.</w:t>
            </w:r>
          </w:p>
        </w:tc>
        <w:tc>
          <w:tcPr>
            <w:tcW w:w="1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color w:val="003551"/>
                <w:sz w:val="16"/>
              </w:rPr>
            </w:pPr>
            <w:r>
              <w:rPr>
                <w:rFonts w:ascii="Times New Roman" w:hAnsi="Times New Roman"/>
                <w:b w:val="false"/>
                <w:i w:val="false"/>
                <w:caps w:val="false"/>
                <w:smallCaps w:val="false"/>
                <w:color w:val="003551"/>
                <w:sz w:val="16"/>
              </w:rPr>
              <w:t>2</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6296025" cy="6381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296025" cy="638175"/>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TextBody"/>
        <w:bidi w:val="0"/>
        <w:spacing w:before="0" w:after="0"/>
        <w:jc w:val="left"/>
        <w:rPr>
          <w:rFonts w:ascii="Times New Roman" w:hAnsi="Times New Roman"/>
          <w:b/>
          <w:color w:val="003551"/>
          <w:sz w:val="20"/>
        </w:rPr>
      </w:pPr>
      <w:r>
        <w:rPr>
          <w:rFonts w:ascii="Times New Roman" w:hAnsi="Times New Roman"/>
          <w:b/>
          <w:color w:val="003551"/>
          <w:sz w:val="20"/>
        </w:rPr>
        <w:t>No registration of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The notes were only offered and sold to persons reasonably believed to be qualified institutional buyers pursuant to Rule 144A under the Securities Act. The offer and sale of the notes and any of IREN’s ordinary shares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This press release does not constitute an offer to sell, or the solicitation of an offer to buy, the notes or any of IREN’s ordinary shares issuable upon conversion of the notes, nor will there be any sale of the notes or any such shares, in any state or other jurisdiction (including the United States and Australia) in which such offer, sale or solicitation would be unlawful. This press release also shall not constitute an offer to purchase or a solicitation of an offer to sell the Existing Convertible Notes.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 xml:space="preserve">About IREN </w:t>
      </w:r>
    </w:p>
    <w:p>
      <w:pPr>
        <w:pStyle w:val="HorizontalLine"/>
        <w:pBdr>
          <w:bottom w:val="single" w:sz="12" w:space="0" w:color="808080"/>
        </w:pBdr>
        <w:bidi w:val="0"/>
        <w:jc w:val="left"/>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3551"/>
          <w:sz w:val="20"/>
        </w:rPr>
      </w:pPr>
      <w:r>
        <w:rPr>
          <w:rFonts w:ascii="Times New Roman" w:hAnsi="Times New Roman"/>
          <w:color w:val="003551"/>
          <w:sz w:val="20"/>
        </w:rPr>
        <w:t>IREN is a leading AI Cloud Service Provider, delivering large-scale GPU clusters for AI training and inference. IREN’s vertically integrated platform is underpinned by its expansive portfolio of grid-connected land and data centers in renewable-rich regions across the U.S. and Canada.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3551"/>
          <w:sz w:val="20"/>
        </w:rPr>
      </w:pPr>
      <w:r>
        <w:rPr>
          <w:rFonts w:ascii="Times New Roman" w:hAnsi="Times New Roman"/>
          <w:color w:val="003551"/>
          <w:sz w:val="20"/>
        </w:rPr>
        <w:t xml:space="preserve">Contacts </w:t>
      </w:r>
    </w:p>
    <w:p>
      <w:pPr>
        <w:pStyle w:val="HorizontalLine"/>
        <w:pBdr>
          <w:bottom w:val="single" w:sz="12" w:space="0" w:color="808080"/>
        </w:pBdr>
        <w:bidi w:val="0"/>
        <w:jc w:val="left"/>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3551"/>
          <w:sz w:val="20"/>
        </w:rPr>
      </w:pPr>
      <w:r>
        <w:rPr>
          <w:rFonts w:ascii="Times New Roman" w:hAnsi="Times New Roman"/>
          <w:b/>
          <w:color w:val="003551"/>
          <w:sz w:val="20"/>
        </w:rPr>
        <w:t>Investors</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ir@iren.com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3551"/>
          <w:sz w:val="20"/>
        </w:rPr>
      </w:pPr>
      <w:r>
        <w:rPr>
          <w:rFonts w:ascii="Times New Roman" w:hAnsi="Times New Roman"/>
          <w:b/>
          <w:color w:val="003551"/>
          <w:sz w:val="20"/>
        </w:rPr>
        <w:t>Media</w:t>
      </w:r>
    </w:p>
    <w:p>
      <w:pPr>
        <w:pStyle w:val="TextBody"/>
        <w:bidi w:val="0"/>
        <w:spacing w:before="0" w:after="0"/>
        <w:jc w:val="left"/>
        <w:rPr>
          <w:rFonts w:ascii="Times New Roman" w:hAnsi="Times New Roman"/>
          <w:color w:val="003551"/>
          <w:sz w:val="20"/>
        </w:rPr>
      </w:pPr>
      <w:r>
        <w:rPr>
          <w:rFonts w:ascii="Times New Roman" w:hAnsi="Times New Roman"/>
          <w:color w:val="003551"/>
          <w:sz w:val="20"/>
        </w:rPr>
        <w:t>media@iren.com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3551"/>
          <w:sz w:val="20"/>
        </w:rPr>
      </w:pPr>
      <w:r>
        <w:rPr>
          <w:rFonts w:ascii="Times New Roman" w:hAnsi="Times New Roman"/>
          <w:color w:val="003551"/>
          <w:sz w:val="20"/>
        </w:rPr>
        <w:t xml:space="preserve">Forward-Looking Statements </w:t>
      </w:r>
    </w:p>
    <w:p>
      <w:pPr>
        <w:pStyle w:val="HorizontalLine"/>
        <w:pBdr>
          <w:bottom w:val="single" w:sz="12" w:space="0" w:color="808080"/>
        </w:pBdr>
        <w:bidi w:val="0"/>
        <w:jc w:val="left"/>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3551"/>
          <w:sz w:val="21"/>
        </w:rPr>
      </w:pPr>
      <w:r>
        <w:rPr>
          <w:rFonts w:ascii="Times New Roman" w:hAnsi="Times New Roman"/>
          <w:color w:val="003551"/>
          <w:sz w:val="20"/>
        </w:rPr>
        <w:t>This press release includes “forward-looking statements” within the meaning of the within the meaning of Section 27A of the Securities Act of 1933, as amended, and Section 21E of the Securities Exchange Act of 1934, as amended, including statements regarding the Convertible Notes Offering, the Concurrent Equity Offering and the Repurchase and the intended use of the net proceeds. Forward-looking statements represent IREN’s current expectations, beliefs, and projections regarding future events and are subject to known and unknown uncertainties, risks, assumptions and contingencies, many of which are outside IREN’s control and that could cause actual results to differ materially from those described in or implied by the forward-looking statements. Among those risks and uncertainties are market conditions, risks relating to IREN’s business, including those described in periodic reports that IREN files from time to time with the SEC. IREN cannot provide any assurances regarding its ability to effectively apply the net proceeds after funding the cost of entering into the capped call transactions as described above. The forward-looking statements included in this press release speak only as of the date of this press release, and IREN does not undertake any obligation to update the forward-looking statements included in this press release for subsequent developments, except as may be required by law. For a further discussion of factors that could cause IREN’s future results to differ materially from any forward-looking statements, see the section entitled “Risk Factors” in IREN’s Annual Report on Form 10-K for the year ended June 30, 2025 and other risks described in documents filed by IREN from time to time with the Securities and Exchange Commission.</w:t>
      </w:r>
      <w:r>
        <w:rPr>
          <w:rFonts w:ascii="Times New Roman" w:hAnsi="Times New Roman"/>
          <w:color w:val="003551"/>
          <w:sz w:val="21"/>
        </w:rPr>
        <w:t> </w:t>
      </w:r>
    </w:p>
    <w:p>
      <w:pPr>
        <w:pStyle w:val="TextBody"/>
        <w:bidi w:val="0"/>
        <w:spacing w:before="0" w:after="0"/>
        <w:jc w:val="left"/>
        <w:rPr/>
      </w:pPr>
      <w:r>
        <w:rPr/>
      </w:r>
    </w:p>
    <w:p>
      <w:pPr>
        <w:pStyle w:val="TextBody"/>
        <w:bidi w:val="0"/>
        <w:spacing w:before="0" w:after="0"/>
        <w:jc w:val="left"/>
        <w:rPr/>
      </w:pPr>
      <w:r>
        <w:rPr/>
      </w:r>
    </w:p>
    <w:tbl>
      <w:tblPr>
        <w:tblW w:w="2170" w:type="dxa"/>
        <w:jc w:val="left"/>
        <w:tblInd w:w="0" w:type="dxa"/>
        <w:tblLayout w:type="fixed"/>
        <w:tblCellMar>
          <w:top w:w="0" w:type="dxa"/>
          <w:left w:w="0" w:type="dxa"/>
          <w:bottom w:w="0" w:type="dxa"/>
          <w:right w:w="0" w:type="dxa"/>
        </w:tblCellMar>
      </w:tblPr>
      <w:tblGrid>
        <w:gridCol w:w="2060"/>
        <w:gridCol w:w="110"/>
      </w:tblGrid>
      <w:tr>
        <w:trPr/>
        <w:tc>
          <w:tcPr>
            <w:tcW w:w="2060" w:type="dxa"/>
            <w:tcBorders/>
            <w:vAlign w:val="center"/>
          </w:tcPr>
          <w:p>
            <w:pPr>
              <w:pStyle w:val="TableContents"/>
              <w:bidi w:val="0"/>
              <w:spacing w:before="0" w:after="0"/>
              <w:jc w:val="left"/>
              <w:rPr>
                <w:rFonts w:ascii="Times New Roman" w:hAnsi="Times New Roman"/>
                <w:color w:val="003551"/>
                <w:sz w:val="16"/>
              </w:rPr>
            </w:pPr>
            <w:r>
              <w:rPr>
                <w:rFonts w:ascii="Times New Roman" w:hAnsi="Times New Roman"/>
                <w:color w:val="003551"/>
                <w:sz w:val="16"/>
              </w:rPr>
              <w:t>PROCEED WITH PURPOSE.</w:t>
            </w:r>
          </w:p>
        </w:tc>
        <w:tc>
          <w:tcPr>
            <w:tcW w:w="1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color w:val="003551"/>
                <w:sz w:val="16"/>
              </w:rPr>
            </w:pPr>
            <w:r>
              <w:rPr>
                <w:rFonts w:ascii="Times New Roman" w:hAnsi="Times New Roman"/>
                <w:b w:val="false"/>
                <w:i w:val="false"/>
                <w:caps w:val="false"/>
                <w:smallCaps w:val="false"/>
                <w:color w:val="003551"/>
                <w:sz w:val="16"/>
              </w:rPr>
              <w:t>3</w:t>
            </w:r>
          </w:p>
        </w:tc>
      </w:tr>
    </w:tbl>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 w:name="Times New Roman Bol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3.jpeg"/><Relationship Id="rId17" Type="http://schemas.openxmlformats.org/officeDocument/2006/relationships/image" Target="media/image13.jpeg"/><Relationship Id="rId18" Type="http://schemas.openxmlformats.org/officeDocument/2006/relationships/image" Target="media/image13.jpeg"/><Relationship Id="rId19" Type="http://schemas.openxmlformats.org/officeDocument/2006/relationships/image" Target="media/image15.jpeg"/><Relationship Id="rId20" Type="http://schemas.openxmlformats.org/officeDocument/2006/relationships/image" Target="media/image15.jpeg"/><Relationship Id="rId21" Type="http://schemas.openxmlformats.org/officeDocument/2006/relationships/image" Target="media/image15.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151319</Words>
  <Characters>784856</Characters>
  <CharactersWithSpaces>941300</CharactersWithSpaces>
  <Paragraphs>7531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