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IREN LIMITED</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001-41072</w:t>
      </w:r>
    </w:p>
    <w:p>
      <w:pPr>
        <w:sectPr>
          <w:pgSz w:w="11900" w:h="16838" w:orient="portrait"/>
          <w:cols w:equalWidth="0" w:num="1">
            <w:col w:w="11240"/>
          </w:cols>
          <w:pgMar w:left="320" w:top="516" w:right="339" w:bottom="1440" w:gutter="0" w:footer="0" w:header="0"/>
        </w:sectPr>
      </w:pPr>
    </w:p>
    <w:p>
      <w:pPr>
        <w:spacing w:after="0" w:line="3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Australia</w:t>
      </w:r>
    </w:p>
    <w:p>
      <w:pPr>
        <w:spacing w:after="0" w:line="9"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9"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11" w:lineRule="exact"/>
        <w:rPr>
          <w:sz w:val="24"/>
          <w:szCs w:val="24"/>
          <w:color w:val="auto"/>
        </w:rPr>
      </w:pPr>
    </w:p>
    <w:p>
      <w:pPr>
        <w:sectPr>
          <w:pgSz w:w="11900" w:h="16838" w:orient="portrait"/>
          <w:cols w:equalWidth="0" w:num="2">
            <w:col w:w="6400" w:space="720"/>
            <w:col w:w="4120"/>
          </w:cols>
          <w:pgMar w:left="320" w:top="516" w:right="339" w:bottom="1440" w:gutter="0" w:footer="0" w:header="0"/>
          <w:type w:val="continuous"/>
        </w:sect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Level 5, 55 Market Street, Sydney, NSW 2000 Australia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+61 2 7906 8301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ind w:right="680"/>
        <w:spacing w:after="0" w:line="25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100" w:type="dxa"/>
            <w:vAlign w:val="bottom"/>
          </w:tcPr>
          <w:p>
            <w:pPr>
              <w:spacing w:after="0"/>
              <w:rPr>
                <w:sz w:val="21"/>
                <w:szCs w:val="21"/>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Ordinary shares, no par value</w:t>
            </w:r>
          </w:p>
        </w:tc>
        <w:tc>
          <w:tcPr>
            <w:tcW w:w="12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IREN</w:t>
            </w:r>
          </w:p>
        </w:tc>
        <w:tc>
          <w:tcPr>
            <w:tcW w:w="100" w:type="dxa"/>
            <w:vAlign w:val="bottom"/>
          </w:tcPr>
          <w:p>
            <w:pPr>
              <w:spacing w:after="0"/>
              <w:rPr>
                <w:sz w:val="20"/>
                <w:szCs w:val="20"/>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As previously announced, IREN Limited (the “Company”) entered into an amended and restated At Market Issuance Sales Agreement, dated as of August 28, 2025 (the “Sales Agreement”), with B. Riley Securities, Inc., Canaccord Genuity LLC, Cantor Fitzgerald &amp; Co., Citigroup Global Markets Inc., Compass Point Research &amp; Trading, LLC, J.P. Morgan Securities LLC, Macquarie Capital (USA) Inc. and Roth Capital Partners LLC, as sales agents, to which Citizens JMP Securities, LLC, Goldman Sachs &amp; Co. LLC and Jefferies LLC were joined on March 4, 2026 (collectively, the “Sales Agents”) pursuant to which it may offer and sell its ordinary shares from time to time through or to the Sales Agents, as agent or principal. The form of joinder agreement to the Sales Agreement, included as Exhibit 23 to the Sales Agreement, is filed as Exhibit 1.1 hereto and is incorporated herein by reference.</w:t>
      </w:r>
    </w:p>
    <w:p>
      <w:pPr>
        <w:spacing w:after="0" w:line="187"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On March 4, 2026, the Company filed a new prospectus supplement relating to the offer and sale of up to $6,000,000,000 of its ordinary shares under the Sales Agreement. The newly filed prospectus supplement replaces and supersedes the prospectus supplement the Company previously filed on August 28, 2025 relating to the offer and sale of up to $1,000,000,000. As of the date of this Report on Form 8-K, the Company has sold an aggregate of 66,707,732 ordinary shares for an aggregate offering price of $1.0 billion, with no further amounts remaining available for sale under the previously filed prospectus supplement. As a result, in accordance with the terms of the Sales Agreement, the Company may offer and sell its ordinary shares having an aggregate offering price of up to $6,000,000,000 under the newly filed prospectus supplement.</w:t>
      </w:r>
    </w:p>
    <w:p>
      <w:pPr>
        <w:spacing w:after="0" w:line="187"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The Sales Agreement permits sales of the Company’s ordinary shares not to exceed the lesser of the amount registered on an effective registration statement and for which the Company has filed a prospectus, and the amount authorized from time to time to be issued and sold under the Sales Agreement by the Company’s board of directors or a duly authorized committee thereof. As a result, the Company may increase the amount of its ordinary shares that may be sold from time to time pursuant to the Sales Agreement in accordance with the terms of the Sales Agreement.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ordinary shares were registered pursuant to the Company’s shelf registration statement on Form S-3 (File No. 333-284369), and offerings for the ordinary shares will be made only by means of a prospectus supplement related thereto. This Report on Form 8-K shall not constitute an offer to sell or solicitation of an offer to buy these securities, nor shall there be any sale of these securities in any jurisdiction in which such offer, solicitation or sale would be unlawful prior to registration or qualification under the securities law of such jurisdiction.</w:t>
      </w:r>
    </w:p>
    <w:p>
      <w:pPr>
        <w:spacing w:after="0" w:line="180"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Allens, counsel to the Company, has issued a legal opinion relating to the ordinary shares. A copy of such legal opinion, including the consent included therein, is attached as Exhibit 5.1 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40"/>
        <w:spacing w:after="0"/>
        <w:tabs>
          <w:tab w:leader="none" w:pos="5700" w:val="left"/>
        </w:tabs>
        <w:rPr>
          <w:sz w:val="20"/>
          <w:szCs w:val="20"/>
          <w:color w:val="auto"/>
        </w:rPr>
      </w:pPr>
      <w:r>
        <w:rPr>
          <w:rFonts w:ascii="Times New Roman" w:cs="Times New Roman" w:eastAsia="Times New Roman" w:hAnsi="Times New Roman"/>
          <w:sz w:val="18"/>
          <w:szCs w:val="18"/>
          <w:u w:val="single" w:color="auto"/>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17145</wp:posOffset>
            </wp:positionV>
            <wp:extent cx="64890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89065" cy="17145"/>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1000" w:val="left"/>
        </w:tabs>
        <w:rPr>
          <w:sz w:val="20"/>
          <w:szCs w:val="20"/>
          <w:color w:val="auto"/>
        </w:rPr>
      </w:pPr>
      <w:r>
        <w:rPr>
          <w:rFonts w:ascii="Times New Roman" w:cs="Times New Roman" w:eastAsia="Times New Roman" w:hAnsi="Times New Roman"/>
          <w:sz w:val="18"/>
          <w:szCs w:val="18"/>
          <w:u w:val="single" w:color="auto"/>
          <w:color w:val="0000EE"/>
        </w:rPr>
        <w:t>1.1</w:t>
      </w:r>
      <w:r>
        <w:rPr>
          <w:sz w:val="20"/>
          <w:szCs w:val="20"/>
          <w:color w:val="auto"/>
        </w:rPr>
        <w:tab/>
      </w:r>
      <w:r>
        <w:rPr>
          <w:rFonts w:ascii="Times New Roman" w:cs="Times New Roman" w:eastAsia="Times New Roman" w:hAnsi="Times New Roman"/>
          <w:sz w:val="17"/>
          <w:szCs w:val="17"/>
          <w:color w:val="auto"/>
        </w:rPr>
        <w:t>Form of Joinder Agreement to the amended and restated At Market Issuance Sales Agreement, dated as of August 28, 2025</w:t>
      </w:r>
    </w:p>
    <w:p>
      <w:pPr>
        <w:spacing w:after="0" w:line="27" w:lineRule="exact"/>
        <w:rPr>
          <w:sz w:val="20"/>
          <w:szCs w:val="20"/>
          <w:color w:val="auto"/>
        </w:rPr>
      </w:pPr>
    </w:p>
    <w:p>
      <w:pPr>
        <w:ind w:left="340"/>
        <w:spacing w:after="0"/>
        <w:tabs>
          <w:tab w:leader="none" w:pos="1000" w:val="left"/>
        </w:tabs>
        <w:rPr>
          <w:sz w:val="20"/>
          <w:szCs w:val="20"/>
          <w:color w:val="auto"/>
        </w:rPr>
      </w:pPr>
      <w:r>
        <w:rPr>
          <w:rFonts w:ascii="Times New Roman" w:cs="Times New Roman" w:eastAsia="Times New Roman" w:hAnsi="Times New Roman"/>
          <w:sz w:val="18"/>
          <w:szCs w:val="18"/>
          <w:u w:val="single" w:color="auto"/>
          <w:color w:val="0000EE"/>
        </w:rPr>
        <w:t>5.1</w:t>
      </w:r>
      <w:r>
        <w:rPr>
          <w:sz w:val="20"/>
          <w:szCs w:val="20"/>
          <w:color w:val="auto"/>
        </w:rPr>
        <w:tab/>
      </w:r>
      <w:r>
        <w:rPr>
          <w:rFonts w:ascii="Times New Roman" w:cs="Times New Roman" w:eastAsia="Times New Roman" w:hAnsi="Times New Roman"/>
          <w:sz w:val="17"/>
          <w:szCs w:val="17"/>
          <w:color w:val="auto"/>
        </w:rPr>
        <w:t>Opinion of Allens, counsel to IREN Limited</w:t>
      </w:r>
    </w:p>
    <w:p>
      <w:pPr>
        <w:spacing w:after="0" w:line="9" w:lineRule="exact"/>
        <w:rPr>
          <w:sz w:val="20"/>
          <w:szCs w:val="20"/>
          <w:color w:val="auto"/>
        </w:rPr>
      </w:pPr>
    </w:p>
    <w:p>
      <w:pPr>
        <w:ind w:left="300"/>
        <w:spacing w:after="0"/>
        <w:tabs>
          <w:tab w:leader="none" w:pos="1000" w:val="left"/>
        </w:tabs>
        <w:rPr>
          <w:sz w:val="20"/>
          <w:szCs w:val="20"/>
          <w:color w:val="auto"/>
        </w:rPr>
      </w:pPr>
      <w:r>
        <w:rPr>
          <w:rFonts w:ascii="Times New Roman" w:cs="Times New Roman" w:eastAsia="Times New Roman" w:hAnsi="Times New Roman"/>
          <w:sz w:val="18"/>
          <w:szCs w:val="18"/>
          <w:u w:val="single" w:color="auto"/>
          <w:color w:val="0000EE"/>
        </w:rPr>
        <w:t>23.1</w:t>
      </w:r>
      <w:r>
        <w:rPr>
          <w:sz w:val="20"/>
          <w:szCs w:val="20"/>
          <w:color w:val="auto"/>
        </w:rPr>
        <w:tab/>
      </w:r>
      <w:r>
        <w:rPr>
          <w:rFonts w:ascii="Times New Roman" w:cs="Times New Roman" w:eastAsia="Times New Roman" w:hAnsi="Times New Roman"/>
          <w:sz w:val="18"/>
          <w:szCs w:val="18"/>
          <w:color w:val="auto"/>
        </w:rPr>
        <w:t>Consent of Allens (included in Exhibit 5.1)</w:t>
      </w:r>
    </w:p>
    <w:p>
      <w:pPr>
        <w:spacing w:after="0" w:line="9" w:lineRule="exact"/>
        <w:rPr>
          <w:sz w:val="20"/>
          <w:szCs w:val="20"/>
          <w:color w:val="auto"/>
        </w:rPr>
      </w:pPr>
    </w:p>
    <w:p>
      <w:pPr>
        <w:ind w:left="320"/>
        <w:spacing w:after="0"/>
        <w:tabs>
          <w:tab w:leader="none" w:pos="10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IREN Limited</w:t>
      </w:r>
    </w:p>
    <w:p>
      <w:pPr>
        <w:spacing w:after="0" w:line="22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March 4, 2026</w:t>
      </w:r>
      <w:r>
        <w:rPr>
          <w:sz w:val="20"/>
          <w:szCs w:val="20"/>
          <w:color w:val="auto"/>
        </w:rPr>
        <w:tab/>
      </w:r>
      <w:r>
        <w:rPr>
          <w:rFonts w:ascii="Times New Roman" w:cs="Times New Roman" w:eastAsia="Times New Roman" w:hAnsi="Times New Roman"/>
          <w:sz w:val="18"/>
          <w:szCs w:val="18"/>
          <w:color w:val="auto"/>
        </w:rPr>
        <w:t>By: /s/ Daniel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Daniel Roberts</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Co-Chief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333"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Joinder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IREN Limited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Ordinary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 par value per share)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and Restated At Market Issuance Sales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20[●]</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WHEREAS, IREN Limited, a corporation existing under the laws of Australia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B. Riley Securities, Inc. (“</w:t>
      </w:r>
      <w:r>
        <w:rPr>
          <w:rFonts w:ascii="Times New Roman" w:cs="Times New Roman" w:eastAsia="Times New Roman" w:hAnsi="Times New Roman"/>
          <w:sz w:val="18"/>
          <w:szCs w:val="18"/>
          <w:u w:val="single" w:color="auto"/>
          <w:color w:val="auto"/>
        </w:rPr>
        <w:t>B. Riley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Canaccord Genuity LLC (“</w:t>
      </w:r>
      <w:r>
        <w:rPr>
          <w:rFonts w:ascii="Times New Roman" w:cs="Times New Roman" w:eastAsia="Times New Roman" w:hAnsi="Times New Roman"/>
          <w:sz w:val="18"/>
          <w:szCs w:val="18"/>
          <w:u w:val="single" w:color="auto"/>
          <w:color w:val="auto"/>
        </w:rPr>
        <w:t>Canaccord</w:t>
      </w:r>
      <w:r>
        <w:rPr>
          <w:rFonts w:ascii="Times New Roman" w:cs="Times New Roman" w:eastAsia="Times New Roman" w:hAnsi="Times New Roman"/>
          <w:sz w:val="18"/>
          <w:szCs w:val="18"/>
          <w:color w:val="auto"/>
        </w:rPr>
        <w:t>”), Cantor Fitzgerald &amp; Co. (“</w:t>
      </w:r>
      <w:r>
        <w:rPr>
          <w:rFonts w:ascii="Times New Roman" w:cs="Times New Roman" w:eastAsia="Times New Roman" w:hAnsi="Times New Roman"/>
          <w:sz w:val="18"/>
          <w:szCs w:val="18"/>
          <w:u w:val="single" w:color="auto"/>
          <w:color w:val="auto"/>
        </w:rPr>
        <w:t>Cantor</w:t>
      </w:r>
      <w:r>
        <w:rPr>
          <w:rFonts w:ascii="Times New Roman" w:cs="Times New Roman" w:eastAsia="Times New Roman" w:hAnsi="Times New Roman"/>
          <w:sz w:val="18"/>
          <w:szCs w:val="18"/>
          <w:color w:val="auto"/>
        </w:rPr>
        <w:t>”), Citigroup Global Markets Inc. (“</w:t>
      </w:r>
      <w:r>
        <w:rPr>
          <w:rFonts w:ascii="Times New Roman" w:cs="Times New Roman" w:eastAsia="Times New Roman" w:hAnsi="Times New Roman"/>
          <w:sz w:val="18"/>
          <w:szCs w:val="18"/>
          <w:u w:val="single" w:color="auto"/>
          <w:color w:val="auto"/>
        </w:rPr>
        <w:t>Citigroup</w:t>
      </w:r>
      <w:r>
        <w:rPr>
          <w:rFonts w:ascii="Times New Roman" w:cs="Times New Roman" w:eastAsia="Times New Roman" w:hAnsi="Times New Roman"/>
          <w:sz w:val="18"/>
          <w:szCs w:val="18"/>
          <w:color w:val="auto"/>
        </w:rPr>
        <w:t>”), Compass Point Research &amp; Trading, LLC (“</w:t>
      </w:r>
      <w:r>
        <w:rPr>
          <w:rFonts w:ascii="Times New Roman" w:cs="Times New Roman" w:eastAsia="Times New Roman" w:hAnsi="Times New Roman"/>
          <w:sz w:val="18"/>
          <w:szCs w:val="18"/>
          <w:u w:val="single" w:color="auto"/>
          <w:color w:val="auto"/>
        </w:rPr>
        <w:t>Compass Point</w:t>
      </w:r>
      <w:r>
        <w:rPr>
          <w:rFonts w:ascii="Times New Roman" w:cs="Times New Roman" w:eastAsia="Times New Roman" w:hAnsi="Times New Roman"/>
          <w:sz w:val="18"/>
          <w:szCs w:val="18"/>
          <w:color w:val="auto"/>
        </w:rPr>
        <w:t>”), J.P. Morgan Securities LLC (“</w:t>
      </w:r>
      <w:r>
        <w:rPr>
          <w:rFonts w:ascii="Times New Roman" w:cs="Times New Roman" w:eastAsia="Times New Roman" w:hAnsi="Times New Roman"/>
          <w:sz w:val="18"/>
          <w:szCs w:val="18"/>
          <w:u w:val="single" w:color="auto"/>
          <w:color w:val="auto"/>
        </w:rPr>
        <w:t>JPMS</w:t>
      </w:r>
      <w:r>
        <w:rPr>
          <w:rFonts w:ascii="Times New Roman" w:cs="Times New Roman" w:eastAsia="Times New Roman" w:hAnsi="Times New Roman"/>
          <w:sz w:val="18"/>
          <w:szCs w:val="18"/>
          <w:color w:val="auto"/>
        </w:rPr>
        <w:t>”), Macquarie Capital (USA) Inc. (“</w:t>
      </w:r>
      <w:r>
        <w:rPr>
          <w:rFonts w:ascii="Times New Roman" w:cs="Times New Roman" w:eastAsia="Times New Roman" w:hAnsi="Times New Roman"/>
          <w:sz w:val="18"/>
          <w:szCs w:val="18"/>
          <w:u w:val="single" w:color="auto"/>
          <w:color w:val="auto"/>
        </w:rPr>
        <w:t>Macquarie Capital</w:t>
      </w:r>
      <w:r>
        <w:rPr>
          <w:rFonts w:ascii="Times New Roman" w:cs="Times New Roman" w:eastAsia="Times New Roman" w:hAnsi="Times New Roman"/>
          <w:sz w:val="18"/>
          <w:szCs w:val="18"/>
          <w:color w:val="auto"/>
        </w:rPr>
        <w:t>”) and Roth Capital Partners, LLC (“</w:t>
      </w:r>
      <w:r>
        <w:rPr>
          <w:rFonts w:ascii="Times New Roman" w:cs="Times New Roman" w:eastAsia="Times New Roman" w:hAnsi="Times New Roman"/>
          <w:sz w:val="18"/>
          <w:szCs w:val="18"/>
          <w:u w:val="single" w:color="auto"/>
          <w:color w:val="auto"/>
        </w:rPr>
        <w:t>Roth</w:t>
      </w:r>
      <w:r>
        <w:rPr>
          <w:rFonts w:ascii="Times New Roman" w:cs="Times New Roman" w:eastAsia="Times New Roman" w:hAnsi="Times New Roman"/>
          <w:sz w:val="18"/>
          <w:szCs w:val="18"/>
          <w:color w:val="auto"/>
        </w:rPr>
        <w:t>”; each of B. Riley Securities, Canaccord, Cantor, Citigroup, Compass Point, JPMS, Macquarie Capital and Roth individually an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Agents</w:t>
      </w:r>
      <w:r>
        <w:rPr>
          <w:rFonts w:ascii="Times New Roman" w:cs="Times New Roman" w:eastAsia="Times New Roman" w:hAnsi="Times New Roman"/>
          <w:sz w:val="18"/>
          <w:szCs w:val="18"/>
          <w:color w:val="auto"/>
        </w:rPr>
        <w:t>”), heretofore executed and delivered an Amended and Restated At Market Issuance Sales Agreement, dated August [28], 2025 (the “</w:t>
      </w:r>
      <w:r>
        <w:rPr>
          <w:rFonts w:ascii="Times New Roman" w:cs="Times New Roman" w:eastAsia="Times New Roman" w:hAnsi="Times New Roman"/>
          <w:sz w:val="18"/>
          <w:szCs w:val="18"/>
          <w:u w:val="single" w:color="auto"/>
          <w:color w:val="auto"/>
        </w:rPr>
        <w:t>Sales Agreement</w:t>
      </w:r>
      <w:r>
        <w:rPr>
          <w:rFonts w:ascii="Times New Roman" w:cs="Times New Roman" w:eastAsia="Times New Roman" w:hAnsi="Times New Roman"/>
          <w:sz w:val="18"/>
          <w:szCs w:val="18"/>
          <w:color w:val="auto"/>
        </w:rPr>
        <w:t>”), providing for the issuance and sale of Ordinary Shares (as defined therein); and</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Company has elected to add [•] (the “</w:t>
      </w:r>
      <w:r>
        <w:rPr>
          <w:rFonts w:ascii="Times New Roman" w:cs="Times New Roman" w:eastAsia="Times New Roman" w:hAnsi="Times New Roman"/>
          <w:sz w:val="18"/>
          <w:szCs w:val="18"/>
          <w:u w:val="single" w:color="auto"/>
          <w:color w:val="auto"/>
        </w:rPr>
        <w:t>Additional Agent</w:t>
      </w:r>
      <w:r>
        <w:rPr>
          <w:rFonts w:ascii="Times New Roman" w:cs="Times New Roman" w:eastAsia="Times New Roman" w:hAnsi="Times New Roman"/>
          <w:sz w:val="18"/>
          <w:szCs w:val="18"/>
          <w:color w:val="auto"/>
        </w:rPr>
        <w:t>”) to the Sales Agreement as a sales agent.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terms used herein and not otherwise defined herein shall have the respective meanings ascribed to such terms in the Sales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the Additional Agent hereby agrees as follows:</w:t>
      </w:r>
    </w:p>
    <w:p>
      <w:pPr>
        <w:spacing w:after="0" w:line="225" w:lineRule="exact"/>
        <w:rPr>
          <w:sz w:val="20"/>
          <w:szCs w:val="20"/>
          <w:color w:val="auto"/>
        </w:rPr>
      </w:pPr>
    </w:p>
    <w:p>
      <w:pPr>
        <w:ind w:left="1300" w:hanging="644"/>
        <w:spacing w:after="0" w:line="258"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Joinder</w:t>
      </w:r>
      <w:r>
        <w:rPr>
          <w:rFonts w:ascii="Times New Roman" w:cs="Times New Roman" w:eastAsia="Times New Roman" w:hAnsi="Times New Roman"/>
          <w:sz w:val="18"/>
          <w:szCs w:val="18"/>
          <w:color w:val="auto"/>
        </w:rPr>
        <w:t>. The Additional Agent acknowledges that it has received a copy of the Sales Agreement and acknowledges and agrees that by its execution and delivery hereof it shall: (i) join and become a party to the Sales Agreement; (ii) be bound by all covenants, agreements, representations, warranties and acknowledgements applicable to the Agents in the Sales Agreement as if made by, and with respect to, the Additional Agent as of the date of the Sales Agreement as set forth in and in accordance with the terms of the Sales Agreement; and (iii) perform all obligations and duties of an Agent in accordance with the Sales Agreement.</w:t>
      </w:r>
    </w:p>
    <w:p>
      <w:pPr>
        <w:spacing w:after="0" w:line="183" w:lineRule="exact"/>
        <w:rPr>
          <w:rFonts w:ascii="Times New Roman" w:cs="Times New Roman" w:eastAsia="Times New Roman" w:hAnsi="Times New Roman"/>
          <w:sz w:val="18"/>
          <w:szCs w:val="18"/>
          <w:color w:val="auto"/>
        </w:rPr>
      </w:pPr>
    </w:p>
    <w:p>
      <w:pPr>
        <w:ind w:left="1300" w:right="400" w:hanging="644"/>
        <w:spacing w:after="0" w:line="282"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Appointment</w:t>
      </w:r>
      <w:r>
        <w:rPr>
          <w:rFonts w:ascii="Times New Roman" w:cs="Times New Roman" w:eastAsia="Times New Roman" w:hAnsi="Times New Roman"/>
          <w:sz w:val="18"/>
          <w:szCs w:val="18"/>
          <w:color w:val="auto"/>
        </w:rPr>
        <w:t>. The Company hereby appoints the Additional Agent as an “Agent” as defined in, and for all purposes under, the Sales Agreement, effective upon execution of this joinder agreement.</w:t>
      </w:r>
    </w:p>
    <w:p>
      <w:pPr>
        <w:spacing w:after="0" w:line="161" w:lineRule="exact"/>
        <w:rPr>
          <w:rFonts w:ascii="Times New Roman" w:cs="Times New Roman" w:eastAsia="Times New Roman" w:hAnsi="Times New Roman"/>
          <w:sz w:val="18"/>
          <w:szCs w:val="18"/>
          <w:color w:val="auto"/>
        </w:rPr>
      </w:pPr>
    </w:p>
    <w:p>
      <w:pPr>
        <w:ind w:left="1300" w:right="160" w:hanging="644"/>
        <w:spacing w:after="0" w:line="289" w:lineRule="auto"/>
        <w:tabs>
          <w:tab w:leader="none" w:pos="13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Representations and Warranties</w:t>
      </w:r>
      <w:r>
        <w:rPr>
          <w:rFonts w:ascii="Times New Roman" w:cs="Times New Roman" w:eastAsia="Times New Roman" w:hAnsi="Times New Roman"/>
          <w:sz w:val="17"/>
          <w:szCs w:val="17"/>
          <w:color w:val="auto"/>
        </w:rPr>
        <w:t>. The Additional Agent hereby represents and warrants to and agrees that it has all requisite corporate or limited liability company power and authority to execute, deliver and perform its obligations under this Joinder Agreement and it has duly and validly taken all necessary action for the consummation of the transactions contemplated hereby and by the Sales Agreement.</w:t>
      </w:r>
    </w:p>
    <w:p>
      <w:pPr>
        <w:spacing w:after="0" w:line="157" w:lineRule="exact"/>
        <w:rPr>
          <w:rFonts w:ascii="Times New Roman" w:cs="Times New Roman" w:eastAsia="Times New Roman" w:hAnsi="Times New Roman"/>
          <w:sz w:val="17"/>
          <w:szCs w:val="17"/>
          <w:color w:val="auto"/>
        </w:rPr>
      </w:pPr>
    </w:p>
    <w:p>
      <w:pPr>
        <w:ind w:left="1300" w:right="300" w:hanging="644"/>
        <w:spacing w:after="0" w:line="282"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This Joinder Agreement does not cancel, extinguish, limit or otherwise adversely affect any right or obligation of the parties under the Sales Agreement.</w:t>
      </w:r>
    </w:p>
    <w:p>
      <w:pPr>
        <w:spacing w:after="0" w:line="161" w:lineRule="exact"/>
        <w:rPr>
          <w:rFonts w:ascii="Times New Roman" w:cs="Times New Roman" w:eastAsia="Times New Roman" w:hAnsi="Times New Roman"/>
          <w:sz w:val="18"/>
          <w:szCs w:val="18"/>
          <w:color w:val="auto"/>
        </w:rPr>
      </w:pPr>
    </w:p>
    <w:p>
      <w:pPr>
        <w:jc w:val="both"/>
        <w:ind w:left="1300" w:right="240" w:hanging="644"/>
        <w:spacing w:after="0" w:line="266"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JOINDER AGREEMENT AND ANY CLAIM, CONTROVERSY OR DISPUTE ARISING UNDER OR RELATED TO THIS JOINDER AGREEMENT SHALL BE GOVERNED BY AND CONSTRUED IN ACCORDANCE WITH THE LAWS OF THE STATE OF NEW YORK.</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Blank</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color w:val="auto"/>
        </w:rPr>
        <w:t>IN WITNESS WHEREOF, the undersigned have executed this agreement as of the date first above written.</w:t>
      </w:r>
    </w:p>
    <w:p>
      <w:pPr>
        <w:spacing w:after="0" w:line="233" w:lineRule="exact"/>
        <w:rPr>
          <w:sz w:val="20"/>
          <w:szCs w:val="20"/>
          <w:color w:val="auto"/>
        </w:rPr>
      </w:pPr>
    </w:p>
    <w:p>
      <w:pPr>
        <w:ind w:right="3819"/>
        <w:spacing w:after="0" w:line="286" w:lineRule="auto"/>
        <w:rPr>
          <w:sz w:val="20"/>
          <w:szCs w:val="20"/>
          <w:color w:val="auto"/>
        </w:rPr>
      </w:pPr>
      <w:r>
        <w:rPr>
          <w:rFonts w:ascii="Times New Roman" w:cs="Times New Roman" w:eastAsia="Times New Roman" w:hAnsi="Times New Roman"/>
          <w:sz w:val="18"/>
          <w:szCs w:val="18"/>
          <w:color w:val="auto"/>
        </w:rPr>
        <w:t xml:space="preserve">Signed by </w:t>
      </w:r>
      <w:r>
        <w:rPr>
          <w:rFonts w:ascii="Times New Roman" w:cs="Times New Roman" w:eastAsia="Times New Roman" w:hAnsi="Times New Roman"/>
          <w:sz w:val="18"/>
          <w:szCs w:val="18"/>
          <w:b w:val="1"/>
          <w:bCs w:val="1"/>
          <w:color w:val="auto"/>
        </w:rPr>
        <w:t>IREN LIMITED</w:t>
      </w:r>
      <w:r>
        <w:rPr>
          <w:rFonts w:ascii="Times New Roman" w:cs="Times New Roman" w:eastAsia="Times New Roman" w:hAnsi="Times New Roman"/>
          <w:sz w:val="18"/>
          <w:szCs w:val="18"/>
          <w:color w:val="auto"/>
        </w:rPr>
        <w:t xml:space="preserve"> in accordance with section 127 of the Corporations Act 2001 (Cth)</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Borders>
              <w:bottom w:val="single" w:sz="8" w:color="auto"/>
            </w:tcBorders>
          </w:tcPr>
          <w:p>
            <w:pPr>
              <w:spacing w:after="0"/>
              <w:rPr>
                <w:sz w:val="20"/>
                <w:szCs w:val="20"/>
                <w:color w:val="auto"/>
              </w:rPr>
            </w:pPr>
          </w:p>
        </w:tc>
      </w:tr>
      <w:tr>
        <w:trPr>
          <w:trHeight w:val="198"/>
        </w:trPr>
        <w:tc>
          <w:tcPr>
            <w:tcW w:w="1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5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43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Borders>
              <w:bottom w:val="single" w:sz="8" w:color="auto"/>
            </w:tcBorders>
          </w:tcPr>
          <w:p>
            <w:pPr>
              <w:spacing w:after="0"/>
              <w:rPr>
                <w:sz w:val="24"/>
                <w:szCs w:val="24"/>
                <w:color w:val="auto"/>
              </w:rPr>
            </w:pPr>
          </w:p>
        </w:tc>
      </w:tr>
      <w:tr>
        <w:trPr>
          <w:trHeight w:val="198"/>
        </w:trPr>
        <w:tc>
          <w:tcPr>
            <w:tcW w:w="1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5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64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43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Borders>
              <w:bottom w:val="single" w:sz="8" w:color="auto"/>
            </w:tcBorders>
          </w:tcPr>
          <w:p>
            <w:pPr>
              <w:spacing w:after="0"/>
              <w:rPr>
                <w:sz w:val="24"/>
                <w:szCs w:val="24"/>
                <w:color w:val="auto"/>
              </w:rPr>
            </w:pPr>
          </w:p>
        </w:tc>
      </w:tr>
      <w:tr>
        <w:trPr>
          <w:trHeight w:val="198"/>
        </w:trPr>
        <w:tc>
          <w:tcPr>
            <w:tcW w:w="1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5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bl>
    <w:p>
      <w:pPr>
        <w:spacing w:after="0" w:line="19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Sales Agreement Joinder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78740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337" w:right="1440"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5.1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Allens</w:t>
      </w:r>
    </w:p>
    <w:p>
      <w:pPr>
        <w:spacing w:after="0" w:line="31"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18"/>
          <w:szCs w:val="18"/>
          <w:color w:val="auto"/>
        </w:rPr>
        <w:t>Deutsche Bank Place</w:t>
      </w:r>
      <w:r>
        <w:rPr>
          <w:sz w:val="20"/>
          <w:szCs w:val="20"/>
          <w:color w:val="auto"/>
        </w:rPr>
        <w:tab/>
      </w:r>
      <w:r>
        <w:rPr>
          <w:rFonts w:ascii="Times New Roman" w:cs="Times New Roman" w:eastAsia="Times New Roman" w:hAnsi="Times New Roman"/>
          <w:sz w:val="17"/>
          <w:szCs w:val="17"/>
          <w:color w:val="auto"/>
        </w:rPr>
        <w:t>GPO Box 50</w:t>
      </w:r>
    </w:p>
    <w:p>
      <w:pPr>
        <w:spacing w:after="0" w:line="9"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18"/>
          <w:szCs w:val="18"/>
          <w:color w:val="auto"/>
        </w:rPr>
        <w:t>Corner Hunter and Phillip Streets</w:t>
      </w:r>
      <w:r>
        <w:rPr>
          <w:sz w:val="20"/>
          <w:szCs w:val="20"/>
          <w:color w:val="auto"/>
        </w:rPr>
        <w:tab/>
      </w:r>
      <w:r>
        <w:rPr>
          <w:rFonts w:ascii="Times New Roman" w:cs="Times New Roman" w:eastAsia="Times New Roman" w:hAnsi="Times New Roman"/>
          <w:sz w:val="18"/>
          <w:szCs w:val="18"/>
          <w:color w:val="auto"/>
        </w:rPr>
        <w:t>Sydney NSW 2001 Australia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Sydney NSW 2000 Australia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-70485</wp:posOffset>
            </wp:positionV>
            <wp:extent cx="1165860" cy="291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65860" cy="291465"/>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  </w:t>
      </w:r>
      <w:r>
        <w:rPr>
          <w:rFonts w:ascii="Times New Roman" w:cs="Times New Roman" w:eastAsia="Times New Roman" w:hAnsi="Times New Roman"/>
          <w:sz w:val="18"/>
          <w:szCs w:val="18"/>
          <w:color w:val="auto"/>
        </w:rPr>
        <w:t>+61 2 9230 4000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  </w:t>
      </w:r>
      <w:r>
        <w:rPr>
          <w:rFonts w:ascii="Times New Roman" w:cs="Times New Roman" w:eastAsia="Times New Roman" w:hAnsi="Times New Roman"/>
          <w:sz w:val="18"/>
          <w:szCs w:val="18"/>
          <w:color w:val="auto"/>
        </w:rPr>
        <w:t>+61 2 9230 5333</w:t>
      </w:r>
    </w:p>
    <w:p>
      <w:pPr>
        <w:spacing w:after="0" w:line="207"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18"/>
          <w:szCs w:val="18"/>
          <w:color w:val="auto"/>
        </w:rPr>
        <w:t>www.allens.com.au</w:t>
      </w:r>
      <w:r>
        <w:rPr>
          <w:sz w:val="20"/>
          <w:szCs w:val="20"/>
          <w:color w:val="auto"/>
        </w:rPr>
        <w:tab/>
      </w:r>
      <w:r>
        <w:rPr>
          <w:rFonts w:ascii="Times New Roman" w:cs="Times New Roman" w:eastAsia="Times New Roman" w:hAnsi="Times New Roman"/>
          <w:sz w:val="18"/>
          <w:szCs w:val="18"/>
          <w:color w:val="auto"/>
        </w:rPr>
        <w:t>ABN 47 702 595 758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March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IREN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5, 55 Market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Sydney, NSW 2000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IREN Limited (ACN 629 842 799)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b w:val="1"/>
          <w:bCs w:val="1"/>
          <w:color w:val="auto"/>
        </w:rPr>
        <w:t>)</w:t>
      </w:r>
    </w:p>
    <w:p>
      <w:pPr>
        <w:spacing w:after="0" w:line="20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We have acted as Australian legal advisers to the Company in connection with the preparation and filing by the Company on the date hereof with the U.S.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of</w:t>
      </w:r>
    </w:p>
    <w:p>
      <w:pPr>
        <w:spacing w:after="0" w:line="162" w:lineRule="exact"/>
        <w:rPr>
          <w:sz w:val="20"/>
          <w:szCs w:val="20"/>
          <w:color w:val="auto"/>
        </w:rPr>
      </w:pPr>
    </w:p>
    <w:p>
      <w:pPr>
        <w:ind w:left="1280" w:right="200" w:hanging="638"/>
        <w:spacing w:after="0" w:line="261" w:lineRule="auto"/>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registration statement on Form F-3 (File No. 333-284369) initially filed on January 21, 2025 and Post-Effective Amendment No. 1 on Form S-3 thereto filed with the Commission on August 28, 2025 (as so amended,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under the Securities Act 1993 (U.S.), as amended from time to time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including the prospectus contained therein (</w:t>
      </w:r>
      <w:r>
        <w:rPr>
          <w:rFonts w:ascii="Times New Roman" w:cs="Times New Roman" w:eastAsia="Times New Roman" w:hAnsi="Times New Roman"/>
          <w:sz w:val="18"/>
          <w:szCs w:val="18"/>
          <w:b w:val="1"/>
          <w:bCs w:val="1"/>
          <w:i w:val="1"/>
          <w:iCs w:val="1"/>
          <w:color w:val="auto"/>
        </w:rPr>
        <w:t>Base Prospectus</w:t>
      </w:r>
      <w:r>
        <w:rPr>
          <w:rFonts w:ascii="Times New Roman" w:cs="Times New Roman" w:eastAsia="Times New Roman" w:hAnsi="Times New Roman"/>
          <w:sz w:val="18"/>
          <w:szCs w:val="18"/>
          <w:color w:val="auto"/>
        </w:rPr>
        <w:t>), registering certain securities, including:</w:t>
      </w:r>
    </w:p>
    <w:p>
      <w:pPr>
        <w:spacing w:after="0" w:line="179" w:lineRule="exact"/>
        <w:rPr>
          <w:rFonts w:ascii="Times New Roman" w:cs="Times New Roman" w:eastAsia="Times New Roman" w:hAnsi="Times New Roman"/>
          <w:sz w:val="18"/>
          <w:szCs w:val="18"/>
          <w:color w:val="auto"/>
        </w:rPr>
      </w:pPr>
    </w:p>
    <w:p>
      <w:pPr>
        <w:ind w:left="1920" w:hanging="643"/>
        <w:spacing w:after="0"/>
        <w:tabs>
          <w:tab w:leader="none" w:pos="19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of the Company, with no par value;</w:t>
      </w:r>
    </w:p>
    <w:p>
      <w:pPr>
        <w:spacing w:after="0" w:line="225" w:lineRule="exact"/>
        <w:rPr>
          <w:rFonts w:ascii="Times New Roman" w:cs="Times New Roman" w:eastAsia="Times New Roman" w:hAnsi="Times New Roman"/>
          <w:sz w:val="18"/>
          <w:szCs w:val="18"/>
          <w:color w:val="auto"/>
        </w:rPr>
      </w:pPr>
    </w:p>
    <w:p>
      <w:pPr>
        <w:ind w:left="1920" w:hanging="643"/>
        <w:spacing w:after="0"/>
        <w:tabs>
          <w:tab w:leader="none" w:pos="19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of the Company;</w:t>
      </w:r>
    </w:p>
    <w:p>
      <w:pPr>
        <w:spacing w:after="0" w:line="225" w:lineRule="exact"/>
        <w:rPr>
          <w:rFonts w:ascii="Times New Roman" w:cs="Times New Roman" w:eastAsia="Times New Roman" w:hAnsi="Times New Roman"/>
          <w:sz w:val="18"/>
          <w:szCs w:val="18"/>
          <w:color w:val="auto"/>
        </w:rPr>
      </w:pPr>
    </w:p>
    <w:p>
      <w:pPr>
        <w:ind w:left="1920" w:hanging="643"/>
        <w:spacing w:after="0"/>
        <w:tabs>
          <w:tab w:leader="none" w:pos="19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of the Company;</w:t>
      </w:r>
    </w:p>
    <w:p>
      <w:pPr>
        <w:spacing w:after="0" w:line="225" w:lineRule="exact"/>
        <w:rPr>
          <w:rFonts w:ascii="Times New Roman" w:cs="Times New Roman" w:eastAsia="Times New Roman" w:hAnsi="Times New Roman"/>
          <w:sz w:val="18"/>
          <w:szCs w:val="18"/>
          <w:color w:val="auto"/>
        </w:rPr>
      </w:pPr>
    </w:p>
    <w:p>
      <w:pPr>
        <w:ind w:left="1920" w:hanging="643"/>
        <w:spacing w:after="0"/>
        <w:tabs>
          <w:tab w:leader="none" w:pos="19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contracts;</w:t>
      </w:r>
    </w:p>
    <w:p>
      <w:pPr>
        <w:spacing w:after="0" w:line="225" w:lineRule="exact"/>
        <w:rPr>
          <w:rFonts w:ascii="Times New Roman" w:cs="Times New Roman" w:eastAsia="Times New Roman" w:hAnsi="Times New Roman"/>
          <w:sz w:val="18"/>
          <w:szCs w:val="18"/>
          <w:color w:val="auto"/>
        </w:rPr>
      </w:pPr>
    </w:p>
    <w:p>
      <w:pPr>
        <w:ind w:left="1920" w:hanging="643"/>
        <w:spacing w:after="0"/>
        <w:tabs>
          <w:tab w:leader="none" w:pos="19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and</w:t>
      </w:r>
    </w:p>
    <w:p>
      <w:pPr>
        <w:spacing w:after="0" w:line="225" w:lineRule="exact"/>
        <w:rPr>
          <w:rFonts w:ascii="Times New Roman" w:cs="Times New Roman" w:eastAsia="Times New Roman" w:hAnsi="Times New Roman"/>
          <w:sz w:val="18"/>
          <w:szCs w:val="18"/>
          <w:color w:val="auto"/>
        </w:rPr>
      </w:pPr>
    </w:p>
    <w:p>
      <w:pPr>
        <w:ind w:left="1920" w:hanging="643"/>
        <w:spacing w:after="0"/>
        <w:tabs>
          <w:tab w:leader="none" w:pos="19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rights; and</w:t>
      </w:r>
    </w:p>
    <w:p>
      <w:pPr>
        <w:spacing w:after="0" w:line="225" w:lineRule="exact"/>
        <w:rPr>
          <w:rFonts w:ascii="Times New Roman" w:cs="Times New Roman" w:eastAsia="Times New Roman" w:hAnsi="Times New Roman"/>
          <w:sz w:val="18"/>
          <w:szCs w:val="18"/>
          <w:color w:val="auto"/>
        </w:rPr>
      </w:pPr>
    </w:p>
    <w:p>
      <w:pPr>
        <w:ind w:left="1280" w:right="260" w:hanging="638"/>
        <w:spacing w:after="0" w:line="266" w:lineRule="auto"/>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prospectus supplement relating to the registration of securities (to be issued from time to time by the Company), filed with the Commission and dated the date hereof (the </w:t>
      </w:r>
      <w:r>
        <w:rPr>
          <w:rFonts w:ascii="Times New Roman" w:cs="Times New Roman" w:eastAsia="Times New Roman" w:hAnsi="Times New Roman"/>
          <w:sz w:val="18"/>
          <w:szCs w:val="18"/>
          <w:b w:val="1"/>
          <w:bCs w:val="1"/>
          <w:i w:val="1"/>
          <w:iCs w:val="1"/>
          <w:color w:val="auto"/>
        </w:rPr>
        <w:t>Prospectus Supplement</w:t>
      </w:r>
      <w:r>
        <w:rPr>
          <w:rFonts w:ascii="Times New Roman" w:cs="Times New Roman" w:eastAsia="Times New Roman" w:hAnsi="Times New Roman"/>
          <w:sz w:val="18"/>
          <w:szCs w:val="18"/>
          <w:color w:val="auto"/>
        </w:rPr>
        <w:t xml:space="preserve">) relating to the offer and sale of Shares, with an aggregate offering price of up to US$5,000,000,000 pursuant to the Sales Agreement (as defined below)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color w:val="auto"/>
        </w:rPr>
        <w:t>This opinion letter (</w:t>
      </w:r>
      <w:r>
        <w:rPr>
          <w:rFonts w:ascii="Times New Roman" w:cs="Times New Roman" w:eastAsia="Times New Roman" w:hAnsi="Times New Roman"/>
          <w:sz w:val="18"/>
          <w:szCs w:val="18"/>
          <w:b w:val="1"/>
          <w:bCs w:val="1"/>
          <w:i w:val="1"/>
          <w:iCs w:val="1"/>
          <w:color w:val="auto"/>
        </w:rPr>
        <w:t>Opinion</w:t>
      </w:r>
      <w:r>
        <w:rPr>
          <w:rFonts w:ascii="Times New Roman" w:cs="Times New Roman" w:eastAsia="Times New Roman" w:hAnsi="Times New Roman"/>
          <w:sz w:val="18"/>
          <w:szCs w:val="18"/>
          <w:color w:val="auto"/>
        </w:rPr>
        <w:t>) is being furnished in accordance with Item 601(b)(5) of Regulation S-K under the Securities Act, and no opinion is expressed herein as to any matter pertaining to the contexts of the Registration Statement or related prospectus, other than as expressly stated herein.</w:t>
      </w:r>
    </w:p>
    <w:p>
      <w:pPr>
        <w:spacing w:after="0" w:line="155" w:lineRule="exact"/>
        <w:rPr>
          <w:sz w:val="20"/>
          <w:szCs w:val="20"/>
          <w:color w:val="auto"/>
        </w:rPr>
      </w:pPr>
    </w:p>
    <w:p>
      <w:pPr>
        <w:ind w:left="640" w:hanging="632"/>
        <w:spacing w:after="0"/>
        <w:tabs>
          <w:tab w:leader="none" w:pos="6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29"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this opinion, the following definitions apply.</w:t>
      </w:r>
    </w:p>
    <w:p>
      <w:pPr>
        <w:spacing w:after="0" w:line="221" w:lineRule="exact"/>
        <w:rPr>
          <w:rFonts w:ascii="Times New Roman" w:cs="Times New Roman" w:eastAsia="Times New Roman" w:hAnsi="Times New Roman"/>
          <w:sz w:val="18"/>
          <w:szCs w:val="18"/>
          <w:b w:val="1"/>
          <w:bCs w:val="1"/>
          <w:color w:val="auto"/>
        </w:rPr>
      </w:pPr>
    </w:p>
    <w:p>
      <w:pPr>
        <w:ind w:left="1280" w:hanging="638"/>
        <w:spacing w:after="0"/>
        <w:tabs>
          <w:tab w:leader="none" w:pos="12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ASIC </w:t>
      </w:r>
      <w:r>
        <w:rPr>
          <w:rFonts w:ascii="Times New Roman" w:cs="Times New Roman" w:eastAsia="Times New Roman" w:hAnsi="Times New Roman"/>
          <w:sz w:val="18"/>
          <w:szCs w:val="18"/>
          <w:color w:val="auto"/>
        </w:rPr>
        <w:t>means the Australian Securities and Investments Commission.</w:t>
      </w:r>
    </w:p>
    <w:p>
      <w:pPr>
        <w:spacing w:after="0" w:line="225" w:lineRule="exact"/>
        <w:rPr>
          <w:rFonts w:ascii="Times New Roman" w:cs="Times New Roman" w:eastAsia="Times New Roman" w:hAnsi="Times New Roman"/>
          <w:sz w:val="18"/>
          <w:szCs w:val="18"/>
          <w:color w:val="auto"/>
        </w:rPr>
      </w:pPr>
    </w:p>
    <w:p>
      <w:pPr>
        <w:ind w:left="1280" w:right="20" w:hanging="638"/>
        <w:spacing w:after="0" w:line="286" w:lineRule="auto"/>
        <w:tabs>
          <w:tab w:leader="none" w:pos="12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Constitution </w:t>
      </w:r>
      <w:r>
        <w:rPr>
          <w:rFonts w:ascii="Times New Roman" w:cs="Times New Roman" w:eastAsia="Times New Roman" w:hAnsi="Times New Roman"/>
          <w:sz w:val="18"/>
          <w:szCs w:val="18"/>
          <w:color w:val="auto"/>
        </w:rPr>
        <w:t>means the Amended and Restated Constitution of the Company adopted on 20 November 2025 (19 November 2025 ET)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force as at the date of this Opinion.</w:t>
      </w:r>
    </w:p>
    <w:p>
      <w:pPr>
        <w:spacing w:after="0" w:line="154"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Corporations Act </w:t>
      </w:r>
      <w:r>
        <w:rPr>
          <w:rFonts w:ascii="Times New Roman" w:cs="Times New Roman" w:eastAsia="Times New Roman" w:hAnsi="Times New Roman"/>
          <w:sz w:val="18"/>
          <w:szCs w:val="18"/>
          <w:color w:val="auto"/>
        </w:rPr>
        <w:t>means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Corporations Act 2001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(Cth).</w:t>
      </w:r>
    </w:p>
    <w:p>
      <w:pPr>
        <w:spacing w:after="0" w:line="225"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Document </w:t>
      </w:r>
      <w:r>
        <w:rPr>
          <w:rFonts w:ascii="Times New Roman" w:cs="Times New Roman" w:eastAsia="Times New Roman" w:hAnsi="Times New Roman"/>
          <w:sz w:val="18"/>
          <w:szCs w:val="18"/>
          <w:color w:val="auto"/>
        </w:rPr>
        <w:t>means a document listed in paragraphs 3(a) to 3f) below.</w:t>
      </w:r>
    </w:p>
    <w:p>
      <w:pPr>
        <w:spacing w:after="0" w:line="225"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Governing Jurisdiction </w:t>
      </w:r>
      <w:r>
        <w:rPr>
          <w:rFonts w:ascii="Times New Roman" w:cs="Times New Roman" w:eastAsia="Times New Roman" w:hAnsi="Times New Roman"/>
          <w:sz w:val="18"/>
          <w:szCs w:val="18"/>
          <w:color w:val="auto"/>
        </w:rPr>
        <w:t>means the State of New York, United States of America.</w:t>
      </w:r>
    </w:p>
    <w:p>
      <w:pPr>
        <w:sectPr>
          <w:pgSz w:w="11900" w:h="16838" w:orient="portrait"/>
          <w:cols w:equalWidth="0" w:num="1">
            <w:col w:w="11240"/>
          </w:cols>
          <w:pgMar w:left="320" w:top="266" w:right="33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ind w:left="10760"/>
        <w:spacing w:after="0"/>
        <w:rPr>
          <w:sz w:val="20"/>
          <w:szCs w:val="20"/>
          <w:color w:val="auto"/>
        </w:rPr>
      </w:pPr>
      <w:r>
        <w:rPr>
          <w:rFonts w:ascii="Times New Roman" w:cs="Times New Roman" w:eastAsia="Times New Roman" w:hAnsi="Times New Roman"/>
          <w:sz w:val="18"/>
          <w:szCs w:val="18"/>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480060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154305</wp:posOffset>
            </wp:positionV>
            <wp:extent cx="745490" cy="2146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45490" cy="21463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type w:val="continuous"/>
        </w:sectPr>
      </w:pPr>
    </w:p>
    <w:bookmarkStart w:id="6" w:name="page7"/>
    <w:bookmarkEnd w:id="6"/>
    <w:p>
      <w:pPr>
        <w:ind w:left="1280" w:right="300" w:hanging="638"/>
        <w:spacing w:after="0" w:line="286" w:lineRule="auto"/>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6577330</wp:posOffset>
            </wp:positionH>
            <wp:positionV relativeFrom="page">
              <wp:posOffset>88900</wp:posOffset>
            </wp:positionV>
            <wp:extent cx="762635" cy="1968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62635" cy="196850"/>
                    </a:xfrm>
                    <a:prstGeom prst="rect">
                      <a:avLst/>
                    </a:prstGeom>
                    <a:noFill/>
                  </pic:spPr>
                </pic:pic>
              </a:graphicData>
            </a:graphic>
          </wp:anchor>
        </w:drawing>
        <w:t xml:space="preserve">laws of a Relevant Jurisdiction </w:t>
      </w:r>
      <w:r>
        <w:rPr>
          <w:rFonts w:ascii="Times New Roman" w:cs="Times New Roman" w:eastAsia="Times New Roman" w:hAnsi="Times New Roman"/>
          <w:sz w:val="18"/>
          <w:szCs w:val="18"/>
          <w:color w:val="auto"/>
        </w:rPr>
        <w:t>means the common law, principles of equity and laws constituted by legislation that is available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public generally, in force in the Relevant Jurisdictions.</w:t>
      </w:r>
    </w:p>
    <w:p>
      <w:pPr>
        <w:spacing w:after="0" w:line="154"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Relevant Jurisdiction </w:t>
      </w:r>
      <w:r>
        <w:rPr>
          <w:rFonts w:ascii="Times New Roman" w:cs="Times New Roman" w:eastAsia="Times New Roman" w:hAnsi="Times New Roman"/>
          <w:sz w:val="18"/>
          <w:szCs w:val="18"/>
          <w:color w:val="auto"/>
        </w:rPr>
        <w:t>means New South Wales or the federal jurisdiction of the Commonwealth of Australia.</w:t>
      </w:r>
    </w:p>
    <w:p>
      <w:pPr>
        <w:spacing w:after="0" w:line="225" w:lineRule="exact"/>
        <w:rPr>
          <w:rFonts w:ascii="Times New Roman" w:cs="Times New Roman" w:eastAsia="Times New Roman" w:hAnsi="Times New Roman"/>
          <w:sz w:val="18"/>
          <w:szCs w:val="18"/>
          <w:color w:val="auto"/>
        </w:rPr>
      </w:pPr>
    </w:p>
    <w:p>
      <w:pPr>
        <w:ind w:left="1280" w:right="320" w:hanging="638"/>
        <w:spacing w:after="0" w:line="262" w:lineRule="auto"/>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Sales Agreement </w:t>
      </w:r>
      <w:r>
        <w:rPr>
          <w:rFonts w:ascii="Times New Roman" w:cs="Times New Roman" w:eastAsia="Times New Roman" w:hAnsi="Times New Roman"/>
          <w:sz w:val="18"/>
          <w:szCs w:val="18"/>
          <w:color w:val="auto"/>
        </w:rPr>
        <w:t>means the amended and restated at-the-market-issuance sales agreement between the Company, B. Riley Securities,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 Canaccord Genuity LLC, Cantor Fitzgerald &amp; Co. Citigroup Global Markets, Inc, Compass Point Research &amp; Trading, LLC, J.P. Morgan Securities LLC, Macquarie Capital (USA) Inc. and Roth Capital Partners, LLC dated 28 August 2025, as amended by the joinders thereto by and between the Company, Citizens JMP Securities, LLC, Goldman Sachs &amp; Co. LLC and Jefferies LLC.</w:t>
      </w:r>
    </w:p>
    <w:p>
      <w:pPr>
        <w:spacing w:after="0" w:line="176" w:lineRule="exact"/>
        <w:rPr>
          <w:sz w:val="20"/>
          <w:szCs w:val="20"/>
          <w:color w:val="auto"/>
        </w:rPr>
      </w:pPr>
    </w:p>
    <w:p>
      <w:pPr>
        <w:ind w:left="640" w:hanging="632"/>
        <w:spacing w:after="0"/>
        <w:tabs>
          <w:tab w:leader="none" w:pos="6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w:t>
      </w:r>
    </w:p>
    <w:p>
      <w:pPr>
        <w:spacing w:after="0" w:line="229"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examined and rely on originals or copies of the following documents.</w:t>
      </w:r>
    </w:p>
    <w:p>
      <w:pPr>
        <w:spacing w:after="0" w:line="225" w:lineRule="exact"/>
        <w:rPr>
          <w:rFonts w:ascii="Times New Roman" w:cs="Times New Roman" w:eastAsia="Times New Roman" w:hAnsi="Times New Roman"/>
          <w:sz w:val="18"/>
          <w:szCs w:val="18"/>
          <w:b w:val="1"/>
          <w:bCs w:val="1"/>
          <w:color w:val="auto"/>
        </w:rPr>
      </w:pPr>
    </w:p>
    <w:p>
      <w:pPr>
        <w:ind w:left="1280" w:hanging="638"/>
        <w:spacing w:after="0"/>
        <w:tabs>
          <w:tab w:leader="none" w:pos="12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Constitution;</w:t>
      </w:r>
    </w:p>
    <w:p>
      <w:pPr>
        <w:spacing w:after="0" w:line="225"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Agreement;</w:t>
      </w:r>
    </w:p>
    <w:p>
      <w:pPr>
        <w:spacing w:after="0" w:line="225"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w:t>
      </w:r>
    </w:p>
    <w:p>
      <w:pPr>
        <w:spacing w:after="0" w:line="225"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Prospectus;</w:t>
      </w:r>
    </w:p>
    <w:p>
      <w:pPr>
        <w:spacing w:after="0" w:line="225"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Prospectus Supplement; and</w:t>
      </w:r>
    </w:p>
    <w:p>
      <w:pPr>
        <w:spacing w:after="0" w:line="225" w:lineRule="exact"/>
        <w:rPr>
          <w:rFonts w:ascii="Times New Roman" w:cs="Times New Roman" w:eastAsia="Times New Roman" w:hAnsi="Times New Roman"/>
          <w:sz w:val="18"/>
          <w:szCs w:val="18"/>
          <w:color w:val="auto"/>
        </w:rPr>
      </w:pPr>
    </w:p>
    <w:p>
      <w:pPr>
        <w:ind w:left="1280" w:right="80" w:hanging="638"/>
        <w:spacing w:after="0" w:line="282" w:lineRule="auto"/>
        <w:tabs>
          <w:tab w:leader="none" w:pos="12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secretary of the Company, with the attachments referred to therein, including certified copies of circulating resolutions passed by the board of directors of the Company.</w:t>
      </w:r>
    </w:p>
    <w:p>
      <w:pPr>
        <w:spacing w:after="0" w:line="158" w:lineRule="exact"/>
        <w:rPr>
          <w:sz w:val="20"/>
          <w:szCs w:val="20"/>
          <w:color w:val="auto"/>
        </w:rPr>
      </w:pPr>
    </w:p>
    <w:p>
      <w:pPr>
        <w:ind w:left="640" w:hanging="632"/>
        <w:spacing w:after="0"/>
        <w:tabs>
          <w:tab w:leader="none" w:pos="6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Scope</w:t>
      </w:r>
    </w:p>
    <w:p>
      <w:pPr>
        <w:spacing w:after="0" w:line="229" w:lineRule="exact"/>
        <w:rPr>
          <w:rFonts w:ascii="Times New Roman" w:cs="Times New Roman" w:eastAsia="Times New Roman" w:hAnsi="Times New Roman"/>
          <w:sz w:val="18"/>
          <w:szCs w:val="18"/>
          <w:b w:val="1"/>
          <w:bCs w:val="1"/>
          <w:color w:val="auto"/>
        </w:rPr>
      </w:pPr>
    </w:p>
    <w:p>
      <w:pPr>
        <w:ind w:left="640" w:right="4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Opinion relates only to the laws of the Relevant Jurisdictions, as interpreted by courts of the Relevant Jurisdictions, at 9.00am (Sydney, Australia time) on the date of this Opinion.</w:t>
      </w:r>
    </w:p>
    <w:p>
      <w:pPr>
        <w:spacing w:after="0" w:line="161" w:lineRule="exact"/>
        <w:rPr>
          <w:rFonts w:ascii="Times New Roman" w:cs="Times New Roman" w:eastAsia="Times New Roman" w:hAnsi="Times New Roman"/>
          <w:sz w:val="18"/>
          <w:szCs w:val="18"/>
          <w:b w:val="1"/>
          <w:bCs w:val="1"/>
          <w:color w:val="auto"/>
        </w:rPr>
      </w:pPr>
    </w:p>
    <w:p>
      <w:pPr>
        <w:ind w:left="640" w:right="2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Opinion is given on the basis that it will be construed in accordance with the laws of New South Wales, Australia. Anyone relying on this Opinion agrees that this Opinion and all matters (including any liability) arising in any way from it are to be governed by the laws of New South Wales and will be subject to the non-exclusive jurisdiction of the courts of New South Wales.</w:t>
      </w:r>
    </w:p>
    <w:p>
      <w:pPr>
        <w:spacing w:after="0" w:line="175" w:lineRule="exact"/>
        <w:rPr>
          <w:rFonts w:ascii="Times New Roman" w:cs="Times New Roman" w:eastAsia="Times New Roman" w:hAnsi="Times New Roman"/>
          <w:sz w:val="18"/>
          <w:szCs w:val="18"/>
          <w:b w:val="1"/>
          <w:bCs w:val="1"/>
          <w:color w:val="auto"/>
        </w:rPr>
      </w:pPr>
    </w:p>
    <w:p>
      <w:pPr>
        <w:ind w:left="640" w:right="1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not reviewed any documents other than the Documents listed in Section 2 for the purposes of this Opinion, and this Opinion does not purport to address any legal issues that arise in relation to such other documents that may be or come into force, even if there is a reference to any such documents in the Documents or on the impact such documents may have on the opinions expressed in this Opinion.</w:t>
      </w:r>
    </w:p>
    <w:p>
      <w:pPr>
        <w:spacing w:after="0" w:line="175" w:lineRule="exact"/>
        <w:rPr>
          <w:rFonts w:ascii="Times New Roman" w:cs="Times New Roman" w:eastAsia="Times New Roman" w:hAnsi="Times New Roman"/>
          <w:sz w:val="18"/>
          <w:szCs w:val="18"/>
          <w:b w:val="1"/>
          <w:bCs w:val="1"/>
          <w:color w:val="auto"/>
        </w:rPr>
      </w:pPr>
    </w:p>
    <w:p>
      <w:pPr>
        <w:ind w:left="640" w:right="1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not considered and do not opine on the Registration Statement or/and any securities law disclosure requirements, other than as expressly stated herein with respect to the issue of the Shares.</w:t>
      </w:r>
    </w:p>
    <w:p>
      <w:pPr>
        <w:spacing w:after="0" w:line="161" w:lineRule="exact"/>
        <w:rPr>
          <w:rFonts w:ascii="Times New Roman" w:cs="Times New Roman" w:eastAsia="Times New Roman" w:hAnsi="Times New Roman"/>
          <w:sz w:val="18"/>
          <w:szCs w:val="18"/>
          <w:b w:val="1"/>
          <w:bCs w:val="1"/>
          <w:color w:val="auto"/>
        </w:rPr>
      </w:pPr>
    </w:p>
    <w:p>
      <w:pPr>
        <w:ind w:left="640" w:right="1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express no opinion as to any taxation matters or transfer pricing matters generally or liability to tax which may arise or be suffered as a result of or in connection with the Sales Agreement or on the impact which any tax laws may have on the opinions expressed in this Opinion.</w:t>
      </w:r>
    </w:p>
    <w:p>
      <w:pPr>
        <w:spacing w:after="0" w:line="161"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express no opinion on any applicable licensing or similar requirements.</w:t>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7" w:name="page8"/>
    <w:bookmarkEnd w:id="7"/>
    <w:p>
      <w:pPr>
        <w:ind w:left="640" w:right="1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6577330</wp:posOffset>
            </wp:positionH>
            <wp:positionV relativeFrom="page">
              <wp:posOffset>88900</wp:posOffset>
            </wp:positionV>
            <wp:extent cx="762635" cy="1968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762635" cy="196850"/>
                    </a:xfrm>
                    <a:prstGeom prst="rect">
                      <a:avLst/>
                    </a:prstGeom>
                    <a:noFill/>
                  </pic:spPr>
                </pic:pic>
              </a:graphicData>
            </a:graphic>
          </wp:anchor>
        </w:drawing>
        <w:t>This Opinion does not contain any undertaking to update it or to inform the Company of any changes in the laws of the Relevant Jurisdictions or any other laws which would affect the content thereof in any manner.</w:t>
      </w:r>
    </w:p>
    <w:p>
      <w:pPr>
        <w:spacing w:after="0" w:line="158" w:lineRule="exact"/>
        <w:rPr>
          <w:sz w:val="20"/>
          <w:szCs w:val="20"/>
          <w:color w:val="auto"/>
        </w:rPr>
      </w:pPr>
    </w:p>
    <w:p>
      <w:pPr>
        <w:ind w:left="640" w:hanging="632"/>
        <w:spacing w:after="0"/>
        <w:tabs>
          <w:tab w:leader="none" w:pos="6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Searches</w:t>
      </w:r>
    </w:p>
    <w:p>
      <w:pPr>
        <w:spacing w:after="0" w:line="229"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relied on the following.</w:t>
      </w:r>
    </w:p>
    <w:p>
      <w:pPr>
        <w:spacing w:after="0" w:line="225" w:lineRule="exact"/>
        <w:rPr>
          <w:rFonts w:ascii="Times New Roman" w:cs="Times New Roman" w:eastAsia="Times New Roman" w:hAnsi="Times New Roman"/>
          <w:sz w:val="18"/>
          <w:szCs w:val="18"/>
          <w:b w:val="1"/>
          <w:bCs w:val="1"/>
          <w:color w:val="auto"/>
        </w:rPr>
      </w:pPr>
    </w:p>
    <w:p>
      <w:pPr>
        <w:ind w:left="1280" w:hanging="638"/>
        <w:spacing w:after="0"/>
        <w:tabs>
          <w:tab w:leader="none" w:pos="12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extract of the public records of the Company produced by ASIC on 4 March 2026 at 4:09pm Sydney, Australia time.</w:t>
      </w:r>
    </w:p>
    <w:p>
      <w:pPr>
        <w:spacing w:after="0" w:line="225" w:lineRule="exact"/>
        <w:rPr>
          <w:rFonts w:ascii="Times New Roman" w:cs="Times New Roman" w:eastAsia="Times New Roman" w:hAnsi="Times New Roman"/>
          <w:sz w:val="18"/>
          <w:szCs w:val="18"/>
          <w:color w:val="auto"/>
        </w:rPr>
      </w:pPr>
    </w:p>
    <w:p>
      <w:pPr>
        <w:ind w:left="1280" w:right="60" w:hanging="638"/>
        <w:spacing w:after="0" w:line="282" w:lineRule="auto"/>
        <w:tabs>
          <w:tab w:leader="none" w:pos="12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search of the insolvency notices website maintained by ASIC in respect of the Company on 4 March 2026 at 4:09pm Sydney, Australia time.</w:t>
      </w:r>
    </w:p>
    <w:p>
      <w:pPr>
        <w:spacing w:after="0" w:line="162" w:lineRule="exact"/>
        <w:rPr>
          <w:sz w:val="20"/>
          <w:szCs w:val="20"/>
          <w:color w:val="auto"/>
        </w:rPr>
      </w:pPr>
    </w:p>
    <w:p>
      <w:pPr>
        <w:ind w:left="640" w:right="100"/>
        <w:spacing w:after="0" w:line="266" w:lineRule="auto"/>
        <w:rPr>
          <w:sz w:val="20"/>
          <w:szCs w:val="20"/>
          <w:color w:val="auto"/>
        </w:rPr>
      </w:pPr>
      <w:r>
        <w:rPr>
          <w:rFonts w:ascii="Times New Roman" w:cs="Times New Roman" w:eastAsia="Times New Roman" w:hAnsi="Times New Roman"/>
          <w:sz w:val="18"/>
          <w:szCs w:val="18"/>
          <w:color w:val="auto"/>
        </w:rPr>
        <w:t>We have assumed that the extracts produced by ASIC are the same as information provided by the Company to ASIC. We have not examined any documents that the Company may have filed with ASIC. The information in the extracts, or produced by the searches, may not be correct, complete or up to date.</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have not conducted any other searches or investigations for the purposes of this opinion.</w:t>
      </w:r>
    </w:p>
    <w:p>
      <w:pPr>
        <w:spacing w:after="0" w:line="221" w:lineRule="exact"/>
        <w:rPr>
          <w:sz w:val="20"/>
          <w:szCs w:val="20"/>
          <w:color w:val="auto"/>
        </w:rPr>
      </w:pPr>
    </w:p>
    <w:p>
      <w:pPr>
        <w:ind w:left="640" w:hanging="632"/>
        <w:spacing w:after="0"/>
        <w:tabs>
          <w:tab w:leader="none" w:pos="6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Opinion</w:t>
      </w:r>
    </w:p>
    <w:p>
      <w:pPr>
        <w:spacing w:after="0" w:line="229"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opinion is as follows, subject to the assumptions in Schedule 1:</w:t>
      </w:r>
    </w:p>
    <w:p>
      <w:pPr>
        <w:spacing w:after="0" w:line="225" w:lineRule="exact"/>
        <w:rPr>
          <w:rFonts w:ascii="Times New Roman" w:cs="Times New Roman" w:eastAsia="Times New Roman" w:hAnsi="Times New Roman"/>
          <w:sz w:val="18"/>
          <w:szCs w:val="18"/>
          <w:b w:val="1"/>
          <w:bCs w:val="1"/>
          <w:color w:val="auto"/>
        </w:rPr>
      </w:pPr>
    </w:p>
    <w:p>
      <w:pPr>
        <w:ind w:left="1280" w:hanging="638"/>
        <w:spacing w:after="0"/>
        <w:tabs>
          <w:tab w:leader="none" w:pos="12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have been authorised and if and once:</w:t>
      </w:r>
    </w:p>
    <w:p>
      <w:pPr>
        <w:spacing w:after="0" w:line="225" w:lineRule="exact"/>
        <w:rPr>
          <w:rFonts w:ascii="Times New Roman" w:cs="Times New Roman" w:eastAsia="Times New Roman" w:hAnsi="Times New Roman"/>
          <w:sz w:val="18"/>
          <w:szCs w:val="18"/>
          <w:color w:val="auto"/>
        </w:rPr>
      </w:pPr>
    </w:p>
    <w:p>
      <w:pPr>
        <w:ind w:left="1920" w:hanging="643"/>
        <w:spacing w:after="0"/>
        <w:tabs>
          <w:tab w:leader="none" w:pos="192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registered on the books of the transfer agent and registrar therefor in the name of Cede &amp; Co.; and</w:t>
      </w:r>
    </w:p>
    <w:p>
      <w:pPr>
        <w:spacing w:after="0" w:line="225" w:lineRule="exact"/>
        <w:rPr>
          <w:rFonts w:ascii="Times New Roman" w:cs="Times New Roman" w:eastAsia="Times New Roman" w:hAnsi="Times New Roman"/>
          <w:sz w:val="18"/>
          <w:szCs w:val="18"/>
          <w:color w:val="auto"/>
        </w:rPr>
      </w:pPr>
    </w:p>
    <w:p>
      <w:pPr>
        <w:ind w:left="1920" w:hanging="643"/>
        <w:spacing w:after="0"/>
        <w:tabs>
          <w:tab w:leader="none" w:pos="192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paid and issued in accordance with the terms of the Constitution,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are validly issued, issued as fully paid-up shares and are non-assessable.</w:t>
      </w:r>
    </w:p>
    <w:p>
      <w:pPr>
        <w:spacing w:after="0" w:line="221" w:lineRule="exact"/>
        <w:rPr>
          <w:sz w:val="20"/>
          <w:szCs w:val="20"/>
          <w:color w:val="auto"/>
        </w:rPr>
      </w:pPr>
    </w:p>
    <w:p>
      <w:pPr>
        <w:ind w:left="640" w:hanging="632"/>
        <w:spacing w:after="0"/>
        <w:tabs>
          <w:tab w:leader="none" w:pos="6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Benefit</w:t>
      </w:r>
    </w:p>
    <w:p>
      <w:pPr>
        <w:spacing w:after="0" w:line="229" w:lineRule="exact"/>
        <w:rPr>
          <w:rFonts w:ascii="Times New Roman" w:cs="Times New Roman" w:eastAsia="Times New Roman" w:hAnsi="Times New Roman"/>
          <w:sz w:val="18"/>
          <w:szCs w:val="18"/>
          <w:b w:val="1"/>
          <w:bCs w:val="1"/>
          <w:color w:val="auto"/>
        </w:rPr>
      </w:pPr>
    </w:p>
    <w:p>
      <w:pPr>
        <w:jc w:val="both"/>
        <w:ind w:left="640" w:right="1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are providing this Opinion in connection with the Documents and the Registration Statement. We hereby consent to the filing of this Opinion as an exhibit to the Registration Statement. In giving such consent, we do not thereby admit that we are in the category of persons whose consent is required under Section 7 of the Securities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Allens</w:t>
      </w: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6577330</wp:posOffset>
            </wp:positionH>
            <wp:positionV relativeFrom="page">
              <wp:posOffset>88900</wp:posOffset>
            </wp:positionV>
            <wp:extent cx="762635" cy="1968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762635" cy="196850"/>
                    </a:xfrm>
                    <a:prstGeom prst="rect">
                      <a:avLst/>
                    </a:prstGeom>
                    <a:noFill/>
                  </pic:spPr>
                </pic:pic>
              </a:graphicData>
            </a:graphic>
          </wp:anchor>
        </w:drawing>
        <w:t>Schedule 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Assumptions</w:t>
      </w:r>
    </w:p>
    <w:p>
      <w:pPr>
        <w:spacing w:after="0" w:line="229" w:lineRule="exact"/>
        <w:rPr>
          <w:sz w:val="20"/>
          <w:szCs w:val="20"/>
          <w:color w:val="auto"/>
        </w:rPr>
      </w:pPr>
    </w:p>
    <w:p>
      <w:pPr>
        <w:ind w:left="1280" w:hanging="638"/>
        <w:spacing w:after="0"/>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dates, signatures, seals and duty markings are authentic.</w:t>
      </w:r>
    </w:p>
    <w:p>
      <w:pPr>
        <w:spacing w:after="0" w:line="225"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reviewed a copy of a document, it is a correct and complete copy of the original.</w:t>
      </w:r>
    </w:p>
    <w:p>
      <w:pPr>
        <w:spacing w:after="0" w:line="225"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reviewed only a draft of a document, it has been or will be executed in the form of that draft.</w:t>
      </w:r>
    </w:p>
    <w:p>
      <w:pPr>
        <w:spacing w:after="0" w:line="225"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statements made in the Documents as to factual matters are correct.</w:t>
      </w:r>
    </w:p>
    <w:p>
      <w:pPr>
        <w:spacing w:after="0" w:line="225"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Documents have been amended, released or terminated.</w:t>
      </w:r>
    </w:p>
    <w:p>
      <w:pPr>
        <w:spacing w:after="0" w:line="225"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executed any Document on behalf of the Company held the position they purported to hold.</w:t>
      </w:r>
    </w:p>
    <w:p>
      <w:pPr>
        <w:spacing w:after="0" w:line="225"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Agreement:</w:t>
      </w:r>
    </w:p>
    <w:p>
      <w:pPr>
        <w:spacing w:after="0" w:line="225" w:lineRule="exact"/>
        <w:rPr>
          <w:rFonts w:ascii="Times New Roman" w:cs="Times New Roman" w:eastAsia="Times New Roman" w:hAnsi="Times New Roman"/>
          <w:sz w:val="18"/>
          <w:szCs w:val="18"/>
          <w:color w:val="auto"/>
        </w:rPr>
      </w:pPr>
    </w:p>
    <w:p>
      <w:pPr>
        <w:ind w:left="1920" w:right="120" w:hanging="643"/>
        <w:spacing w:after="0" w:line="282" w:lineRule="auto"/>
        <w:tabs>
          <w:tab w:leader="none" w:pos="19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or will be validly authorised and entered into by each party to it, and is binding on each such party under all applicable laws (other than the laws of the Relevant Jurisdictions, but only to the extent opined herein); and</w:t>
      </w:r>
    </w:p>
    <w:p>
      <w:pPr>
        <w:spacing w:after="0" w:line="161" w:lineRule="exact"/>
        <w:rPr>
          <w:rFonts w:ascii="Times New Roman" w:cs="Times New Roman" w:eastAsia="Times New Roman" w:hAnsi="Times New Roman"/>
          <w:sz w:val="18"/>
          <w:szCs w:val="18"/>
          <w:color w:val="auto"/>
        </w:rPr>
      </w:pPr>
    </w:p>
    <w:p>
      <w:pPr>
        <w:ind w:left="1920" w:right="360" w:hanging="643"/>
        <w:spacing w:after="0" w:line="282" w:lineRule="auto"/>
        <w:tabs>
          <w:tab w:leader="none" w:pos="19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binding on the Company under all applicable laws (other than the laws of the Relevant Jurisdictions, but only to the extent opined herein).</w:t>
      </w:r>
    </w:p>
    <w:p>
      <w:pPr>
        <w:spacing w:after="0" w:line="161" w:lineRule="exact"/>
        <w:rPr>
          <w:rFonts w:ascii="Times New Roman" w:cs="Times New Roman" w:eastAsia="Times New Roman" w:hAnsi="Times New Roman"/>
          <w:sz w:val="18"/>
          <w:szCs w:val="18"/>
          <w:color w:val="auto"/>
        </w:rPr>
      </w:pPr>
    </w:p>
    <w:p>
      <w:pPr>
        <w:ind w:left="1280" w:right="60" w:hanging="638"/>
        <w:spacing w:after="0" w:line="312" w:lineRule="auto"/>
        <w:tabs>
          <w:tab w:leader="none" w:pos="12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acts, conditions or things required to be fulfilled, performed or effected in connection with the Sales Agreement under the laws of any jurisdiction (other than the Relevant Jurisdictions but only to the extent opined herein) have been duly fulfilled, performed and effected.</w:t>
      </w:r>
    </w:p>
    <w:p>
      <w:pPr>
        <w:spacing w:after="0" w:line="139" w:lineRule="exact"/>
        <w:rPr>
          <w:rFonts w:ascii="Times New Roman" w:cs="Times New Roman" w:eastAsia="Times New Roman" w:hAnsi="Times New Roman"/>
          <w:sz w:val="17"/>
          <w:szCs w:val="17"/>
          <w:color w:val="auto"/>
        </w:rPr>
      </w:pPr>
    </w:p>
    <w:p>
      <w:pPr>
        <w:ind w:left="1280" w:right="60" w:hanging="638"/>
        <w:spacing w:after="0" w:line="282" w:lineRule="auto"/>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Sales Agreement is to be performed in a jurisdiction other than a Relevant Jurisdiction, its performance will not be illegal under the laws of that jurisdiction.</w:t>
      </w:r>
    </w:p>
    <w:p>
      <w:pPr>
        <w:spacing w:after="0" w:line="161" w:lineRule="exact"/>
        <w:rPr>
          <w:rFonts w:ascii="Times New Roman" w:cs="Times New Roman" w:eastAsia="Times New Roman" w:hAnsi="Times New Roman"/>
          <w:sz w:val="18"/>
          <w:szCs w:val="18"/>
          <w:color w:val="auto"/>
        </w:rPr>
      </w:pPr>
    </w:p>
    <w:p>
      <w:pPr>
        <w:ind w:left="1280" w:right="360" w:hanging="638"/>
        <w:spacing w:after="0" w:line="282" w:lineRule="auto"/>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Agreement constitutes or will on execution constitute binding obligations of the Company under the laws of the Governing Jurisdiction enforceable in competent courts of that jurisdiction.</w:t>
      </w:r>
    </w:p>
    <w:p>
      <w:pPr>
        <w:spacing w:after="0" w:line="161" w:lineRule="exact"/>
        <w:rPr>
          <w:rFonts w:ascii="Times New Roman" w:cs="Times New Roman" w:eastAsia="Times New Roman" w:hAnsi="Times New Roman"/>
          <w:sz w:val="18"/>
          <w:szCs w:val="18"/>
          <w:color w:val="auto"/>
        </w:rPr>
      </w:pPr>
    </w:p>
    <w:p>
      <w:pPr>
        <w:ind w:left="1280" w:right="180" w:hanging="638"/>
        <w:spacing w:after="0" w:line="282" w:lineRule="auto"/>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Formalities for execution required by the law of the place of execution (other than a Relevant Jurisdiction) of the Sales Agreement have been or will be complied with.</w:t>
      </w:r>
    </w:p>
    <w:p>
      <w:pPr>
        <w:spacing w:after="0" w:line="161"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parties to the Sales Agreement will comply with their obligations under the Sales Agreement.</w:t>
      </w:r>
    </w:p>
    <w:p>
      <w:pPr>
        <w:spacing w:after="0" w:line="225" w:lineRule="exact"/>
        <w:rPr>
          <w:rFonts w:ascii="Times New Roman" w:cs="Times New Roman" w:eastAsia="Times New Roman" w:hAnsi="Times New Roman"/>
          <w:sz w:val="18"/>
          <w:szCs w:val="18"/>
          <w:color w:val="auto"/>
        </w:rPr>
      </w:pPr>
    </w:p>
    <w:p>
      <w:pPr>
        <w:ind w:left="1280" w:right="420" w:hanging="638"/>
        <w:spacing w:after="0" w:line="282" w:lineRule="auto"/>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provisions of the laws of any jurisdiction other than Australia that would adversely affect the opinions expressed in this Opinion.</w:t>
      </w:r>
    </w:p>
    <w:p>
      <w:pPr>
        <w:spacing w:after="0" w:line="161" w:lineRule="exact"/>
        <w:rPr>
          <w:rFonts w:ascii="Times New Roman" w:cs="Times New Roman" w:eastAsia="Times New Roman" w:hAnsi="Times New Roman"/>
          <w:sz w:val="18"/>
          <w:szCs w:val="18"/>
          <w:color w:val="auto"/>
        </w:rPr>
      </w:pPr>
    </w:p>
    <w:p>
      <w:pPr>
        <w:ind w:left="1280" w:right="380" w:hanging="638"/>
        <w:spacing w:after="0" w:line="282" w:lineRule="auto"/>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Once taken, board resolutions passed by the Company, including powers granted therein, shall not be amended or rescinded and shall remain in full force and effect.</w:t>
      </w:r>
    </w:p>
    <w:p>
      <w:pPr>
        <w:spacing w:after="0" w:line="161"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have been issued in accordance with the Sales Agreement, Constitution and board resolutions to be passed by the Company.</w:t>
      </w:r>
    </w:p>
    <w:p>
      <w:pPr>
        <w:spacing w:after="0" w:line="225"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agent and registrar maintains the share register of members for the Company.</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have not taken any step to investigate whether the assumptions in this opinion are correct, except as expressly stated in this opinion.</w:t>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4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lowerLetter"/>
      <w:start w:val="1"/>
    </w:lvl>
    <w:lvl w:ilvl="1">
      <w:lvlJc w:val="left"/>
      <w:lvlText w:val="(%2)"/>
      <w:numFmt w:val="lowerRoman"/>
      <w:start w:val="1"/>
    </w:lvl>
  </w:abstractNum>
  <w:abstractNum w:abstractNumId="3">
    <w:nsid w:val="79E2A9E3"/>
    <w:multiLevelType w:val="hybridMultilevel"/>
    <w:lvl w:ilvl="0">
      <w:lvlJc w:val="left"/>
      <w:lvlText w:val="2"/>
      <w:numFmt w:val="bullet"/>
      <w:start w:val="1"/>
    </w:lvl>
    <w:lvl w:ilvl="1">
      <w:lvlJc w:val="left"/>
      <w:lvlText w:val="(%2)"/>
      <w:numFmt w:val="lowerLetter"/>
      <w:start w:val="1"/>
    </w:lvl>
  </w:abstractNum>
  <w:abstractNum w:abstractNumId="4">
    <w:nsid w:val="7545E146"/>
    <w:multiLevelType w:val="hybridMultilevel"/>
    <w:lvl w:ilvl="0">
      <w:lvlJc w:val="left"/>
      <w:lvlText w:val="(%1)"/>
      <w:numFmt w:val="lowerLetter"/>
      <w:start w:val="6"/>
    </w:lvl>
  </w:abstractNum>
  <w:abstractNum w:abstractNumId="5">
    <w:nsid w:val="515F007C"/>
    <w:multiLevelType w:val="hybridMultilevel"/>
    <w:lvl w:ilvl="0">
      <w:lvlJc w:val="left"/>
      <w:lvlText w:val="3"/>
      <w:numFmt w:val="bullet"/>
      <w:start w:val="1"/>
    </w:lvl>
    <w:lvl w:ilvl="1">
      <w:lvlJc w:val="left"/>
      <w:lvlText w:val="(%2)"/>
      <w:numFmt w:val="lowerLetter"/>
      <w:start w:val="1"/>
    </w:lvl>
  </w:abstractNum>
  <w:abstractNum w:abstractNumId="6">
    <w:nsid w:val="5BD062C2"/>
    <w:multiLevelType w:val="hybridMultilevel"/>
    <w:lvl w:ilvl="0">
      <w:lvlJc w:val="left"/>
      <w:lvlText w:val="4"/>
      <w:numFmt w:val="bullet"/>
      <w:start w:val="1"/>
    </w:lvl>
  </w:abstractNum>
  <w:abstractNum w:abstractNumId="7">
    <w:nsid w:val="12200854"/>
    <w:multiLevelType w:val="hybridMultilevel"/>
    <w:lvl w:ilvl="0">
      <w:lvlJc w:val="left"/>
      <w:lvlText w:val="5"/>
      <w:numFmt w:val="bullet"/>
      <w:start w:val="1"/>
    </w:lvl>
    <w:lvl w:ilvl="1">
      <w:lvlJc w:val="left"/>
      <w:lvlText w:val="(%2)"/>
      <w:numFmt w:val="lowerLetter"/>
      <w:start w:val="1"/>
    </w:lvl>
  </w:abstractNum>
  <w:abstractNum w:abstractNumId="8">
    <w:nsid w:val="4DB127F8"/>
    <w:multiLevelType w:val="hybridMultilevel"/>
    <w:lvl w:ilvl="0">
      <w:lvlJc w:val="left"/>
      <w:lvlText w:val="6"/>
      <w:numFmt w:val="bullet"/>
      <w:start w:val="1"/>
    </w:lvl>
    <w:lvl w:ilvl="1">
      <w:lvlJc w:val="left"/>
      <w:lvlText w:val="(%2)"/>
      <w:numFmt w:val="lowerLetter"/>
      <w:start w:val="1"/>
    </w:lvl>
    <w:lvl w:ilvl="2">
      <w:lvlJc w:val="left"/>
      <w:lvlText w:val="(%3)"/>
      <w:numFmt w:val="lowerRoman"/>
      <w:start w:val="1"/>
    </w:lvl>
  </w:abstractNum>
  <w:abstractNum w:abstractNumId="9">
    <w:nsid w:val="216231B"/>
    <w:multiLevelType w:val="hybridMultilevel"/>
    <w:lvl w:ilvl="0">
      <w:lvlJc w:val="left"/>
      <w:lvlText w:val="7"/>
      <w:numFmt w:val="bullet"/>
      <w:start w:val="1"/>
    </w:lvl>
  </w:abstractNum>
  <w:abstractNum w:abstractNumId="10">
    <w:nsid w:val="1F16E9E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2026-03-04T16:29:06Z</dcterms:created>
  <dcterms:modified xsi:type="dcterms:W3CDTF">2026-03-04T16:29:06Z</dcterms:modified>
</cp:coreProperties>
</file>