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333-284369</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(To Prospectus Dated August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168910</wp:posOffset>
            </wp:positionV>
            <wp:extent cx="122555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2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5"/>
          <w:szCs w:val="25"/>
          <w:b w:val="1"/>
          <w:bCs w:val="1"/>
          <w:color w:val="auto"/>
        </w:rPr>
        <w:t>IREN Limited</w:t>
      </w:r>
    </w:p>
    <w:p>
      <w:pPr>
        <w:spacing w:after="0" w:line="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5"/>
          <w:szCs w:val="25"/>
          <w:b w:val="1"/>
          <w:bCs w:val="1"/>
          <w:color w:val="auto"/>
        </w:rPr>
        <w:t>Up to $6,000,000,000</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99" w:lineRule="exact"/>
        <w:rPr>
          <w:sz w:val="24"/>
          <w:szCs w:val="24"/>
          <w:color w:val="auto"/>
        </w:rPr>
      </w:pPr>
    </w:p>
    <w:p>
      <w:pPr>
        <w:ind w:left="400" w:right="419" w:firstLine="360"/>
        <w:spacing w:after="0" w:line="267" w:lineRule="auto"/>
        <w:rPr>
          <w:sz w:val="20"/>
          <w:szCs w:val="20"/>
          <w:color w:val="auto"/>
        </w:rPr>
      </w:pPr>
      <w:r>
        <w:rPr>
          <w:rFonts w:ascii="Times New Roman" w:cs="Times New Roman" w:eastAsia="Times New Roman" w:hAnsi="Times New Roman"/>
          <w:sz w:val="17"/>
          <w:szCs w:val="17"/>
          <w:color w:val="auto"/>
        </w:rPr>
        <w:t>We previously entered into an At Market Issuance Sales Agreement, dated as of January 21, 2025 and subsequently amended and restated on August 28, 2025, with B. Riley Securities, Inc. (“B. Riley Securities”), Canaccord Genuity LLC (“Canaccord Genuity”), Cantor Fitzgerald &amp; Co. (“Cantor”), Citigroup Global Markets Inc. (“Citigroup”), Compass Point Research &amp; Trading, LLC (“Compass Point”), J.P. Morgan Securities LLC (“JPMS”), Macquarie Capital (USA) Inc. (“Macquarie Capital”) and Roth Capital Partners, LLC (“Roth Capital Partners”), to which Citizens JMP Securities, LLC (“Citizens Capital Markets”), Goldman Sachs &amp; Co. LLC and Jefferies LLC (“Jefferies”) were joined on March 4, 2026 (each of B. Riley Securities, Canaccord Genuity, Cantor, Citigroup, Citizens Capital Markets, Compass Point, Goldman Sachs &amp; Co. LLC, Jefferies, JPMS, Macquarie Capital and Roth Capital Partners individually a “sales agent” and collectively, the “sales agents”), relating to the sale of our ordinary shares, with no par value (such agreement, the “sales agreement”). This prospectus supplement, together with the accompanying prospectus, relates to our ordinary shares that may be offered and sold under the sales agreement. This prospectus supplement replaces and supersedes in its entirety the previously filed prospectus supplement dated August 28, 2025 relating to the offer and sale of our ordinary shares under the sales agreement having an aggregate offering price of up to $1,000,000,000 and no additional ordinary shares will be sold under the previously filed prospectus supplement following the date of this prospectus supplement. We sold an aggregate of 66,707,732 ordinary shares for an aggregate offering price of approximately $1.0 billion in gross proceeds under the previously filed prospectus supplement. Under this prospectus supplement, we may offer and sell our ordinary shares in accordance with the terms of the sales agreement having an aggregate offering price of up to $6,000,000,000 from time to time through or to the sales agents, as agent or principal, which amount is in addition to the ordinary shares previously sold under the previously filed prospectus supplement.</w:t>
      </w:r>
    </w:p>
    <w:p>
      <w:pPr>
        <w:spacing w:after="0" w:line="79" w:lineRule="exact"/>
        <w:rPr>
          <w:sz w:val="24"/>
          <w:szCs w:val="24"/>
          <w:color w:val="auto"/>
        </w:rPr>
      </w:pPr>
    </w:p>
    <w:p>
      <w:pPr>
        <w:ind w:left="400" w:right="479" w:firstLine="360"/>
        <w:spacing w:after="0" w:line="274" w:lineRule="auto"/>
        <w:rPr>
          <w:sz w:val="20"/>
          <w:szCs w:val="20"/>
          <w:color w:val="auto"/>
        </w:rPr>
      </w:pPr>
      <w:r>
        <w:rPr>
          <w:rFonts w:ascii="Times New Roman" w:cs="Times New Roman" w:eastAsia="Times New Roman" w:hAnsi="Times New Roman"/>
          <w:sz w:val="17"/>
          <w:szCs w:val="17"/>
          <w:color w:val="auto"/>
        </w:rPr>
        <w:t>Sales of our ordinary shares, if any, under this prospectus supplement will be made by any method permitted that is deemed an “at the market offering” as defined in Rule 415(a)(4) under the Securities Act of 1933, as amended (the “Securities Act”). Subject to the terms of the sales agreement, the sales agents are not required to sell any specific amount, but will act as our sales agents using commercially reasonable efforts consistent with their normal trading and sales practices. There is no arrangement for funds to be received in an escrow, trust or similar arrangement.</w:t>
      </w:r>
    </w:p>
    <w:p>
      <w:pPr>
        <w:spacing w:after="0" w:line="288" w:lineRule="exact"/>
        <w:rPr>
          <w:sz w:val="24"/>
          <w:szCs w:val="24"/>
          <w:color w:val="auto"/>
        </w:rPr>
      </w:pPr>
    </w:p>
    <w:p>
      <w:pPr>
        <w:ind w:left="400" w:right="459" w:firstLine="360"/>
        <w:spacing w:after="0" w:line="271" w:lineRule="auto"/>
        <w:rPr>
          <w:sz w:val="20"/>
          <w:szCs w:val="20"/>
          <w:color w:val="auto"/>
        </w:rPr>
      </w:pPr>
      <w:r>
        <w:rPr>
          <w:rFonts w:ascii="Times New Roman" w:cs="Times New Roman" w:eastAsia="Times New Roman" w:hAnsi="Times New Roman"/>
          <w:sz w:val="17"/>
          <w:szCs w:val="17"/>
          <w:color w:val="auto"/>
        </w:rPr>
        <w:t>The sales agents will be entitled to compensation at a commission of up to 1.25% of the gross sales price of any ordinary shares sold under the sales agreement. In connection with the sale of ordinary shares on our behalf, each sales agent will be deemed to be an “underwriter” within the meaning of the Securities Act and the compensation of the sales agents will be deemed to be underwriting commissions or discounts. We have also agreed to provide indemnification and contribution to the sales agents with respect to certain liabilities, including civil liabilities under the Securities Act. See “Plan of Distribution” beginning on page S-</w:t>
      </w:r>
      <w:r>
        <w:rPr>
          <w:rFonts w:ascii="Times New Roman" w:cs="Times New Roman" w:eastAsia="Times New Roman" w:hAnsi="Times New Roman"/>
          <w:sz w:val="17"/>
          <w:szCs w:val="17"/>
          <w:u w:val="single" w:color="auto"/>
          <w:color w:val="0000EE"/>
        </w:rPr>
        <w:t>23</w:t>
      </w:r>
      <w:r>
        <w:rPr>
          <w:rFonts w:ascii="Times New Roman" w:cs="Times New Roman" w:eastAsia="Times New Roman" w:hAnsi="Times New Roman"/>
          <w:sz w:val="17"/>
          <w:szCs w:val="17"/>
          <w:color w:val="auto"/>
        </w:rPr>
        <w:t xml:space="preserve"> for additional information regarding the compensation to be paid to the sales agents.</w:t>
      </w:r>
    </w:p>
    <w:p>
      <w:pPr>
        <w:spacing w:after="0" w:line="75" w:lineRule="exact"/>
        <w:rPr>
          <w:sz w:val="24"/>
          <w:szCs w:val="24"/>
          <w:color w:val="auto"/>
        </w:rPr>
      </w:pPr>
    </w:p>
    <w:p>
      <w:pPr>
        <w:ind w:left="400" w:right="619" w:firstLine="360"/>
        <w:spacing w:after="0" w:line="304" w:lineRule="auto"/>
        <w:rPr>
          <w:sz w:val="20"/>
          <w:szCs w:val="20"/>
          <w:color w:val="auto"/>
        </w:rPr>
      </w:pPr>
      <w:r>
        <w:rPr>
          <w:rFonts w:ascii="Times New Roman" w:cs="Times New Roman" w:eastAsia="Times New Roman" w:hAnsi="Times New Roman"/>
          <w:sz w:val="17"/>
          <w:szCs w:val="17"/>
          <w:color w:val="auto"/>
        </w:rPr>
        <w:t>Our ordinary shares are listed on the Nasdaq Global Select Market (“Nasdaq”) under the symbol “IREN.” On March 3, 2026, the last reported sale price of our ordinary shares was $38.85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122555</wp:posOffset>
            </wp:positionV>
            <wp:extent cx="1097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79" w:lineRule="exact"/>
        <w:rPr>
          <w:sz w:val="24"/>
          <w:szCs w:val="24"/>
          <w:color w:val="auto"/>
        </w:rPr>
      </w:pPr>
    </w:p>
    <w:p>
      <w:pPr>
        <w:ind w:left="400" w:right="539" w:firstLine="360"/>
        <w:spacing w:after="0" w:line="286"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See the “Risk Factors” section beginning on page S-</w:t>
      </w:r>
      <w:r>
        <w:rPr>
          <w:rFonts w:ascii="Times New Roman" w:cs="Times New Roman" w:eastAsia="Times New Roman" w:hAnsi="Times New Roman"/>
          <w:sz w:val="17"/>
          <w:szCs w:val="17"/>
          <w:b w:val="1"/>
          <w:bCs w:val="1"/>
          <w:u w:val="single" w:color="auto"/>
          <w:color w:val="0000EE"/>
        </w:rPr>
        <w:t>3</w:t>
      </w:r>
      <w:r>
        <w:rPr>
          <w:rFonts w:ascii="Times New Roman" w:cs="Times New Roman" w:eastAsia="Times New Roman" w:hAnsi="Times New Roman"/>
          <w:sz w:val="17"/>
          <w:szCs w:val="17"/>
          <w:b w:val="1"/>
          <w:bCs w:val="1"/>
          <w:color w:val="auto"/>
        </w:rPr>
        <w:t xml:space="preserve"> of this prospectus supplement and any risk factors in our Securities and Exchange Commission (the “SEC”) filings that are incorporated by reference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123190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80" w:lineRule="exact"/>
        <w:rPr>
          <w:sz w:val="24"/>
          <w:szCs w:val="24"/>
          <w:color w:val="auto"/>
        </w:rPr>
      </w:pPr>
    </w:p>
    <w:p>
      <w:pPr>
        <w:ind w:left="400" w:right="419" w:firstLine="360"/>
        <w:spacing w:after="0" w:line="286"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47"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 Riley</w:t>
            </w:r>
          </w:p>
        </w:tc>
        <w:tc>
          <w:tcPr>
            <w:tcW w:w="1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Canaccord   Cantor</w:t>
            </w:r>
          </w:p>
        </w:tc>
        <w:tc>
          <w:tcPr>
            <w:tcW w:w="15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Citigroup   Citizens</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Compass</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Goldman   Jefferies</w:t>
            </w: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J.P.</w:t>
            </w:r>
          </w:p>
        </w:tc>
        <w:tc>
          <w:tcPr>
            <w:tcW w:w="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Macquarie</w:t>
            </w: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Roth</w:t>
            </w:r>
          </w:p>
        </w:tc>
      </w:tr>
      <w:tr>
        <w:trPr>
          <w:trHeight w:val="148"/>
        </w:trPr>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Genuity</w:t>
            </w:r>
          </w:p>
        </w:tc>
        <w:tc>
          <w:tcPr>
            <w:tcW w:w="154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14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Sachs &amp;</w:t>
            </w:r>
          </w:p>
        </w:tc>
        <w:tc>
          <w:tcPr>
            <w:tcW w:w="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Morgan</w:t>
            </w:r>
          </w:p>
        </w:tc>
        <w:tc>
          <w:tcPr>
            <w:tcW w:w="9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r>
      <w:tr>
        <w:trPr>
          <w:trHeight w:val="185"/>
        </w:trPr>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760" w:type="dxa"/>
            <w:vAlign w:val="bottom"/>
          </w:tcPr>
          <w:p>
            <w:pPr>
              <w:spacing w:after="0"/>
              <w:rPr>
                <w:sz w:val="16"/>
                <w:szCs w:val="16"/>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 LLC</w:t>
            </w: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Partners</w:t>
            </w:r>
          </w:p>
        </w:tc>
      </w:tr>
    </w:tbl>
    <w:p>
      <w:pPr>
        <w:spacing w:after="0" w:line="200" w:lineRule="exact"/>
        <w:rPr>
          <w:sz w:val="24"/>
          <w:szCs w:val="24"/>
          <w:color w:val="auto"/>
        </w:rPr>
      </w:pPr>
    </w:p>
    <w:p>
      <w:pPr>
        <w:sectPr>
          <w:pgSz w:w="11900" w:h="16848" w:orient="portrait"/>
          <w:cols w:equalWidth="0" w:num="1">
            <w:col w:w="9019"/>
          </w:cols>
          <w:pgMar w:left="1440" w:top="223" w:right="1440" w:bottom="0" w:gutter="0" w:footer="0" w:header="0"/>
        </w:sectPr>
      </w:pP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 dated March 4, 2026.</w:t>
      </w:r>
    </w:p>
    <w:p>
      <w:pPr>
        <w:sectPr>
          <w:pgSz w:w="11900" w:h="16848" w:orient="portrait"/>
          <w:cols w:equalWidth="0" w:num="1">
            <w:col w:w="9019"/>
          </w:cols>
          <w:pgMar w:left="1440" w:top="223" w:right="1440" w:bottom="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2"/>
        </w:trPr>
        <w:tc>
          <w:tcPr>
            <w:tcW w:w="80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254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5520" w:type="dxa"/>
            <w:vAlign w:val="bottom"/>
            <w:gridSpan w:val="10"/>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gridSpan w:val="7"/>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S-ii</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40" w:type="dxa"/>
            <w:vAlign w:val="bottom"/>
          </w:tcPr>
          <w:p>
            <w:pPr>
              <w:spacing w:after="0"/>
              <w:rPr>
                <w:sz w:val="16"/>
                <w:szCs w:val="16"/>
                <w:color w:val="auto"/>
              </w:rPr>
            </w:pPr>
          </w:p>
        </w:tc>
        <w:tc>
          <w:tcPr>
            <w:tcW w:w="320" w:type="dxa"/>
            <w:vAlign w:val="bottom"/>
            <w:gridSpan w:val="8"/>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S-iv</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6"/>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S-1</w:t>
            </w:r>
          </w:p>
        </w:tc>
      </w:tr>
      <w:tr>
        <w:trPr>
          <w:trHeight w:val="189"/>
        </w:trPr>
        <w:tc>
          <w:tcPr>
            <w:tcW w:w="2420" w:type="dxa"/>
            <w:vAlign w:val="bottom"/>
            <w:tcBorders>
              <w:top w:val="single" w:sz="8" w:color="0000EE"/>
            </w:tcBorders>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5640" w:type="dxa"/>
            <w:vAlign w:val="bottom"/>
            <w:tcBorders>
              <w:top w:val="single" w:sz="8" w:color="CCEEFF"/>
            </w:tcBorders>
            <w:gridSpan w:val="13"/>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60" w:type="dxa"/>
            <w:vAlign w:val="bottom"/>
            <w:tcBorders>
              <w:top w:val="single" w:sz="8" w:color="0000EE"/>
            </w:tcBorders>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S-2</w:t>
            </w: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0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tcBorders>
              <w:bottom w:val="single" w:sz="8" w:color="CCEEFF"/>
            </w:tcBorders>
            <w:gridSpan w:val="25"/>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6"/>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S-8</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0" w:type="dxa"/>
            <w:vAlign w:val="bottom"/>
            <w:gridSpan w:val="9"/>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S-12</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360" w:type="dxa"/>
            <w:vAlign w:val="bottom"/>
            <w:gridSpan w:val="9"/>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S-13</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3"/>
              </w:rPr>
              <w:t>Taxation</w:t>
            </w:r>
          </w:p>
        </w:tc>
        <w:tc>
          <w:tcPr>
            <w:tcW w:w="7440" w:type="dxa"/>
            <w:vAlign w:val="bottom"/>
            <w:gridSpan w:val="26"/>
            <w:shd w:val="clear" w:color="auto" w:fill="CCEEFF"/>
          </w:tcPr>
          <w:p>
            <w:pPr>
              <w:spacing w:after="0"/>
              <w:rPr>
                <w:sz w:val="16"/>
                <w:szCs w:val="16"/>
                <w:color w:val="auto"/>
              </w:rPr>
            </w:pPr>
          </w:p>
        </w:tc>
        <w:tc>
          <w:tcPr>
            <w:tcW w:w="360" w:type="dxa"/>
            <w:vAlign w:val="bottom"/>
            <w:gridSpan w:val="9"/>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60" w:type="dxa"/>
            <w:vAlign w:val="bottom"/>
            <w:gridSpan w:val="9"/>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S-23</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060" w:type="dxa"/>
            <w:vAlign w:val="bottom"/>
            <w:gridSpan w:val="23"/>
            <w:shd w:val="clear" w:color="auto" w:fill="CCEEFF"/>
          </w:tcPr>
          <w:p>
            <w:pPr>
              <w:spacing w:after="0"/>
              <w:rPr>
                <w:sz w:val="16"/>
                <w:szCs w:val="16"/>
                <w:color w:val="auto"/>
              </w:rPr>
            </w:pPr>
          </w:p>
        </w:tc>
        <w:tc>
          <w:tcPr>
            <w:tcW w:w="360" w:type="dxa"/>
            <w:vAlign w:val="bottom"/>
            <w:gridSpan w:val="9"/>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060" w:type="dxa"/>
            <w:vAlign w:val="bottom"/>
            <w:gridSpan w:val="23"/>
          </w:tcPr>
          <w:p>
            <w:pPr>
              <w:spacing w:after="0"/>
              <w:rPr>
                <w:sz w:val="16"/>
                <w:szCs w:val="16"/>
                <w:color w:val="auto"/>
              </w:rPr>
            </w:pPr>
          </w:p>
        </w:tc>
        <w:tc>
          <w:tcPr>
            <w:tcW w:w="360" w:type="dxa"/>
            <w:vAlign w:val="bottom"/>
            <w:gridSpan w:val="9"/>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S-25</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2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Additional Information</w:t>
            </w:r>
          </w:p>
        </w:tc>
        <w:tc>
          <w:tcPr>
            <w:tcW w:w="4820" w:type="dxa"/>
            <w:vAlign w:val="bottom"/>
            <w:gridSpan w:val="6"/>
            <w:shd w:val="clear" w:color="auto" w:fill="CCEEFF"/>
          </w:tcPr>
          <w:p>
            <w:pPr>
              <w:spacing w:after="0"/>
              <w:rPr>
                <w:sz w:val="16"/>
                <w:szCs w:val="16"/>
                <w:color w:val="auto"/>
              </w:rPr>
            </w:pPr>
          </w:p>
        </w:tc>
        <w:tc>
          <w:tcPr>
            <w:tcW w:w="360" w:type="dxa"/>
            <w:vAlign w:val="bottom"/>
            <w:gridSpan w:val="9"/>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8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w w:val="99"/>
              </w:rPr>
              <w:t>Information Incorporated by Reference</w:t>
            </w:r>
          </w:p>
        </w:tc>
        <w:tc>
          <w:tcPr>
            <w:tcW w:w="420" w:type="dxa"/>
            <w:vAlign w:val="bottom"/>
            <w:gridSpan w:val="3"/>
          </w:tcPr>
          <w:p>
            <w:pPr>
              <w:spacing w:after="0"/>
              <w:rPr>
                <w:sz w:val="16"/>
                <w:szCs w:val="16"/>
                <w:color w:val="auto"/>
              </w:rPr>
            </w:pPr>
          </w:p>
        </w:tc>
        <w:tc>
          <w:tcPr>
            <w:tcW w:w="4820" w:type="dxa"/>
            <w:vAlign w:val="bottom"/>
            <w:gridSpan w:val="6"/>
          </w:tcPr>
          <w:p>
            <w:pPr>
              <w:spacing w:after="0"/>
              <w:rPr>
                <w:sz w:val="16"/>
                <w:szCs w:val="16"/>
                <w:color w:val="auto"/>
              </w:rPr>
            </w:pPr>
          </w:p>
        </w:tc>
        <w:tc>
          <w:tcPr>
            <w:tcW w:w="360" w:type="dxa"/>
            <w:vAlign w:val="bottom"/>
            <w:gridSpan w:val="9"/>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S-26</w:t>
            </w:r>
          </w:p>
        </w:tc>
      </w:tr>
      <w:tr>
        <w:trPr>
          <w:trHeight w:val="628"/>
        </w:trPr>
        <w:tc>
          <w:tcPr>
            <w:tcW w:w="28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5240" w:type="dxa"/>
            <w:vAlign w:val="bottom"/>
            <w:gridSpan w:val="9"/>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64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420" w:type="dxa"/>
            <w:vAlign w:val="bottom"/>
            <w:gridSpan w:val="17"/>
            <w:shd w:val="clear" w:color="auto" w:fill="CCEEFF"/>
          </w:tcPr>
          <w:p>
            <w:pPr>
              <w:spacing w:after="0"/>
              <w:rPr>
                <w:sz w:val="17"/>
                <w:szCs w:val="17"/>
                <w:color w:val="auto"/>
              </w:rPr>
            </w:pPr>
          </w:p>
        </w:tc>
        <w:tc>
          <w:tcPr>
            <w:tcW w:w="280" w:type="dxa"/>
            <w:vAlign w:val="bottom"/>
            <w:gridSpan w:val="6"/>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28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Our Company</w:t>
            </w:r>
          </w:p>
        </w:tc>
        <w:tc>
          <w:tcPr>
            <w:tcW w:w="7040" w:type="dxa"/>
            <w:vAlign w:val="bottom"/>
            <w:gridSpan w:val="22"/>
            <w:shd w:val="clear" w:color="auto" w:fill="CCEEFF"/>
          </w:tcPr>
          <w:p>
            <w:pPr>
              <w:spacing w:after="0"/>
              <w:rPr>
                <w:sz w:val="16"/>
                <w:szCs w:val="16"/>
                <w:color w:val="auto"/>
              </w:rPr>
            </w:pP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7040" w:type="dxa"/>
            <w:vAlign w:val="bottom"/>
            <w:gridSpan w:val="22"/>
          </w:tcPr>
          <w:p>
            <w:pPr>
              <w:spacing w:after="0"/>
              <w:rPr>
                <w:sz w:val="16"/>
                <w:szCs w:val="16"/>
                <w:color w:val="auto"/>
              </w:rPr>
            </w:pPr>
          </w:p>
        </w:tc>
        <w:tc>
          <w:tcPr>
            <w:tcW w:w="28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50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560" w:type="dxa"/>
            <w:vAlign w:val="bottom"/>
            <w:gridSpan w:val="2"/>
          </w:tcPr>
          <w:p>
            <w:pPr>
              <w:spacing w:after="0"/>
              <w:rPr>
                <w:sz w:val="16"/>
                <w:szCs w:val="16"/>
                <w:color w:val="auto"/>
              </w:rPr>
            </w:pP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10</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300" w:type="dxa"/>
            <w:vAlign w:val="bottom"/>
            <w:gridSpan w:val="7"/>
            <w:shd w:val="clear" w:color="auto" w:fill="CCEEFF"/>
          </w:tcPr>
          <w:p>
            <w:pPr>
              <w:jc w:val="center"/>
              <w:ind w:left="30"/>
              <w:spacing w:after="0" w:line="189" w:lineRule="exact"/>
              <w:rPr>
                <w:sz w:val="20"/>
                <w:szCs w:val="20"/>
                <w:color w:val="auto"/>
              </w:rPr>
            </w:pPr>
            <w:r>
              <w:rPr>
                <w:rFonts w:ascii="Times New Roman" w:cs="Times New Roman" w:eastAsia="Times New Roman" w:hAnsi="Times New Roman"/>
                <w:sz w:val="18"/>
                <w:szCs w:val="18"/>
                <w:color w:val="0000EE"/>
                <w:w w:val="99"/>
              </w:rPr>
              <w:t>11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12</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1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880" w:type="dxa"/>
            <w:vAlign w:val="bottom"/>
            <w:gridSpan w:val="14"/>
            <w:shd w:val="clear" w:color="auto" w:fill="CCEEFF"/>
          </w:tcPr>
          <w:p>
            <w:pPr>
              <w:spacing w:after="0"/>
              <w:rPr>
                <w:sz w:val="16"/>
                <w:szCs w:val="16"/>
                <w:color w:val="auto"/>
              </w:rPr>
            </w:pP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23</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1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5880" w:type="dxa"/>
            <w:vAlign w:val="bottom"/>
            <w:gridSpan w:val="14"/>
          </w:tcPr>
          <w:p>
            <w:pPr>
              <w:spacing w:after="0"/>
              <w:rPr>
                <w:sz w:val="16"/>
                <w:szCs w:val="16"/>
                <w:color w:val="auto"/>
              </w:rPr>
            </w:pP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5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5560" w:type="dxa"/>
            <w:vAlign w:val="bottom"/>
            <w:gridSpan w:val="11"/>
            <w:shd w:val="clear" w:color="auto" w:fill="CCEEFF"/>
          </w:tcPr>
          <w:p>
            <w:pPr>
              <w:spacing w:after="0"/>
              <w:rPr>
                <w:sz w:val="16"/>
                <w:szCs w:val="16"/>
                <w:color w:val="auto"/>
              </w:rPr>
            </w:pP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50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5560" w:type="dxa"/>
            <w:vAlign w:val="bottom"/>
            <w:gridSpan w:val="11"/>
          </w:tcPr>
          <w:p>
            <w:pPr>
              <w:spacing w:after="0"/>
              <w:rPr>
                <w:sz w:val="16"/>
                <w:szCs w:val="16"/>
                <w:color w:val="auto"/>
              </w:rPr>
            </w:pP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6600" w:type="dxa"/>
            <w:vAlign w:val="bottom"/>
            <w:gridSpan w:val="18"/>
          </w:tcPr>
          <w:p>
            <w:pPr>
              <w:spacing w:after="0"/>
              <w:rPr>
                <w:sz w:val="16"/>
                <w:szCs w:val="16"/>
                <w:color w:val="auto"/>
              </w:rPr>
            </w:pP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28</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 Holders</w:t>
            </w: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30</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76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300" w:type="dxa"/>
            <w:vAlign w:val="bottom"/>
            <w:gridSpan w:val="15"/>
          </w:tcPr>
          <w:p>
            <w:pPr>
              <w:spacing w:after="0"/>
              <w:rPr>
                <w:sz w:val="16"/>
                <w:szCs w:val="16"/>
                <w:color w:val="auto"/>
              </w:rPr>
            </w:pP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31</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060" w:type="dxa"/>
            <w:vAlign w:val="bottom"/>
            <w:gridSpan w:val="23"/>
            <w:shd w:val="clear" w:color="auto" w:fill="CCEEFF"/>
          </w:tcPr>
          <w:p>
            <w:pPr>
              <w:spacing w:after="0"/>
              <w:rPr>
                <w:sz w:val="16"/>
                <w:szCs w:val="16"/>
                <w:color w:val="auto"/>
              </w:rPr>
            </w:pP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33</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060" w:type="dxa"/>
            <w:vAlign w:val="bottom"/>
            <w:gridSpan w:val="23"/>
          </w:tcPr>
          <w:p>
            <w:pPr>
              <w:spacing w:after="0"/>
              <w:rPr>
                <w:sz w:val="16"/>
                <w:szCs w:val="16"/>
                <w:color w:val="auto"/>
              </w:rPr>
            </w:pP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34</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08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Service of Process and Enforceability of Civil Liabilities</w:t>
            </w:r>
          </w:p>
        </w:tc>
        <w:tc>
          <w:tcPr>
            <w:tcW w:w="3980" w:type="dxa"/>
            <w:vAlign w:val="bottom"/>
            <w:gridSpan w:val="3"/>
            <w:shd w:val="clear" w:color="auto" w:fill="CCEEFF"/>
          </w:tcPr>
          <w:p>
            <w:pPr>
              <w:spacing w:after="0"/>
              <w:rPr>
                <w:sz w:val="16"/>
                <w:szCs w:val="16"/>
                <w:color w:val="auto"/>
              </w:rPr>
            </w:pP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35</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08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980" w:type="dxa"/>
            <w:vAlign w:val="bottom"/>
            <w:gridSpan w:val="3"/>
          </w:tcPr>
          <w:p>
            <w:pPr>
              <w:spacing w:after="0"/>
              <w:rPr>
                <w:sz w:val="16"/>
                <w:szCs w:val="16"/>
                <w:color w:val="auto"/>
              </w:rPr>
            </w:pPr>
          </w:p>
        </w:tc>
        <w:tc>
          <w:tcPr>
            <w:tcW w:w="340" w:type="dxa"/>
            <w:vAlign w:val="bottom"/>
            <w:gridSpan w:val="8"/>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36</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340" w:type="dxa"/>
            <w:vAlign w:val="bottom"/>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37</w:t>
            </w:r>
          </w:p>
        </w:tc>
        <w:tc>
          <w:tcPr>
            <w:tcW w:w="20" w:type="dxa"/>
            <w:vAlign w:val="bottom"/>
            <w:shd w:val="clear" w:color="auto" w:fill="CCEEFF"/>
          </w:tcPr>
          <w:p>
            <w:pPr>
              <w:spacing w:after="0"/>
              <w:rPr>
                <w:sz w:val="16"/>
                <w:szCs w:val="16"/>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0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supersedes the previously filed prospectus supplement dated August 28, 2025 in its entirety. This prospectus supplement adds to, updates and, where applicable, modifies information contained or incorporated by reference in the accompanying prospectus.</w:t>
      </w:r>
    </w:p>
    <w:p>
      <w:pPr>
        <w:spacing w:after="0" w:line="84" w:lineRule="exact"/>
        <w:rPr>
          <w:sz w:val="20"/>
          <w:szCs w:val="20"/>
          <w:color w:val="auto"/>
        </w:rPr>
      </w:pPr>
    </w:p>
    <w:p>
      <w:pPr>
        <w:ind w:left="300" w:right="539" w:firstLine="360"/>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that we are offering, you should carefully read both this prospectus supplement and the accompanying prospectus with all of the information incorporated by reference in this prospectus supplement, as well as the additional information described under the heading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8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79"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supplement, the accompanying prospectus or any document incorporated by reference in this prospectus supplement is accurate only as of their respective dates, regardless of the time of delivery of this prospectus supplement, the accompanying prospectus or the documents incorporated by reference in this prospectus supplement or the accompanying prospectus or the sale of any securities. Our business, financial condition, results of operations and prospects may have changed materially since those dates.</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Neither we nor the sales agents have authorized anyone to provide you with information that is different from that contained in this prospectus supplement, the accompanying prospectus, or any free writing prospectus we may authorize to be delivered or made available to you. Neither we nor the sales agents take responsibility for, or provide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sales agents have taken any action that would permit the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75" w:lineRule="exact"/>
        <w:rPr>
          <w:sz w:val="20"/>
          <w:szCs w:val="20"/>
          <w:color w:val="auto"/>
        </w:rPr>
      </w:pPr>
    </w:p>
    <w:p>
      <w:pPr>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all references in this prospectus supplement to “IREN,” the “Company,” “we,” “our,” “ours,” “us” or similar terms refer to IREN Limited and its subsidiaries.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have unregistered trademarks and service marks, and registered website domains, company and business names that we use in connection with the operation of our business. These include, among others, Iris Energy, IREN and www.iren.com. Other trademarks, service marks, and trade names referenced in this prospectus supplement are, to our knowledge, the property of their respective owners.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references to “U.S. dollars,” “dollars,” “$,” “USD” or “US$” are to the U.S. dollar. All references to “Australian dollars,” “AUD” or “A$” are to the Australian dollar, the official currency of Australia. All references to “Canadian dollars,” “CAD” or “C$” are to the Canadian dollar, the official currency of Canada. All references to “GAAP” are to generally accepted accounting principles in the United States. References to a particular “fiscal year” are to IREN’s fiscal year ended June 30 of that year.</w:t>
      </w:r>
    </w:p>
    <w:p>
      <w:pPr>
        <w:spacing w:after="0" w:line="75"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discrepancies in any table between totals and sums of the amounts listed are due to rounding. Certain monetary amounts, percentages and other figures included in this prospectus supplement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and AI services market, or any other market or industry referenced in this prospectus supplement. We do not intend, and do not assume any obligations, to update industry or market data set forth in this prospectus supplement. Finally, behavior, preferences, and trends in the marketplace tend to change. As a result, investors and prospective investors should be aware that data in this prospectus supplement and estimates based on such data may not be reliable indicators of future results.</w:t>
      </w:r>
    </w:p>
    <w:p>
      <w:pPr>
        <w:spacing w:after="0" w:line="87"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References to “market share” and “market leader” are based on global revenues in the referenced market, and unless otherwise specified herein, are based on certain of the materials referenced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GLOSSARY OF INDUSTRY TERMS AND CONCEPTS</w:t>
      </w:r>
    </w:p>
    <w:p>
      <w:pPr>
        <w:spacing w:after="0" w:line="121" w:lineRule="exact"/>
        <w:rPr>
          <w:sz w:val="20"/>
          <w:szCs w:val="20"/>
          <w:color w:val="auto"/>
        </w:rPr>
      </w:pPr>
    </w:p>
    <w:p>
      <w:pPr>
        <w:ind w:left="1300" w:right="1440" w:firstLine="360"/>
        <w:spacing w:after="0" w:line="282" w:lineRule="auto"/>
        <w:rPr>
          <w:sz w:val="20"/>
          <w:szCs w:val="20"/>
          <w:color w:val="auto"/>
        </w:rPr>
      </w:pPr>
      <w:r>
        <w:rPr>
          <w:rFonts w:ascii="Times New Roman" w:cs="Times New Roman" w:eastAsia="Times New Roman" w:hAnsi="Times New Roman"/>
          <w:sz w:val="18"/>
          <w:szCs w:val="18"/>
          <w:color w:val="auto"/>
        </w:rPr>
        <w:t>Throughout this prospectus supplement, we use a number of industry terms and concepts which are defined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AI Cloud Services</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Platforms that provide access to AI/ML capabilities through cloud-based</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infrastructure.</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AI/ML</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Artificial Intelligence and Machine Learning. Artificial Intelligence (“AI”) is</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computer software that mimics human cognitive abilities in order to perform</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complex tasks, such as decision making, data analysis, language translation</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and a variety of tools and services across the emergent AI industry that have</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been developed to leverage AI capabilities. Machine Learning (“ML”) is a</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subset of AI in which algorithms are trained on data sets to become machine</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learning models capable of performing specific tasks.</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ASICs</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An Application Specific Integrated Circuit is a type of integrated circuit that</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is custom-designed for a particular use, rather than intended for general-</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purpose use.</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Bitcoin</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 system of global, decentralized, scarce, digital money as initially</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introduced in a white paper titled “Bitcoin: A Peer-to-Peer Electronic Cash</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System” published on October 31, 2008, by an individual or group using the</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pseudonym Satoshi Nakamoto.</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Bitcoin network</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collection of all nodes running the Bitcoin protocol. This includes miners</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that use computing power to maintain the ledger and add new blocks to the</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blockchain.</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block</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 bundle of transactions analogous with digital pages in a ledger.</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Transactions are bundled into blocks, which are then added to the ledger.</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Miners are rewarded for “mining” a new block.</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blockchain</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 software program containing a cryptographically secure digital ledger that</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maintains a record of all transactions that occur on the network, that enables</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peer-to-peer transmission of transaction information, and that follows a</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consensus protocol for confirming new blocks to be added to the blockchain.</w:t>
            </w:r>
          </w:p>
        </w:tc>
      </w:tr>
      <w:tr>
        <w:trPr>
          <w:trHeight w:val="243"/>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Board</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board of directors of IREN Limited.</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difficulty</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 the context of Bitcoin mining, a measure of the relative complexity of the</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algorithmic solution required for a miner to mine a block and receive the</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Bitcoin reward. An increase in global hashrate will temporarily result in</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faster block times as the mining algorithm is solved quicker - and vice versa</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if the global hashrate decreases. The Bitcoin network protocol adjusts the</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network difficulty every 2,016 blocks (approximately every two weeks) to</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maintain a target block time of 10 minutes.</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digital asset</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Bitcoin and alternative coins, or “altcoins,” launched after the success of</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Bitcoin. This category is designed to serve functions including as a medium</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of exchange, store of value, and/or to power applications.</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EH/s</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Exahash per second. 1 EH/s equals on quintillion hashes per second</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(1,000,000,000,000,000,000 h/s).</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fiat currency</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 government issued currency that is not backed by a physical commodity,</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such as gold or silver, but rather by the government that issued it.</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fork</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 fundamental change to the software underlying a blockchain which may</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result in two different blockchains, the original, and the new version, each</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with their own token.</w:t>
            </w:r>
          </w:p>
        </w:tc>
      </w:tr>
      <w:tr>
        <w:trPr>
          <w:trHeight w:val="225"/>
        </w:trPr>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GPUs</w:t>
            </w: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Graphics processing units are a type of computing technology designed for</w:t>
            </w:r>
          </w:p>
        </w:tc>
      </w:tr>
      <w:tr>
        <w:trPr>
          <w:trHeight w:val="216"/>
        </w:trPr>
        <w:tc>
          <w:tcPr>
            <w:tcW w:w="3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parallel processing, which can be used in a wide range of applications,</w:t>
            </w:r>
          </w:p>
        </w:tc>
      </w:tr>
      <w:tr>
        <w:trPr>
          <w:trHeight w:val="234"/>
        </w:trPr>
        <w:tc>
          <w:tcPr>
            <w:tcW w:w="3360" w:type="dxa"/>
            <w:vAlign w:val="bottom"/>
          </w:tcPr>
          <w:p>
            <w:pPr>
              <w:spacing w:after="0"/>
              <w:rPr>
                <w:sz w:val="20"/>
                <w:szCs w:val="20"/>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including graphics and video rendering, gaming, creative production and AI.</w:t>
            </w:r>
          </w:p>
        </w:tc>
      </w:tr>
      <w:tr>
        <w:trPr>
          <w:trHeight w:val="486"/>
        </w:trPr>
        <w:tc>
          <w:tcPr>
            <w:tcW w:w="3360" w:type="dxa"/>
            <w:vAlign w:val="bottom"/>
          </w:tcPr>
          <w:p>
            <w:pPr>
              <w:spacing w:after="0"/>
              <w:rPr>
                <w:sz w:val="24"/>
                <w:szCs w:val="24"/>
                <w:color w:val="auto"/>
              </w:rPr>
            </w:pPr>
          </w:p>
        </w:tc>
        <w:tc>
          <w:tcPr>
            <w:tcW w:w="7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S-iv</w:t>
            </w:r>
          </w:p>
        </w:tc>
      </w:tr>
      <w:tr>
        <w:trPr>
          <w:trHeight w:val="183"/>
        </w:trPr>
        <w:tc>
          <w:tcPr>
            <w:tcW w:w="3360" w:type="dxa"/>
            <w:vAlign w:val="bottom"/>
            <w:tcBorders>
              <w:bottom w:val="single" w:sz="8" w:color="auto"/>
            </w:tcBorders>
          </w:tcPr>
          <w:p>
            <w:pPr>
              <w:spacing w:after="0"/>
              <w:rPr>
                <w:sz w:val="15"/>
                <w:szCs w:val="15"/>
                <w:color w:val="auto"/>
              </w:rPr>
            </w:pPr>
          </w:p>
        </w:tc>
        <w:tc>
          <w:tcPr>
            <w:tcW w:w="76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20" w:type="dxa"/>
            <w:vAlign w:val="bottom"/>
          </w:tcPr>
          <w:p>
            <w:pPr>
              <w:spacing w:after="0"/>
              <w:rPr>
                <w:sz w:val="13"/>
                <w:szCs w:val="13"/>
                <w:color w:val="auto"/>
              </w:rPr>
            </w:pPr>
          </w:p>
        </w:tc>
        <w:tc>
          <w:tcPr>
            <w:tcW w:w="7560" w:type="dxa"/>
            <w:vAlign w:val="bottom"/>
          </w:tcPr>
          <w:p>
            <w:pPr>
              <w:spacing w:after="0"/>
              <w:rPr>
                <w:sz w:val="13"/>
                <w:szCs w:val="13"/>
                <w:color w:val="auto"/>
              </w:rPr>
            </w:pPr>
          </w:p>
        </w:tc>
      </w:tr>
      <w:tr>
        <w:trPr>
          <w:trHeight w:val="434"/>
        </w:trPr>
        <w:tc>
          <w:tcPr>
            <w:tcW w:w="130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hash</w:t>
            </w: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 compute a function that takes an input, and then outputs an alphanumeric</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string known as the “hash value.”</w:t>
            </w:r>
          </w:p>
        </w:tc>
      </w:tr>
      <w:tr>
        <w:trPr>
          <w:trHeight w:val="225"/>
        </w:trPr>
        <w:tc>
          <w:tcPr>
            <w:tcW w:w="13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hashrate</w:t>
            </w: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speed at which a miner can produce computations (hashes) using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Bitcoin network’s algorithm, expressed in hashes per second. The hashrate of</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all miners on a particular network is referred to as the global hashrate.</w:t>
            </w:r>
          </w:p>
        </w:tc>
      </w:tr>
      <w:tr>
        <w:trPr>
          <w:trHeight w:val="225"/>
        </w:trPr>
        <w:tc>
          <w:tcPr>
            <w:tcW w:w="13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HPC</w:t>
            </w: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High-performance computing, which refers to the aggregation of computing</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power to achieve higher performance levels, often utilized to perform</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complex calculations in fields including science, engineering, finance, AI/ML</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and business. It typically involves using supercomputers or clusters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computers, often employing parallel processing, to perform calculations</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simultaneously, thereby greatly reducing computation time.</w:t>
            </w:r>
          </w:p>
        </w:tc>
      </w:tr>
      <w:tr>
        <w:trPr>
          <w:trHeight w:val="225"/>
        </w:trPr>
        <w:tc>
          <w:tcPr>
            <w:tcW w:w="13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w:t>
            </w: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Individuals or entities who operate a computer or group of computers that</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compete to mine blocks. Bitcoin miners who successfully mine blocks are</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rewarded with new Bitcoin as well as any transaction fees.</w:t>
            </w:r>
          </w:p>
        </w:tc>
      </w:tr>
      <w:tr>
        <w:trPr>
          <w:trHeight w:val="225"/>
        </w:trPr>
        <w:tc>
          <w:tcPr>
            <w:tcW w:w="13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mining</w:t>
            </w: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process by which new Bitcoin blocks are created, and thus new</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transactions are added to the blockchain in the Bitcoin network.</w:t>
            </w:r>
          </w:p>
        </w:tc>
      </w:tr>
      <w:tr>
        <w:trPr>
          <w:trHeight w:val="225"/>
        </w:trPr>
        <w:tc>
          <w:tcPr>
            <w:tcW w:w="13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mining pools</w:t>
            </w: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Mining pools are platforms for miners to contribute their hashrate in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exchange for digital assets, including Bitcoin, and in some cases regardless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whether the pool effectively mines any block. Miners tend to join pools to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increase payout frequency, with pools generally offering daily payouts, and to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externalize to the pool the risk of a block taking longer than statistically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expected from the network difficulty. Mining pools offers these services in</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exchange for a fee.</w:t>
            </w:r>
          </w:p>
        </w:tc>
      </w:tr>
      <w:tr>
        <w:trPr>
          <w:trHeight w:val="225"/>
        </w:trPr>
        <w:tc>
          <w:tcPr>
            <w:tcW w:w="13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proof-of-stake</w:t>
            </w: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 alternative consensus protocol, in which a “validator” typically may use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their own digital assets to validate transactions or blocks. Validators may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“stake” their digital assets on whichever transactions they choose to validate.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If a validator validates a block (group of transactions) correctly, it will</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receive a reward. Typically, if a validator verifies an incorrect transaction, it</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may lose the digital assets that it staked. Proof-of-stake generally requires a</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negligible amount of computing power compared to proof-of-work.</w:t>
            </w:r>
          </w:p>
        </w:tc>
      </w:tr>
      <w:tr>
        <w:trPr>
          <w:trHeight w:val="225"/>
        </w:trPr>
        <w:tc>
          <w:tcPr>
            <w:tcW w:w="13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proof-of-work</w:t>
            </w: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 protocol for establishing consensus across a system that ties mining</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capability to computational power. Hashing a block, which is in itself an easy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computational process, now requires each miner to solve for a certain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difficulty variable periodically adjusted by the Bitcoin network protocol. In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effect, the process of hashing each block becomes a competition and, as a</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result, the overall process of hashing requires time and computational effort.</w:t>
            </w:r>
          </w:p>
        </w:tc>
      </w:tr>
      <w:tr>
        <w:trPr>
          <w:trHeight w:val="243"/>
        </w:trPr>
        <w:tc>
          <w:tcPr>
            <w:tcW w:w="1300" w:type="dxa"/>
            <w:vAlign w:val="bottom"/>
          </w:tcPr>
          <w:p>
            <w:pPr>
              <w:spacing w:after="0"/>
              <w:rPr>
                <w:sz w:val="21"/>
                <w:szCs w:val="21"/>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protocol</w:t>
            </w: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software that governs how a blockchain operates.</w:t>
            </w:r>
          </w:p>
        </w:tc>
      </w:tr>
      <w:tr>
        <w:trPr>
          <w:trHeight w:val="243"/>
        </w:trPr>
        <w:tc>
          <w:tcPr>
            <w:tcW w:w="1300" w:type="dxa"/>
            <w:vAlign w:val="bottom"/>
          </w:tcPr>
          <w:p>
            <w:pPr>
              <w:spacing w:after="0"/>
              <w:rPr>
                <w:sz w:val="21"/>
                <w:szCs w:val="21"/>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w:t>
            </w: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Renewable Energy Certificate.</w:t>
            </w:r>
          </w:p>
        </w:tc>
      </w:tr>
      <w:tr>
        <w:trPr>
          <w:trHeight w:val="243"/>
        </w:trPr>
        <w:tc>
          <w:tcPr>
            <w:tcW w:w="1300" w:type="dxa"/>
            <w:vAlign w:val="bottom"/>
          </w:tcPr>
          <w:p>
            <w:pPr>
              <w:spacing w:after="0"/>
              <w:rPr>
                <w:sz w:val="21"/>
                <w:szCs w:val="21"/>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w:t>
            </w:r>
          </w:p>
        </w:tc>
        <w:tc>
          <w:tcPr>
            <w:tcW w:w="7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S-v</w:t>
            </w: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5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287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628777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ind w:left="320" w:right="339" w:firstLine="360"/>
        <w:spacing w:after="0" w:line="281"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supplement or incorporated by reference in this prospectus supplement. This summary may not contain all the information that may be important to you, and we urge you to read this entire prospectus supplement, the accompanying prospectus and the documents incorporated by reference in this prospectus supplement carefully before deciding to invest in our securities.</w:t>
      </w: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20" w:right="379" w:firstLine="360"/>
        <w:spacing w:after="0" w:line="266" w:lineRule="auto"/>
        <w:rPr>
          <w:sz w:val="20"/>
          <w:szCs w:val="20"/>
          <w:color w:val="auto"/>
        </w:rPr>
      </w:pPr>
      <w:r>
        <w:rPr>
          <w:rFonts w:ascii="Times New Roman" w:cs="Times New Roman" w:eastAsia="Times New Roman" w:hAnsi="Times New Roman"/>
          <w:sz w:val="18"/>
          <w:szCs w:val="18"/>
          <w:color w:val="auto"/>
        </w:rPr>
        <w:t>We are a vertically integrated AI Cloud provider, delivering large-scale data centers and GPU clusters for AI training and inference. Our platform is underpinned by our expansive portfolio of grid-connected land and power in renewable-rich regions across the U.S. and Canada.</w:t>
      </w:r>
    </w:p>
    <w:p>
      <w:pPr>
        <w:spacing w:after="0" w:line="68" w:lineRule="exact"/>
        <w:rPr>
          <w:sz w:val="20"/>
          <w:szCs w:val="20"/>
          <w:color w:val="auto"/>
        </w:rPr>
      </w:pPr>
    </w:p>
    <w:p>
      <w:pPr>
        <w:ind w:left="320" w:right="379" w:firstLine="360"/>
        <w:spacing w:after="0" w:line="261" w:lineRule="auto"/>
        <w:rPr>
          <w:sz w:val="20"/>
          <w:szCs w:val="20"/>
          <w:color w:val="auto"/>
        </w:rPr>
      </w:pPr>
      <w:r>
        <w:rPr>
          <w:rFonts w:ascii="Times New Roman" w:cs="Times New Roman" w:eastAsia="Times New Roman" w:hAnsi="Times New Roman"/>
          <w:sz w:val="18"/>
          <w:szCs w:val="18"/>
          <w:color w:val="auto"/>
        </w:rPr>
        <w:t>During the quarter ended September 30, 2025, we revised our reportable segments to better align with our evolving business operations and strategic objectives. Accordingly, comparative information for prior periods has been recast to conform to the current-period presentation. Previously, we operated and reported as a single segment. We now have two reportable business segments: AI Cloud Services and Bitcoin mining.</w:t>
      </w:r>
    </w:p>
    <w:p>
      <w:pPr>
        <w:spacing w:after="0" w:line="72" w:lineRule="exact"/>
        <w:rPr>
          <w:sz w:val="20"/>
          <w:szCs w:val="20"/>
          <w:color w:val="auto"/>
        </w:rPr>
      </w:pPr>
    </w:p>
    <w:p>
      <w:pPr>
        <w:ind w:left="320" w:right="419" w:firstLine="360"/>
        <w:spacing w:after="0" w:line="266" w:lineRule="auto"/>
        <w:rPr>
          <w:sz w:val="20"/>
          <w:szCs w:val="20"/>
          <w:color w:val="auto"/>
        </w:rPr>
      </w:pPr>
      <w:r>
        <w:rPr>
          <w:rFonts w:ascii="Times New Roman" w:cs="Times New Roman" w:eastAsia="Times New Roman" w:hAnsi="Times New Roman"/>
          <w:sz w:val="18"/>
          <w:szCs w:val="18"/>
          <w:color w:val="auto"/>
        </w:rPr>
        <w:t>Our AI Cloud Services operations generate revenue by providing access to cloud-based GPU computing to customers for AI training and inference workloads. As of December 31, 2025, we had approximately 99,900 GPUs installed or on order for our data centers.</w:t>
      </w:r>
    </w:p>
    <w:p>
      <w:pPr>
        <w:spacing w:after="0" w:line="68" w:lineRule="exact"/>
        <w:rPr>
          <w:sz w:val="20"/>
          <w:szCs w:val="20"/>
          <w:color w:val="auto"/>
        </w:rPr>
      </w:pPr>
    </w:p>
    <w:p>
      <w:pPr>
        <w:ind w:left="320" w:right="339" w:firstLine="360"/>
        <w:spacing w:after="0" w:line="258" w:lineRule="auto"/>
        <w:rPr>
          <w:sz w:val="20"/>
          <w:szCs w:val="20"/>
          <w:color w:val="auto"/>
        </w:rPr>
      </w:pPr>
      <w:r>
        <w:rPr>
          <w:rFonts w:ascii="Times New Roman" w:cs="Times New Roman" w:eastAsia="Times New Roman" w:hAnsi="Times New Roman"/>
          <w:sz w:val="18"/>
          <w:szCs w:val="18"/>
          <w:color w:val="auto"/>
        </w:rPr>
        <w:t>Our Bitcoin mining operations generate revenue by earning Bitcoin through a combination of Block rewards and transaction fees from the operation of our Bitcoin miners and exchanging these Bitcoin for fiat currencies such as USD or CAD. We typically liquidate all the Bitcoin we mine daily and therefore did not have any Bitcoin held on our balance sheet as of December 31, 2025. As of December 31, 2025, we had installed hashrate capacity of approximately 46 EH/s.</w:t>
      </w:r>
    </w:p>
    <w:p>
      <w:pPr>
        <w:spacing w:after="0" w:line="75" w:lineRule="exact"/>
        <w:rPr>
          <w:sz w:val="20"/>
          <w:szCs w:val="20"/>
          <w:color w:val="auto"/>
        </w:rPr>
      </w:pPr>
    </w:p>
    <w:p>
      <w:pPr>
        <w:ind w:left="320" w:right="379" w:firstLine="360"/>
        <w:spacing w:after="0" w:line="266" w:lineRule="auto"/>
        <w:rPr>
          <w:sz w:val="20"/>
          <w:szCs w:val="20"/>
          <w:color w:val="auto"/>
        </w:rPr>
      </w:pPr>
      <w:r>
        <w:rPr>
          <w:rFonts w:ascii="Times New Roman" w:cs="Times New Roman" w:eastAsia="Times New Roman" w:hAnsi="Times New Roman"/>
          <w:sz w:val="18"/>
          <w:szCs w:val="18"/>
          <w:color w:val="auto"/>
        </w:rPr>
        <w:t>We are also pursuing a strategy of expanding and diversifying our revenue sources into other HPC and AI services beyond AI Cloud Services, including through the development of purpose-built AI data centers, potentially for colocation.</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21" w:lineRule="exact"/>
        <w:rPr>
          <w:sz w:val="20"/>
          <w:szCs w:val="20"/>
          <w:color w:val="auto"/>
        </w:rPr>
      </w:pPr>
    </w:p>
    <w:p>
      <w:pPr>
        <w:ind w:left="320" w:right="839" w:firstLine="360"/>
        <w:spacing w:after="0" w:line="266" w:lineRule="auto"/>
        <w:rPr>
          <w:sz w:val="20"/>
          <w:szCs w:val="20"/>
          <w:color w:val="auto"/>
        </w:rPr>
      </w:pPr>
      <w:r>
        <w:rPr>
          <w:rFonts w:ascii="Times New Roman" w:cs="Times New Roman" w:eastAsia="Times New Roman" w:hAnsi="Times New Roman"/>
          <w:sz w:val="18"/>
          <w:szCs w:val="18"/>
          <w:color w:val="auto"/>
        </w:rPr>
        <w:t>We report to our shareholders in compliance with U.S. securities laws as applicable to a U.S. domestic company and our ordinary shares are solely listed on the Nasdaq in the United States, under the trading ticker “IREN.”</w:t>
      </w:r>
    </w:p>
    <w:p>
      <w:pPr>
        <w:spacing w:after="0" w:line="68" w:lineRule="exact"/>
        <w:rPr>
          <w:sz w:val="20"/>
          <w:szCs w:val="20"/>
          <w:color w:val="auto"/>
        </w:rPr>
      </w:pPr>
    </w:p>
    <w:p>
      <w:pPr>
        <w:ind w:left="320" w:right="379" w:firstLine="360"/>
        <w:spacing w:after="0" w:line="256" w:lineRule="auto"/>
        <w:rPr>
          <w:sz w:val="20"/>
          <w:szCs w:val="20"/>
          <w:color w:val="auto"/>
        </w:rPr>
      </w:pPr>
      <w:r>
        <w:rPr>
          <w:rFonts w:ascii="Times New Roman" w:cs="Times New Roman" w:eastAsia="Times New Roman" w:hAnsi="Times New Roman"/>
          <w:sz w:val="18"/>
          <w:szCs w:val="18"/>
          <w:color w:val="auto"/>
        </w:rPr>
        <w:t>Our operations, assets and customers are predominantly in the United States, where we maintain office locations at 620 Farm-to-Market Road, Childress, Texas, and 1411 Broadway, New York, New York. Our principal executive offices are located at Level 5, 55 Market Street, Sydney, Australia, and our telephone number is +61 2 7906 8301. Our agent for service of process in the United States is Cogency Global Inc., 122 E. 42nd Street, 18th Floor, New York, New York 10168. The address of our website is www.iren.com. The information on, or accessible through, our website is not part of this prospectus supplement or the accompanying prospectus.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5147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51473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1" w:lineRule="exact"/>
        <w:rPr>
          <w:sz w:val="20"/>
          <w:szCs w:val="20"/>
          <w:color w:val="auto"/>
        </w:rPr>
      </w:pPr>
    </w:p>
    <w:p>
      <w:pPr>
        <w:ind w:left="320"/>
        <w:spacing w:after="0"/>
        <w:tabs>
          <w:tab w:leader="none" w:pos="4620" w:val="left"/>
        </w:tabs>
        <w:rPr>
          <w:sz w:val="20"/>
          <w:szCs w:val="20"/>
          <w:color w:val="auto"/>
        </w:rPr>
      </w:pPr>
      <w:r>
        <w:rPr>
          <w:rFonts w:ascii="Times New Roman" w:cs="Times New Roman" w:eastAsia="Times New Roman" w:hAnsi="Times New Roman"/>
          <w:sz w:val="18"/>
          <w:szCs w:val="18"/>
          <w:b w:val="1"/>
          <w:bCs w:val="1"/>
          <w:color w:val="auto"/>
        </w:rPr>
        <w:t>Ordinary shares offered by us</w:t>
      </w:r>
      <w:r>
        <w:rPr>
          <w:sz w:val="20"/>
          <w:szCs w:val="20"/>
          <w:color w:val="auto"/>
        </w:rPr>
        <w:tab/>
      </w:r>
      <w:r>
        <w:rPr>
          <w:rFonts w:ascii="Times New Roman" w:cs="Times New Roman" w:eastAsia="Times New Roman" w:hAnsi="Times New Roman"/>
          <w:sz w:val="17"/>
          <w:szCs w:val="17"/>
          <w:color w:val="auto"/>
        </w:rPr>
        <w:t>Ordinary shares having an aggregate offering price of up</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to $6,000,000,000.</w:t>
      </w:r>
    </w:p>
    <w:p>
      <w:pPr>
        <w:sectPr>
          <w:pgSz w:w="11900" w:h="16838" w:orient="portrait"/>
          <w:cols w:equalWidth="0" w:num="1">
            <w:col w:w="9019"/>
          </w:cols>
          <w:pgMar w:left="1440" w:top="263" w:right="1440" w:bottom="1440" w:gutter="0" w:footer="0" w:header="0"/>
        </w:sectPr>
      </w:pPr>
    </w:p>
    <w:p>
      <w:pPr>
        <w:spacing w:after="0" w:line="95" w:lineRule="exact"/>
        <w:rPr>
          <w:sz w:val="20"/>
          <w:szCs w:val="20"/>
          <w:color w:val="auto"/>
        </w:rPr>
      </w:pPr>
    </w:p>
    <w:p>
      <w:pPr>
        <w:ind w:left="320"/>
        <w:spacing w:after="0" w:line="458" w:lineRule="auto"/>
        <w:rPr>
          <w:sz w:val="20"/>
          <w:szCs w:val="20"/>
          <w:color w:val="auto"/>
        </w:rPr>
      </w:pPr>
      <w:r>
        <w:rPr>
          <w:rFonts w:ascii="Times New Roman" w:cs="Times New Roman" w:eastAsia="Times New Roman" w:hAnsi="Times New Roman"/>
          <w:sz w:val="18"/>
          <w:szCs w:val="18"/>
          <w:b w:val="1"/>
          <w:bCs w:val="1"/>
          <w:color w:val="auto"/>
        </w:rPr>
        <w:t>Ordinary shares outstanding as of January 30, 2026 Plan of distribution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332,280,383 shares.</w:t>
      </w:r>
    </w:p>
    <w:p>
      <w:pPr>
        <w:spacing w:after="0" w:line="158" w:lineRule="exact"/>
        <w:rPr>
          <w:sz w:val="20"/>
          <w:szCs w:val="20"/>
          <w:color w:val="auto"/>
        </w:rPr>
      </w:pPr>
    </w:p>
    <w:p>
      <w:pPr>
        <w:ind w:right="319"/>
        <w:spacing w:after="0" w:line="261"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or to the sales agents, as agent or principal. See “Plan of Distribution” on page S-</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of this prospectus supplement.</w:t>
      </w:r>
    </w:p>
    <w:p>
      <w:pPr>
        <w:spacing w:after="0" w:line="95" w:lineRule="exact"/>
        <w:rPr>
          <w:sz w:val="20"/>
          <w:szCs w:val="20"/>
          <w:color w:val="auto"/>
        </w:rPr>
      </w:pPr>
    </w:p>
    <w:p>
      <w:pPr>
        <w:sectPr>
          <w:pgSz w:w="11900" w:h="16838" w:orient="portrait"/>
          <w:cols w:equalWidth="0" w:num="2">
            <w:col w:w="4280" w:space="360"/>
            <w:col w:w="4379"/>
          </w:cols>
          <w:pgMar w:left="1440" w:top="263" w:right="1440" w:bottom="1440" w:gutter="0" w:footer="0" w:header="0"/>
          <w:type w:val="continuous"/>
        </w:sectPr>
      </w:pPr>
    </w:p>
    <w:tbl>
      <w:tblPr>
        <w:tblLayout w:type="fixed"/>
        <w:tblInd w:w="320" w:type="dxa"/>
        <w:tblCellMar>
          <w:top w:w="0" w:type="dxa"/>
          <w:left w:w="0" w:type="dxa"/>
          <w:bottom w:w="0" w:type="dxa"/>
          <w:right w:w="0" w:type="dxa"/>
        </w:tblCellMar>
      </w:tblPr>
      <w:tr>
        <w:trPr>
          <w:trHeight w:val="220"/>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We currently intend to use the net proceeds from this</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offering, if any, to contribute to funding our growth</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initiatives (including, but not limited to, hardware</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purchases and acquisition and development of data</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center sites and facilities), and for working capital and</w:t>
            </w:r>
          </w:p>
        </w:tc>
      </w:tr>
      <w:tr>
        <w:trPr>
          <w:trHeight w:val="234"/>
        </w:trPr>
        <w:tc>
          <w:tcPr>
            <w:tcW w:w="2740" w:type="dxa"/>
            <w:vAlign w:val="bottom"/>
          </w:tcPr>
          <w:p>
            <w:pPr>
              <w:spacing w:after="0"/>
              <w:rPr>
                <w:sz w:val="20"/>
                <w:szCs w:val="20"/>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general corporate purposes. See “Use of Proceeds.”</w:t>
            </w:r>
          </w:p>
        </w:tc>
      </w:tr>
      <w:tr>
        <w:trPr>
          <w:trHeight w:val="346"/>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w w:val="99"/>
              </w:rPr>
              <w:t>Investing in our ordinary shares involves a high degree</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of risk. See the “Risk Factors” section beginning on</w:t>
            </w:r>
          </w:p>
        </w:tc>
      </w:tr>
      <w:tr>
        <w:trPr>
          <w:trHeight w:val="194"/>
        </w:trPr>
        <w:tc>
          <w:tcPr>
            <w:tcW w:w="2740" w:type="dxa"/>
            <w:vAlign w:val="bottom"/>
          </w:tcPr>
          <w:p>
            <w:pPr>
              <w:spacing w:after="0"/>
              <w:rPr>
                <w:sz w:val="16"/>
                <w:szCs w:val="16"/>
                <w:color w:val="auto"/>
              </w:rPr>
            </w:pPr>
          </w:p>
        </w:tc>
        <w:tc>
          <w:tcPr>
            <w:tcW w:w="5540" w:type="dxa"/>
            <w:vAlign w:val="bottom"/>
            <w:gridSpan w:val="3"/>
          </w:tcPr>
          <w:p>
            <w:pPr>
              <w:ind w:left="1580"/>
              <w:spacing w:after="0" w:line="194" w:lineRule="exact"/>
              <w:rPr>
                <w:sz w:val="20"/>
                <w:szCs w:val="20"/>
                <w:color w:val="auto"/>
              </w:rPr>
            </w:pPr>
            <w:r>
              <w:rPr>
                <w:rFonts w:ascii="Times New Roman" w:cs="Times New Roman" w:eastAsia="Times New Roman" w:hAnsi="Times New Roman"/>
                <w:sz w:val="18"/>
                <w:szCs w:val="18"/>
                <w:color w:val="auto"/>
              </w:rPr>
              <w:t>page S-</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color w:val="auto"/>
              </w:rPr>
              <w:t xml:space="preserve"> of this prospectus supplement and in the</w:t>
            </w:r>
          </w:p>
        </w:tc>
      </w:tr>
      <w:tr>
        <w:trPr>
          <w:trHeight w:val="20"/>
        </w:trPr>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8"/>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w w:val="99"/>
              </w:rPr>
              <w:t>documents incorporated by reference in this prospectus</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supplement and the accompanying prospectus for a</w:t>
            </w:r>
          </w:p>
        </w:tc>
      </w:tr>
      <w:tr>
        <w:trPr>
          <w:trHeight w:val="216"/>
        </w:trPr>
        <w:tc>
          <w:tcPr>
            <w:tcW w:w="2740" w:type="dxa"/>
            <w:vAlign w:val="bottom"/>
          </w:tcPr>
          <w:p>
            <w:pPr>
              <w:spacing w:after="0"/>
              <w:rPr>
                <w:sz w:val="18"/>
                <w:szCs w:val="18"/>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discussion of factors you should consider before</w:t>
            </w:r>
          </w:p>
        </w:tc>
      </w:tr>
      <w:tr>
        <w:trPr>
          <w:trHeight w:val="234"/>
        </w:trPr>
        <w:tc>
          <w:tcPr>
            <w:tcW w:w="2740" w:type="dxa"/>
            <w:vAlign w:val="bottom"/>
          </w:tcPr>
          <w:p>
            <w:pPr>
              <w:spacing w:after="0"/>
              <w:rPr>
                <w:sz w:val="20"/>
                <w:szCs w:val="20"/>
                <w:color w:val="auto"/>
              </w:rPr>
            </w:pP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deciding to invest in our ordinary shares.</w:t>
            </w:r>
          </w:p>
        </w:tc>
      </w:tr>
      <w:tr>
        <w:trPr>
          <w:trHeight w:val="364"/>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symbol</w:t>
            </w:r>
          </w:p>
        </w:tc>
        <w:tc>
          <w:tcPr>
            <w:tcW w:w="55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“IREN”</w:t>
            </w:r>
          </w:p>
        </w:tc>
      </w:tr>
    </w:tbl>
    <w:p>
      <w:pPr>
        <w:spacing w:after="0" w:line="90" w:lineRule="exact"/>
        <w:rPr>
          <w:sz w:val="20"/>
          <w:szCs w:val="20"/>
          <w:color w:val="auto"/>
        </w:rPr>
      </w:pPr>
    </w:p>
    <w:p>
      <w:pPr>
        <w:ind w:left="320" w:right="699" w:firstLine="360"/>
        <w:spacing w:after="0" w:line="282" w:lineRule="auto"/>
        <w:rPr>
          <w:sz w:val="20"/>
          <w:szCs w:val="20"/>
          <w:color w:val="auto"/>
        </w:rPr>
      </w:pPr>
      <w:r>
        <w:rPr>
          <w:rFonts w:ascii="Times New Roman" w:cs="Times New Roman" w:eastAsia="Times New Roman" w:hAnsi="Times New Roman"/>
          <w:sz w:val="18"/>
          <w:szCs w:val="18"/>
          <w:color w:val="auto"/>
        </w:rPr>
        <w:t>The number of ordinary shares outstanding before and after this offering is based on 332,280,383 ordinary shares outstanding as of January 30, 2026, and excludes:</w:t>
      </w:r>
    </w:p>
    <w:p>
      <w:pPr>
        <w:spacing w:after="0" w:line="54" w:lineRule="exact"/>
        <w:rPr>
          <w:sz w:val="20"/>
          <w:szCs w:val="20"/>
          <w:color w:val="auto"/>
        </w:rPr>
      </w:pPr>
    </w:p>
    <w:p>
      <w:pPr>
        <w:ind w:left="1020" w:right="299" w:hanging="350"/>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4,987,244 ordinary shares issuable upon the exercise of options outstanding under our share issuance plans as of January 30, 2026, at a weighted-average exercise price of $72.70 per share;</w:t>
      </w:r>
    </w:p>
    <w:p>
      <w:pPr>
        <w:spacing w:after="0" w:line="53" w:lineRule="exact"/>
        <w:rPr>
          <w:rFonts w:ascii="Times New Roman" w:cs="Times New Roman" w:eastAsia="Times New Roman" w:hAnsi="Times New Roman"/>
          <w:sz w:val="18"/>
          <w:szCs w:val="18"/>
          <w:color w:val="auto"/>
        </w:rPr>
      </w:pPr>
    </w:p>
    <w:p>
      <w:pPr>
        <w:ind w:left="1020" w:right="599" w:hanging="350"/>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20,295,401 ordinary shares issuable upon vesting of restricted share units outstanding under our Long-Term Incentive Plans as of January 30, 2026; and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111,244,042 ordinary shares issuable upon conversion of our Convertible Notes (as defined below).</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39"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risk. Before making a decision to invest in our securities, you should carefully consider the following risks and those in our then-most recent Annual Report on Form 10-K, and any updates to those risk factors in our Quarterly Reports on Form 10-Q and Current Reports on Form 8-K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ordinary shares. We cannot assure you that we will be able to sell ordinary shares or other securities in any other offering at a price per ordinary share that is equal to or greater than the price per ordinary share paid by investors in this offering, and investors purchasing ordinary shares or other securities in the future could have rights superior to existing shareholders. The price per ordinary share at which we sell additional ordinary shares or other securities convertible into or exchangeable for ordinary shares in future transactions may be higher or lower than the price per ordinary share in this offering.</w:t>
      </w:r>
    </w:p>
    <w:p>
      <w:pPr>
        <w:spacing w:after="0" w:line="185" w:lineRule="exact"/>
        <w:rPr>
          <w:sz w:val="20"/>
          <w:szCs w:val="20"/>
          <w:color w:val="auto"/>
        </w:rPr>
      </w:pPr>
    </w:p>
    <w:p>
      <w:pPr>
        <w:ind w:left="300" w:right="9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ordinary shares we will sell under the sales agreement and the resulting gross proceeds are uncertain.</w:t>
      </w:r>
    </w:p>
    <w:p>
      <w:pPr>
        <w:spacing w:after="0" w:line="51"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Subject to certain limitations in the sales agreement and compliance with applicable law, we have the discretion to deliver a placement notice to the sales agents at any time throughout the term of the sales agreement. The number of ordinary shares that are sold by the sales agents after we deliver a placement notice will fluctuate based on the market price of our ordinary shares during the sales period and limits we set in the placement notice. Because the price per share sold will fluctuate based on the market price of our ordinary shares during the sales period, it is not possible to predict the number of ordinary shares that will be ultimately sold or the resulting gross proceeds.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ordinary shares offered in this offering will be sold in “at the market offerings.”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Investors who purchase our ordinary shares in this offering at different times will likely pay different prices, and so may experience different outcomes in their investment results. We will have discretion, subject to market demand, to vary the timing, prices and numbers of ordinary shares sold, and subject to certain limitations in the sales agreement, there is no minimum or maximum sales price. Investors may experience a decline in the value of their ordinary shares and dilution as a result of sales made at prices lower than the prices they paid.</w:t>
      </w:r>
    </w:p>
    <w:p>
      <w:pPr>
        <w:spacing w:after="0" w:line="179" w:lineRule="exact"/>
        <w:rPr>
          <w:sz w:val="20"/>
          <w:szCs w:val="20"/>
          <w:color w:val="auto"/>
        </w:rPr>
      </w:pPr>
    </w:p>
    <w:p>
      <w:pPr>
        <w:ind w:left="300" w:right="9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ordinary shares could adversely affect the market price of our ordinary shares.</w:t>
      </w:r>
    </w:p>
    <w:p>
      <w:pPr>
        <w:spacing w:after="0" w:line="5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our ordinary shares at prices that may not be the same as the price per share in this offering. Additionally, the sale of a substantial number of ordinary shares pursuant to this offering, or the anticipation of such sales, could make it more difficult for us to sell equity or equity-related securities in the future at a time and at a price that we might otherwise wish to effect sales. For example, from January 2025 through September 2025, we sold an aggregate of 66,707,732 ordinary shares pursuant to the sales agreement at varying prices, generating an aggregate of approximately $1.0 billion in gross proceeds, and we may sell an additional $6.0 billion of ordinary shares under the sales agreement from time to time pursuant to this prospectus supplement.</w:t>
      </w:r>
    </w:p>
    <w:p>
      <w:pPr>
        <w:spacing w:after="0" w:line="84" w:lineRule="exact"/>
        <w:rPr>
          <w:sz w:val="20"/>
          <w:szCs w:val="20"/>
          <w:color w:val="auto"/>
        </w:rPr>
      </w:pPr>
    </w:p>
    <w:p>
      <w:pPr>
        <w:jc w:val="both"/>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Further, pursuant to the sales agreement, we may offer and sell ordinary shares from time to time through or to the sales agents in an amount not to exceed the lesser of the amount registered on an effective registration statement and for which we have filed a prospectus, and the amount authorized from time to time to be issued and sold under the sales agreement by the Board. As a result, we may increase the amount of our ordinary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that may be sold from time to time pursuant to the sales agreement at any time by filing additional prospectus supplements to the registration statement to which this prospectus supplement relates, or by otherwise increasing the amount registered on an effective registration statement for which we have filed a prospectus, and any such increases could be material.</w:t>
      </w:r>
    </w:p>
    <w:p>
      <w:pPr>
        <w:spacing w:after="0" w:line="7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We continue to monitor funding markets for opportunities to raise additional debt, equity or equity-linked capital (including potentially by registering additional ordinary shares for sale under the sales agreement) to fund further capital or liquidity needs, and growth plans, and any such capital raises could be substantial.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our ordinary shares, in future transactions may be higher or lower than the price per share paid by investors in this offering.</w:t>
      </w:r>
    </w:p>
    <w:p>
      <w:pPr>
        <w:spacing w:after="0" w:line="350" w:lineRule="exact"/>
        <w:rPr>
          <w:sz w:val="20"/>
          <w:szCs w:val="20"/>
          <w:color w:val="auto"/>
        </w:rPr>
      </w:pPr>
    </w:p>
    <w:p>
      <w:pPr>
        <w:ind w:left="300" w:right="9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we may not use them effectively.</w:t>
      </w:r>
    </w:p>
    <w:p>
      <w:pPr>
        <w:spacing w:after="0" w:line="5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as described in “Use of Proceeds.” However, our Board and our management retain broad discretion in the application of the net proceeds from this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highly volatile.</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market price of our ordinary shares has been volatile and is likely to continue to fluctuate widely due to factors beyond our control. This may happen because of broad market and industry factors, including the performance and fluctuation of the market prices of other companies with business operations similar to ours as well as the fluctuation in the market price of Bitcoin and other digital assets. In addition, technology stocks have historically experienced high levels of volatility. The market price for our ordinary shares may be influenced by many factors, including:</w:t>
      </w:r>
    </w:p>
    <w:p>
      <w:pPr>
        <w:spacing w:after="0" w:line="7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digital assets, in particular Bitcoin;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publicity, and market speculation involving us, our management, our competitors, or our industry;</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new products, services or solutions, capital raising initiatives, acquisitions, strategic partnerships, joint ventures, capital commitments, integrations or capabilities, technologies, or innovations by us or our competitors;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us or our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industry by the public, legislatures, regulators and the investment community;</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1" w:lineRule="auto"/>
        <w:tabs>
          <w:tab w:leader="none" w:pos="10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or inaccurate press about or ratings or assessments of our environmental, social or governance (“ESG”) strategies or practices, regardless of whether or not we comply with applicable legal requirements, may lead to adverse investor sentiment toward us and our industry, which in turn could have an adverse impact on our share price, demand for our securities and our access to, and cost of, capital;</w:t>
      </w:r>
    </w:p>
    <w:p>
      <w:pPr>
        <w:spacing w:after="0" w:line="56"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8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and overall market volatility, including resulting from public health crises, including an outbreak of an infectious disease, war, incidents of terrorism, or responses to these events;</w:t>
      </w:r>
    </w:p>
    <w:p>
      <w:pPr>
        <w:spacing w:after="0" w:line="6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by us, our directors and officers, holders of our ordinary shares or our shareholders in the future or the anticipation that such sales may occur in the future;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 on the Nasdaq.</w:t>
      </w:r>
    </w:p>
    <w:p>
      <w:pPr>
        <w:spacing w:after="0" w:line="117"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adversely affect the market price of our ordinary shares, regardless of our actual operating performance. Further, a decline in the financial markets and related factors beyond our control may cause the price of our ordinary shares to decline rapidly and unexpectedly.</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17" w:lineRule="exact"/>
        <w:rPr>
          <w:sz w:val="20"/>
          <w:szCs w:val="20"/>
          <w:color w:val="auto"/>
        </w:rPr>
      </w:pPr>
    </w:p>
    <w:p>
      <w:pPr>
        <w:ind w:left="300" w:right="8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developments regarding the treatment of digital assets for U.S. federal income and foreign tax purposes could adversely impact our business.</w:t>
      </w:r>
    </w:p>
    <w:p>
      <w:pPr>
        <w:spacing w:after="0" w:line="5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guidance with respect to digital asset products and transactions, many significant aspects of the U.S. federal income and foreign tax treatment of transactions involving digital assets are uncertain, and it is unclear what guidance may be issued in the future on the treatment of digital asset transactions for U.S. federal income and foreign tax purposes.</w:t>
      </w:r>
    </w:p>
    <w:p>
      <w:pPr>
        <w:spacing w:after="0" w:line="72"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In 2014, the U.S. Internal Revenue Service (the “IRS”) released a notice, or “IRS Notice,” discussing certain aspects of “convertible virtual currency” (that is, digital currency that has an equivalent value in fiat currency or that acts as a substitute for fiat currency) for U.S. federal income tax purposes and, in particular, stating that such digital currency (i) is “property”; (ii) is not “currency” for purposes of the rules relating to foreign currency gain or loss and</w:t>
      </w:r>
    </w:p>
    <w:p>
      <w:pPr>
        <w:spacing w:after="0" w:line="3" w:lineRule="exact"/>
        <w:rPr>
          <w:sz w:val="20"/>
          <w:szCs w:val="20"/>
          <w:color w:val="auto"/>
        </w:rPr>
      </w:pPr>
    </w:p>
    <w:p>
      <w:pPr>
        <w:ind w:left="300" w:right="319" w:hanging="8"/>
        <w:spacing w:after="0" w:line="251"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held as a capital asset. The IRS has subsequently released revenue rulings, revenue procedures, and “Frequently Asked Questions,” or the “Additional Guidance,” that provide some additional guidance, including guidance to the effect that, under certain circumstances, hard forks of digital currencies are taxable events giving rise to ordinary income, guidance with respect to the determination of the tax basis of digital currency and guidance that rewards from staking will constitute current taxable income as well as guidance establishing a safe harbor allowing certain grantor trusts to stake digital assets without adverse tax consequences. However, the IRS Notice and the Additional Guidance do not address other significant aspects of the U.S. federal income tax treatment of digital assets and related transactions.</w:t>
      </w:r>
    </w:p>
    <w:p>
      <w:pPr>
        <w:spacing w:after="0" w:line="86" w:lineRule="exact"/>
        <w:rPr>
          <w:sz w:val="20"/>
          <w:szCs w:val="20"/>
          <w:color w:val="auto"/>
        </w:rPr>
      </w:pPr>
    </w:p>
    <w:p>
      <w:pPr>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There can be no assurance that the IRS or other foreign tax authorities will not alter their existing positions with respect to digital assets in the future or that a court would uphold the treatment set forth in the IRS Notice and the Additional Guidance. It is also unclear what additional guidance may be issued in the future on the treatment of existing digital asset transactions and future digital asset innovations for purposes of U.S. federal income tax or other foreign tax regulations. Any such alteration of existing IRS and other foreign tax authority positions or additional guidance regarding digital asset products and transactions could result in adverse tax consequences for our business and could have an adverse effect on the value of digital assets and the broader digital asset markets. In addition, the IRS and other foreign tax authorities may disagree with tax positions that we have taken, which could result in increased tax liabilities. Future technological and operational developments that may arise with respect to digital assets may increase the uncertainty with respect to the treatment of digital assets for U.S. federal income and foreign tax purposes. The uncertainty regarding tax treatment of digital asset transactions could impact our business, both domestically and abroad. Moreover, it is likely that new rules for reporting digital assets under the “crypto-asset reporting framework” will be implemented on our international operations, creating new obligations and a need to invest in new onboarding and reporting infrastructure. The U.S. Treasury Department and the IRS also promulgated regulations that create new reporting requirements for digital assets, which may impose new requirements on us.</w:t>
      </w:r>
    </w:p>
    <w:p>
      <w:pPr>
        <w:spacing w:after="0" w:line="74"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In June 2023, the Canadian government has modified its GST/HST legislation specifically in relation to businesses that are involved in Canadian Bitcoin-related activities (including mining activities) and their associated suppliers. These legislative changes can eliminate the recovery of GST/HST in Canada on taxable inputs to our business. Any such unrecoverable GST/HST increases the cost of all taxable inputs to our business in Canada including electricity, capital equipment, services and intellectual property acquired by our subsidiaries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that operate in Canada. We are currently subject to audits and an administrative appeal relating to GST/HST “input tax credits” and the outcome of such audits and appeal could reduce the amount of certain input tax credits we are able to recover for certain historical periods as well as going forward.</w:t>
      </w:r>
    </w:p>
    <w:p>
      <w:pPr>
        <w:spacing w:after="0" w:line="307"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a risk that we will be a passive foreign investment company for U.S. federal income tax purposes for the current taxable year and possibly subsequent taxable years, in which case U.S. investors will generally be subject to adverse U.S. federal income tax consequences.</w:t>
      </w:r>
    </w:p>
    <w:p>
      <w:pPr>
        <w:spacing w:after="0" w:line="6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we will be classified as a passive foreign investment company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our proportionate share of the gross income of any other corporation in which we own, directly or indirectly, 25% or more (by value) of the stock.</w:t>
      </w:r>
    </w:p>
    <w:p>
      <w:pPr>
        <w:spacing w:after="0" w:line="86" w:lineRule="exact"/>
        <w:rPr>
          <w:sz w:val="20"/>
          <w:szCs w:val="20"/>
          <w:color w:val="auto"/>
        </w:rPr>
      </w:pPr>
    </w:p>
    <w:p>
      <w:pPr>
        <w:jc w:val="both"/>
        <w:ind w:left="300" w:right="699" w:firstLine="360"/>
        <w:spacing w:after="0" w:line="289" w:lineRule="auto"/>
        <w:rPr>
          <w:sz w:val="20"/>
          <w:szCs w:val="20"/>
          <w:color w:val="auto"/>
        </w:rPr>
      </w:pPr>
      <w:r>
        <w:rPr>
          <w:rFonts w:ascii="Times New Roman" w:cs="Times New Roman" w:eastAsia="Times New Roman" w:hAnsi="Times New Roman"/>
          <w:sz w:val="17"/>
          <w:szCs w:val="17"/>
          <w:color w:val="auto"/>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w:t>
      </w:r>
    </w:p>
    <w:p>
      <w:pPr>
        <w:spacing w:after="0" w:line="50"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This determination will depend on, among other things, the ownership and the composition of our income and assets, as well as the relative value of our assets, at the relevant time. In particular, if our cash, including the proceeds of this offering and any future offerings, is not deployed for active purposes, our risk of being a PFIC will increase. We have not obtained, and do not intend to obtain, valuations for our assets. Fluctuations in our market capitalization may affect our PFIC status if the value of our assets for purposes of the asset test, including the value of our goodwill and unbooked intangibles, is determined by reference to the market capitalization from time to time (which has been, and may continue to be, volatile), rather than based on other methods. In this regard, there is a risk that we may be a PFIC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spacing w:after="0" w:line="8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U.S. taxpayer holds ordinary shares, the U.S. taxpayer generally will be subject to adverse U.S. federal income tax consequences, including increased tax liability on disposition gains and “excess distributions” and additional reporting requirements. This will generally continue to be the case even if we cease to be a PFIC in a later taxable year, unless a “deemed sale” election is made. For further discussion of the PFIC rules and the adverse U.S. federal income tax consequences in the event we are classified as a PFIC, see “Taxation-Material U.S. Federal Income Tax Considerations.”</w:t>
      </w:r>
    </w:p>
    <w:p>
      <w:pPr>
        <w:spacing w:after="0" w:line="305" w:lineRule="exact"/>
        <w:rPr>
          <w:sz w:val="20"/>
          <w:szCs w:val="20"/>
          <w:color w:val="auto"/>
        </w:rPr>
      </w:pPr>
    </w:p>
    <w:p>
      <w:pPr>
        <w:ind w:left="300" w:right="67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51"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Changes to the rates of taxes imposed on us or our affiliates, or changes to tax legislation, regulations, policies or practices, generally in any of the jurisdictions in which we or our affiliates operate, may adversely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impact our financial position and/or performance and overall or effective tax rates in the future in countries where we have operations, reduce post-tax returns to our shareholders, and increase the complexity, burden and cost of tax compliance. In addition, an interpretation of relevant taxation laws by a taxation authority that differs from our interpretation may lead to an increase in our taxation liabilities.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into this prospectus supplement contain forward-looking statements within the meaning of Section 27A of the Securities Act and Section 21E of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 “plan,” “believe,” “intend,” “estimate,” “target,” “project,” “should,” “potential,” “could,” “would,” “may,” “will,” “forecast,” and other similar expressions. Forward-looking statements may also be made, verbally or in writing, by members of our Board or management team in connection with this prospectus supplement. Such statements are subject to the same limitations, uncertainties, assumptions and disclaimers set out in this document.</w:t>
      </w:r>
    </w:p>
    <w:p>
      <w:pPr>
        <w:spacing w:after="0" w:line="8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w:t>
      </w:r>
    </w:p>
    <w:p>
      <w:pPr>
        <w:spacing w:after="0" w:line="80"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price and foreign currency exchange rate fluctuations;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 and in a timely manner to meet our capital needs and facilitate our expansion plans;</w:t>
      </w:r>
    </w:p>
    <w:p>
      <w:pPr>
        <w:spacing w:after="0" w:line="53" w:lineRule="exact"/>
        <w:rPr>
          <w:rFonts w:ascii="Times New Roman" w:cs="Times New Roman" w:eastAsia="Times New Roman" w:hAnsi="Times New Roman"/>
          <w:sz w:val="18"/>
          <w:szCs w:val="18"/>
          <w:color w:val="auto"/>
        </w:rPr>
      </w:pPr>
    </w:p>
    <w:p>
      <w:pPr>
        <w:jc w:val="both"/>
        <w:ind w:left="1000" w:right="7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future financing or any refinancing, restructuring or modification to the terms of any existing or future financing, which could require us to comply with onerous covenants, restrictions or guarantees, and our ability to service our debt obligations;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strategies and operating plans, including our ability to continue to develop our existing data center sites, design and deploy direct-to-chip liquid cooling systems, and diversify and expand into the market for high-performance computing (“HPC”) solutions (including the market for AI Cloud Services and potential colocation services such as powered shell, build-to-suit and turnkey data centers (collectively “HPC and AI services”));</w:t>
      </w:r>
    </w:p>
    <w:p>
      <w:pPr>
        <w:spacing w:after="0" w:line="75"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with respect to new markets we have entered or may seek to enter, including the market for HPC and AI services;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in dynamic and rapidly evolving industries;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ongoing profitability, viability, operability, security, popularity and public perceptions of the Bitcoin network;</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useful life and obsolescence of hardware (including GPUs, hardware for Bitcoin mining and any current or future HPC and AI services we offer);</w:t>
      </w:r>
    </w:p>
    <w:p>
      <w:pPr>
        <w:spacing w:after="0" w:line="53" w:lineRule="exact"/>
        <w:rPr>
          <w:rFonts w:ascii="Times New Roman" w:cs="Times New Roman" w:eastAsia="Times New Roman" w:hAnsi="Times New Roman"/>
          <w:sz w:val="18"/>
          <w:szCs w:val="18"/>
          <w:color w:val="auto"/>
        </w:rPr>
      </w:pPr>
    </w:p>
    <w:p>
      <w:pPr>
        <w:ind w:left="1000" w:right="459" w:hanging="348"/>
        <w:spacing w:after="0" w:line="25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increases in costs or reductions in the supply of equipment used in our operations, including as a result of tariffs and duties, and certain equipment (including GPUs, hardware for Bitcoin mining and any other hardware for any current or future HPC and AI services we offer) being in high demand due to global supply chain constraints, and our ability to secure additional hardware (including GPUs, hardware for Bitcoin mining and any other hardware for any current or future HPC and AI services we offer), on commercially reasonable terms or at all;</w:t>
      </w:r>
    </w:p>
    <w:p>
      <w:pPr>
        <w:spacing w:after="0" w:line="79"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profitability, viability, operability, security, popularity and public perceptions of any current and future HPC and AI services we offer;</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customers on commercially reasonable terms or at all, particularly as it relates to our strategy to expand into markets for HPC and AI services;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 customer base for our HPC and AI services business and customer concentration;</w:t>
      </w:r>
    </w:p>
    <w:p>
      <w:pPr>
        <w:spacing w:after="0" w:line="53"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counterparty risk (including credit risk) associated with any current or future customers, including customers of our HPC and AI services and other counterparties;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current or future customers, including customers of our HPC and AI services or other counterparties, may terminate, default on or underperform their contractual obligations;</w:t>
      </w:r>
    </w:p>
    <w:p>
      <w:pPr>
        <w:spacing w:after="0" w:line="53"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under, and observe our obligations pursuant to, contractual obligations with counterparties, including customers of our HPC and AI services;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political and geopolitical conditions, including changing international trade policies and the implementation of wide-ranging, reciprocal and retaliatory tariffs, surtaxes and other similar import or export duties, or trade restrictions;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global hashrate fluctuations;</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renewable energy, renewable energy certificates, power capacity, timely grid connections, facilities and sites on commercially reasonable terms or at all;</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costs associated with, or failure to obtain or complete, permitting approvals, grid connections and other development activities customary for greenfield or brownfield infrastructure projects, including as a result of the Electric Reliability Council of Texas’s (“ERCOT”) announced amendments to the approval process for large load interconnection requests;</w:t>
      </w:r>
    </w:p>
    <w:p>
      <w:pPr>
        <w:spacing w:after="0" w:line="71"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power, network and utilities providers, third party mining pools, exchanges, banks, insurance providers and our ability to maintain relationships with such parties;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and pricing of electricity;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variance between the actual operating performance of our miner hardware achieved compared to the nameplate performance including hashrate;</w:t>
      </w:r>
    </w:p>
    <w:p>
      <w:pPr>
        <w:spacing w:after="0" w:line="53" w:lineRule="exact"/>
        <w:rPr>
          <w:rFonts w:ascii="Times New Roman" w:cs="Times New Roman" w:eastAsia="Times New Roman" w:hAnsi="Times New Roman"/>
          <w:sz w:val="18"/>
          <w:szCs w:val="18"/>
          <w:color w:val="auto"/>
        </w:rPr>
      </w:pPr>
    </w:p>
    <w:p>
      <w:pPr>
        <w:ind w:left="1000" w:right="419" w:hanging="348"/>
        <w:spacing w:after="0" w:line="25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electricity market risks relating to changes in laws, regulations and requirements of market operators, network operators and/or regulatory bodies, including with respect to interconnection of facilities of large electrical loads to the ERCOT grid (for example, via a process that may batch multiple large load interconnection requests), grid stability, voltage ride-through, frequency ride-through and curtailment obligations;</w:t>
      </w:r>
    </w:p>
    <w:p>
      <w:pPr>
        <w:spacing w:after="0" w:line="75"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complexity and additional constraints in energy markets including load ramp requirements by utilities or grid operators, which may not align with our planned data center development and commissioning timelines;</w:t>
      </w:r>
    </w:p>
    <w:p>
      <w:pPr>
        <w:spacing w:after="0" w:line="6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curtail our electricity consumption and/or monetize electricity depending on market conditions, including changes in Bitcoin mining economics and prevailing electricity prices;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undertaken or inaction by electricity network and market operators, regulators, governments or communities in the regions in which we operate, including such actions that could result in the estimated power availability at secured sites being materially less than initially expected, available too late, delayed, conditioned upon technical or operational requirements or not available in each case whether at sustainable cost or at all;</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suitability, reliability and cost of internet connections at our facilities;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an evolving regulatory environment;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maintain our property and infrastructure;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performance of our infrastructure compared to expectations;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attacks on our property, infrastructure or IT systems;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connection agreements to access power sources and permits or to maintain in good standing the operating and other permits, approvals and/or licenses required for our operations, construction activities and business which could be delayed by regulatory approval processes, may not be successful or may be cost prohibitive;</w:t>
      </w:r>
    </w:p>
    <w:p>
      <w:pPr>
        <w:spacing w:after="0" w:line="71"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confidential information;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and product liability claims;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secular trends we expect to drive growth in our business materialize to the degree we expect them to, or at all;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pending or future acquisitions, dispositions, joint ventures or other strategic transactions, including our ability to consummate any such transactions on terms favorable to us or at all;</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environmental, health and safety incidents at our sites, and any material costs relating to environmental, health and safety requirements or liabilities;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property and infrastructure and the risk that any insurance we maintain may not fully cover all potential exposures;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laws including the anti-corruption laws of the United States and various international jurisdictions;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and termination of proceedings relating to the default under certain equipment financing facilities, ongoing securities litigation, and any future litigation, claims and/or regulatory investigations, and the costs, expenses, use of resources, diversion of management time and efforts, liability and damages that may result therefrom;</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compliance and risk management methods;</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and ethical standards that may relate to our business, including those that relate to data centers, HPC and AI services, Bitcoin and the Bitcoin mining industry and those that relate to any other services we offer, including laws and regulations related to data privacy, cybersecurity and the storage, use or processing of information and consumer laws;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senior management and qualified employees;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6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severe weather conditions and natural and man-made disasters that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an outbreak of an infectious disease and any governmental or industry measures taken in response;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stakeholder expectations and requirements relating to ESG issues or reporting, including actual or perceived failure to comply with such expectations and requirements;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with respect to the market price of our ordinary shares;</w:t>
      </w:r>
    </w:p>
    <w:p>
      <w:pPr>
        <w:spacing w:after="0" w:line="117" w:lineRule="exact"/>
        <w:rPr>
          <w:rFonts w:ascii="Times New Roman" w:cs="Times New Roman" w:eastAsia="Times New Roman" w:hAnsi="Times New Roman"/>
          <w:sz w:val="18"/>
          <w:szCs w:val="18"/>
          <w:color w:val="auto"/>
        </w:rPr>
      </w:pPr>
    </w:p>
    <w:p>
      <w:pPr>
        <w:jc w:val="both"/>
        <w:ind w:left="1000" w:right="6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do not currently pay any cash dividends on our ordinary shares, and may not in the foreseeable future and, accordingly, your ability to achieve a return on your investment in our ordinary shares will depend on appreciation, if any, in the price of our ordinary shares;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9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factors disclosed under “Item 1A. Risk Factor” in our Annual Report on Form 10-K, incorporated by reference herein, and any further update in our subsequent filings with the SEC on Form 10-Q and Form 8-K.</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foregoing list of factors is not exhaustive and does not necessarily include all of the important factors that could cause actual results to differ materially from those expressed in any of our forward-looking statements.</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on which they were made and should be read carefully in conjunction with other uncertainties and potential events described in our Annual Report on Form 10-K and our subsequent filings with the SEC on Form 10-Q and Form 8-K. Except as required by applicable law, we do not undertake any obligation to update any forward-looking statements to reflect subsequent events and circumstances.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may offer and sell our ordinary shares having an aggregate offering price of up to $6,000,000,000 from time to time‎ through or to the sales agents. Because there is no minimum offering amount required as a condition to close this‎ offering, the actual total public offering amount, commissions and proceeds to us are not determinable at‎ this time.‎</w:t>
      </w:r>
    </w:p>
    <w:p>
      <w:pPr>
        <w:spacing w:after="0" w:line="72"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contribute to funding our growth initiatives (including, but not limited to, hardware purchases and acquisition and development of data center sites and facilities), and for working capital and general corporate purposes.</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will vary depending on numerous factors. As a result, we cannot predict with certainty all of the particular uses for any net proceeds to be received or the amounts that we will actually spend on the uses set forth above. Our Board and our management retain broad discretion in the application of the net proceeds from this offering.</w:t>
      </w:r>
    </w:p>
    <w:p>
      <w:pPr>
        <w:spacing w:after="0" w:line="79"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Pending the use of the proceeds from this offering, we may invest the net proceeds in a variety of capital preservation instruments, which may include all or a combination of short-term and long-term interest-bearing instruments, investment-grade securities, and direct or guaranteed obligations of the U.S. government. We cannot predict whether the proceeds invested will yield a favorable return.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 capital requirements and surplus, general financial conditions, contractual restrictions and other factors that the Board may deem relevant. B Class shares do not confer on their holders any right to receive dividends. For additional information, see “Item 1A. Risk Factors—Risks Related to Ownership of Our Ordinary Shares—We do not currently pay any cash dividends on our ordinary shares, and may not in the foreseeable future. Accordingly, your ability to achieve a return on your investment in our ordinary shares will depend on appreciation, if any, in the price of our ordinary shares” in our Annual Report on Form 10-K filed on August 28, 2025, incorporated herein by reference.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to U.S. Holders (as defined below) of an investment in our ordinary shares. This summary applies only to U.S. Holders that acquire our ordinary shares in exchange for cash, hold our ordinary shares as capital assets within the meaning of Section 1221 of the Code and have the U.S. dollar as their functional currency.</w:t>
      </w:r>
    </w:p>
    <w:p>
      <w:pPr>
        <w:spacing w:after="0" w:line="72"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as in effect on the date of this prospectus, including the Code, and U.S. Treasury regulations in effect or, in some cases, proposed, as of the date of this prospectus, as well as judicial and administrative interpretations thereof available on or before such date. All of the preceding authorities are subject to change, and any such change could apply retroactively and affect the</w:t>
      </w:r>
    </w:p>
    <w:p>
      <w:pPr>
        <w:spacing w:after="0" w:line="3"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U.S. federal income tax consequences described below. The statements in this prospectus are not binding on the IRS or any court. Thus, we can provide no assurance that the U.S. federal income tax consequences discussed below will not be challenged by the IRS or will be sustained by a court if challenged by the IRS. Furthermore, this summary does not address the special tax accounting rules under Section 451(b) of the Code, any estate or gift tax consequences, state, local or non-U.S. tax consequences, or other tax consequences other than U.S. federal income tax consequences.</w:t>
      </w:r>
    </w:p>
    <w:p>
      <w:pPr>
        <w:spacing w:after="0" w:line="82"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The following discussion does not describe all the tax consequences that may be relevant to any particular investor or to persons in special tax situations such as:</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 our ordinary shares to market for U.S. federal income tax purposes;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 or the Medicare contribution tax on net investment income;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as part of a straddle, hedging, constructive sale, conversion, or integrated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United States;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pursuant to the exercise of any employee share option or otherwise as compensation;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through partnerships or other pass-through entities or arrangements.</w:t>
      </w:r>
    </w:p>
    <w:p>
      <w:pPr>
        <w:spacing w:after="0" w:line="113"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PROSPECTIVE PURCHASERS ARE URGED TO CONSULT THEIR TAX ADVISORS ABOUT THE APPLICATION OF THE U.S. FEDERAL TAX RULES TO THEIR PARTICULAR CIRCUMSTANCES AS WELL AS THE STATE, LOCAL AND NON-U.S. TAX CONSEQUENCES TO THEM OF THE PURCHASE, OWNERSHIP AND DISPOSITION OF OUR ORDINARY SHARES.</w:t>
      </w:r>
    </w:p>
    <w:p>
      <w:pPr>
        <w:spacing w:after="0" w:line="72"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As used herein, the term “U.S. Holder” means a person eligible for the benefits of the income tax treaty between the United States and Australia (the “Treaty”) that is, for U.S. federal income tax purposes, a beneficial owner of our ordinary shares and is or is treated as:</w:t>
      </w:r>
    </w:p>
    <w:p>
      <w:pPr>
        <w:spacing w:after="0" w:line="68"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whose income is subject to U.S. federal income taxation regardless of its source.</w:t>
      </w:r>
    </w:p>
    <w:p>
      <w:pPr>
        <w:spacing w:after="0" w:line="117"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tax treatment of a partner in an entity or arrangement treated as a partnership for U.S. federal income tax purposes that holds our ordinary shares generally will depend on such partner’s status and the partnership’s activities. Accordingly, a U.S. Holder that is a partner in such a partnership should consult its tax advisor.</w:t>
      </w:r>
    </w:p>
    <w:p>
      <w:pPr>
        <w:spacing w:after="0" w:line="68"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Treasury regulations that apply to taxable years beginning on or after December 28, 2021 (the “Foreign Tax Credit Regulations”) may in some circumstances prohibit a U.S. person from claiming a foreign tax credit with respect to certain non-U.S. taxes that are not creditable under applicable income tax treaties. However, the IRS released guidance in the form of notices which provide temporary relief from the requirements of these new regulations for taxable years ending before the date that a notice or other guidance withdrawing or modifying the temporary relief is issued (or any later date specified in such notice or other guidance). The rules governing the calculation and timing of foreign tax credits and the deduction of foreign taxes are complex and depend upon a U.S. Holder’s particular circumstances. Accordingly, U.S. investors should consult their tax advisors regarding the creditability or deductibility of any Australian taxes imposed on dividends on, or dispositions of, our ordinary shares. This discussion does not apply to investors in this special situation.</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Our Ordinary Shares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below, the gross amount of distributions made by us with respect to our ordinary shares (including the amount of any non-U.S. taxes withheld therefrom) generally will be includible as dividend income in a U.S. Holder’s gross income in the year received, to the extent such distributions are paid out of our current or accumulated earnings and profits, as determined under U.S. federal income tax principles. Because we do not maintain calculations of our earnings and profits under U.S. federal income tax principles, a U.S. Holder should expect all cash distributions to be reported as dividends for U.S. federal income tax purposes. Such dividends will not be eligible for the dividends-received deduction allowed to U.S. corporations with respect to dividends received from other U.S. corporations. Dividends received by non-corporate U.S. Holders may be “qualified dividend income,” which is taxed at the lower applicable capital gains rate, provided that (1) we are eligible for Treaty benefits or our ordinary shares are readily tradable on an established securities market in the United States,</w:t>
      </w:r>
    </w:p>
    <w:p>
      <w:pPr>
        <w:spacing w:after="0" w:line="5" w:lineRule="exact"/>
        <w:rPr>
          <w:sz w:val="20"/>
          <w:szCs w:val="20"/>
          <w:color w:val="auto"/>
        </w:rPr>
      </w:pPr>
    </w:p>
    <w:p>
      <w:pPr>
        <w:ind w:left="300" w:right="299" w:hanging="8"/>
        <w:spacing w:after="0" w:line="252" w:lineRule="auto"/>
        <w:tabs>
          <w:tab w:leader="none" w:pos="5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 PFIC (and are not treated as a PFIC with respect to the U.S. Holder under the “once a PFIC always a PFIC” rule (as discussed below)) for either the taxable year in which the dividend was paid or the preceding taxable year, (3) the U.S. Holder satisfies specific holding period requirements and (4) the U.S. Holder is not under an obligation to make related payments with respect to positions in substantially similar or related property. U.S. Holders should consult their tax advisors regarding the availability of the lower rate for dividends paid with respect to our ordinary shares.</w:t>
      </w:r>
    </w:p>
    <w:p>
      <w:pPr>
        <w:spacing w:after="0" w:line="8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amount of any distribution paid in a foreign currency will be equal to the U.S. dollar value of such currency, translated at the spot rate of exchange on the date such distribution is received,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In general, foreign currency gain or loss will be treated as U.S.-source ordinary income or loss.</w:t>
      </w:r>
    </w:p>
    <w:p>
      <w:pPr>
        <w:spacing w:after="0" w:line="7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Dividends on our ordinary shares generally will constitute foreign source income for foreign tax credit limitation purposes. The amount of dividend income will include any amounts withheld by us in respect of Australian income taxes. Subject to certain complex conditions and limitations, some of which vary depending upon the U.S. Holder’s particular circumstances, any Australian taxes withheld on any distributions on our ordinary shares (at a rate not exceeding the applicable Treaty rate in the case of U.S. Holders eligible for Treaty benefits) may be eligible for credit against a U.S. Holder’s federal income tax liability. The rules governing foreign tax credits are complex. In addition, the Foreign Tax Credit Regulations described above may in some circumstances impose additional limitations on the creditability of any foreign taxes on dividends or other distributions. U.S. Holders should consult their tax advisors regarding the creditability of any Australian taxes in their particular circumstances (including the U.S. Holder’s eligibility for Treaty benefits). In lieu of claiming a credit, U.S. Holders may be able to elect to deduct any Australian income taxes in computing their taxable income, subject to generally applicable limitations under U.S. law. An election to deduct non-U.S. taxes instead of claiming foreign tax credits applies to all otherwise creditable non-U.S. taxes paid or accrued in the taxable year.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Our Ordinary Shares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upon a sale or other taxable disposition of our ordinary shares, a U.S. Holder will recognize capital gain or loss in an amount equal to the difference between the amount realized and the U.S. Holder’s adjusted tax basis in such ordinary shares. A U.S. Holder’s initial tax basis in our ordinary shares generally will equal the cost of such ordinary shares. Generally, any such gain or loss will be treated as long-term capital gain or loss if the U.S. Holder’s holding period in our ordinary shares exceeds one year. Non-corporate U.S. Holders (including individuals) generally will be subject to U.S. federal income tax on long-term capital gain at preferential rates. The deductibility of capital losses is subject to significant limitations.</w:t>
      </w:r>
    </w:p>
    <w:p>
      <w:pPr>
        <w:spacing w:after="0" w:line="8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Gain or loss, if any, realized by a U.S. Holder on the sale or other disposition of our ordinary shares generally will be treated as U.S. source gain or loss for U.S. foreign tax credit limitation purposes. The use of U.S. foreign tax credits relating to any Australian tax imposed upon the sale or other disposition of our ordinary shares may be unavailable or limited. In addition, the Foreign Tax Credit Regulations described above may in some circumstances impose additional limitations on the creditability of any foreign taxes on gains from dispositions. U.S. Holders should consult their tax advisors regarding the tax consequences if Australian taxes are imposed on or connected with a sale or other disposition of our ordinary shares and their ability to credit any Australian tax against their U.S. federal income tax liability.</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will be classified as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our proportionate share of the gross income of any other corporation in which we own, directly or indirectly, 25% or more (by value) of the stock.</w:t>
      </w:r>
    </w:p>
    <w:p>
      <w:pPr>
        <w:spacing w:after="0" w:line="80"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 This determination will depend on, among other things, the ownership and the composition of our income and assets, as well as the relative value of our assets (which may fluctuate with our market capitalization), at the relevant time. In particular, if our cash is not deployed for active purposes, our risk of being a PFIC will increase. Fluctuations in our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this regard, there is a risk that we may be a PFIC if there is a decline in our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spacing w:after="0" w:line="87"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we are considered a PFIC at any time that a U.S. Holder holds our ordinary shares, any gain recognized by the U.S. Holder on a sale or other disposition of our ordinary shares, as well as the amount of any “excess distribution” (defined below) received by the U.S. Holder, will be allocated ratably over the U.S. Holder’s holding period for our ordinary shares. The amounts allocated to the taxable year of the sale or other disposition (or the taxable year of receipt, in the case of an excess distribution)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For the purposes of these rules, an excess distribution is the amount by which any distribution received by a U.S. Holder on our ordinary shares exceeds 125% of the average of the annual distributions on our ordinary shares received during the preceding three years or the U.S. Holder’s holding period, whichever is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shorter. Certain elections may be available that would result in alternative treatments (such as mark-to-market treatment) of our ordinary shares if we are considered a PFIC. Special rules apply for calculating the amount of the foreign tax credit with respect to excess distributions by a PFIC.</w:t>
      </w:r>
    </w:p>
    <w:p>
      <w:pPr>
        <w:spacing w:after="0" w:line="68"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a rule commonly referred to as the “once a PFIC always a PFIC” rule, if we are considered a PFIC at any time that a U.S. Holder holds our ordinary shares, we will continue to be treated as a PFIC with respect to such investment unless (i) we cease to be a PFIC and (ii) the U.S. Holder made a “deemed sale” election under the PFIC rules. U.S. Holders should consult their tax advisors regarding the advisability of making a “deemed sale” election as it may require them to recognize gain taxed under the general PFIC rules described in the previous paragraph.</w:t>
      </w:r>
    </w:p>
    <w:p>
      <w:pPr>
        <w:spacing w:after="0" w:line="7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If we are a PFIC (or, with respect to a particular U.S. Holder, are treated as a PFIC) for any taxable year in which we pay a dividend or for the prior taxable year, the favorable tax rate described above under “¬Dividends and Other Distributions on Our Ordinary Shares” with respect to dividends paid to certain non-corporate U.S. Holders will not apply.</w:t>
      </w:r>
    </w:p>
    <w:p>
      <w:pPr>
        <w:spacing w:after="0" w:line="72"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We do not intend to provide information necessary for U.S. Holder to make qualified electing fund elections which, if available, would result in tax treatment different from the general tax treatment for PFICs described above.</w:t>
      </w:r>
    </w:p>
    <w:p>
      <w:pPr>
        <w:spacing w:after="0" w:line="3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If we are a PFIC, a U.S. Holder will also be subject to annual information reporting requirements. U.S. Holders should consult their tax advisors about the potential application of the PFIC rules to an investment in our ordinary shares.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Dividend payments with respect to our ordinary shares and proceeds from the sale, exchange, or redemption of our ordinary shares may be subject to information reporting to the IRS and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advisors regarding applying the U.S. information reporting and backup withholding rules.</w:t>
      </w:r>
    </w:p>
    <w:p>
      <w:pPr>
        <w:spacing w:after="0" w:line="8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Reporting Requirements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that hold an interest in “specified foreign financial assets” (which may include our ordinary shares) are required to report information relating to such assets, subject to certain exceptions (including an exception for our ordinary shares held in accounts maintained by certain financial institutions). Penalties can apply if U.S. Holders fail to satisfy such reporting requirements. U.S. Holders should consult their tax advisors regarding the applicability of these requirements to their acquisition and ownership of our ordinary shares.</w:t>
      </w:r>
    </w:p>
    <w:p>
      <w:pPr>
        <w:spacing w:after="0" w:line="75" w:lineRule="exact"/>
        <w:rPr>
          <w:sz w:val="20"/>
          <w:szCs w:val="20"/>
          <w:color w:val="auto"/>
        </w:rPr>
      </w:pPr>
    </w:p>
    <w:p>
      <w:pPr>
        <w:ind w:left="300" w:right="5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IMPORTANT TO YOU. EACH PROSPECTIVE PURCHASER SHOULD CONSULT ITS OWN TAX ADVISOR ABOUT THE TAX CONSEQUENCES OF AN INVESTMENT IN OUR ORDINARY SHARES UNDER ITS CIRCUMSTANCES.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Australian Tax Considerations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this section, we provide a general summary of the material Australian income tax, stamp duty, and goods and services tax considerations generally applicable to the acquisition, ownership, and disposal by the absolute beneficial owners of the ordinary shares issued by IREN.</w:t>
      </w:r>
    </w:p>
    <w:p>
      <w:pPr>
        <w:spacing w:after="0" w:line="68" w:lineRule="exact"/>
        <w:rPr>
          <w:sz w:val="20"/>
          <w:szCs w:val="20"/>
          <w:color w:val="auto"/>
        </w:rPr>
      </w:pPr>
    </w:p>
    <w:p>
      <w:pPr>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This section is based upon existing Australian tax law as of the date of this prospectus, which is subject to change, possibly retrospectively. This discussion does not address all aspects of Australian tax law, which may be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important to particular investors in light of their investment circumstances, such as shares held by investors subject to special tax rules (for example, financial institutions, insurance companies, or tax-exempt organizations).</w:t>
      </w:r>
    </w:p>
    <w:p>
      <w:pPr>
        <w:spacing w:after="0" w:line="54" w:lineRule="exact"/>
        <w:rPr>
          <w:sz w:val="20"/>
          <w:szCs w:val="20"/>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It does not purport to address all possible tax situations that may be relevant to a decision to purchase, own, or deposit our ordinary shares. It is included herein solely for preliminary information purposes and is not intended to be, nor should it be construed to be, legal or tax advice. IREN and its officers, employees, taxation or other advisors do not accept any liability or responsibility in respect of any statement concerning taxation consequences.</w:t>
      </w:r>
    </w:p>
    <w:p>
      <w:pPr>
        <w:spacing w:after="0" w:line="72" w:lineRule="exact"/>
        <w:rPr>
          <w:sz w:val="20"/>
          <w:szCs w:val="20"/>
          <w:color w:val="auto"/>
        </w:rPr>
      </w:pPr>
    </w:p>
    <w:p>
      <w:pPr>
        <w:ind w:left="300" w:right="1179" w:firstLine="360"/>
        <w:spacing w:after="0" w:line="312" w:lineRule="auto"/>
        <w:rPr>
          <w:sz w:val="20"/>
          <w:szCs w:val="20"/>
          <w:color w:val="auto"/>
        </w:rPr>
      </w:pPr>
      <w:r>
        <w:rPr>
          <w:rFonts w:ascii="Times New Roman" w:cs="Times New Roman" w:eastAsia="Times New Roman" w:hAnsi="Times New Roman"/>
          <w:sz w:val="17"/>
          <w:szCs w:val="17"/>
          <w:color w:val="auto"/>
        </w:rPr>
        <w:t>Prospective purchasers of our ordinary shares should consult their tax advisors on the applicable tax consequences related to the ownership of our ordinary shares, based on their particular circumstances.</w:t>
      </w:r>
    </w:p>
    <w:p>
      <w:pPr>
        <w:spacing w:after="0" w:line="3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comments in this section deal only with the Australian taxation implications of the ownership and disposal of IREN ordinary shares if you hold your IREN ordinary shares as investments on a capital account. In addition, this summary does not discuss any non-Australian or state tax considerations, other than stamp duty and goods and services tax.</w:t>
      </w:r>
    </w:p>
    <w:p>
      <w:pPr>
        <w:spacing w:after="0" w:line="72"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For this summary, a holder of our ordinary shares that is not an Australian tax resident and is not carrying on business in Australia at or through a permanent establishment is referred to as a “Non-Australian Holder.”</w:t>
      </w:r>
    </w:p>
    <w:p>
      <w:pPr>
        <w:spacing w:after="0" w:line="54"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Conversely, for the purposes of this summary, a holder that is an Australian tax resident is referred to as an “Australian Resident Holder.”</w:t>
      </w:r>
    </w:p>
    <w:p>
      <w:pPr>
        <w:spacing w:after="0" w:line="54" w:lineRule="exact"/>
        <w:rPr>
          <w:sz w:val="20"/>
          <w:szCs w:val="20"/>
          <w:color w:val="auto"/>
        </w:rPr>
      </w:pPr>
    </w:p>
    <w:p>
      <w:pPr>
        <w:ind w:left="300" w:right="739" w:firstLine="360"/>
        <w:spacing w:after="0" w:line="261" w:lineRule="auto"/>
        <w:rPr>
          <w:sz w:val="20"/>
          <w:szCs w:val="20"/>
          <w:color w:val="auto"/>
        </w:rPr>
      </w:pPr>
      <w:r>
        <w:rPr>
          <w:rFonts w:ascii="Times New Roman" w:cs="Times New Roman" w:eastAsia="Times New Roman" w:hAnsi="Times New Roman"/>
          <w:sz w:val="18"/>
          <w:szCs w:val="18"/>
          <w:color w:val="auto"/>
        </w:rPr>
        <w:t>Particular rules apply for a foreign resident holder who is carrying on business in Australia at or through a permanent establishment, and special rules apply where that foreign resident holder is a trust. These rules for permanent establishments may be modified in Australia’s double taxation treaties. It is recommended that shareholders seek independent advice on the tax consequences arising in these circumstances.</w:t>
      </w:r>
    </w:p>
    <w:p>
      <w:pPr>
        <w:spacing w:after="0" w:line="72"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Please be aware that the residence concept used in this section applies for Australian tax assessment purposes only. Any reference in this section to a tax, duty, levy impost, or other charge or withholding of a similar nature refers to Australia’s tax laws and/or concepts only. Also, please note that a reference to Australian income tax encompasses corporate income tax and personal income tax generally.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Australian Resident Holders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Dividends paid by us on our ordinary shares should constitute the assessable income of an Australian Resident Holder. Australia operates a dividend imputation system under which dividends may be declared to be “franked” to the extent they are paid out of company profits that have been subject to Australian income tax.</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Individuals and complying superannuation entities</w:t>
      </w:r>
    </w:p>
    <w:p>
      <w:pPr>
        <w:spacing w:after="0" w:line="119" w:lineRule="exact"/>
        <w:rPr>
          <w:sz w:val="20"/>
          <w:szCs w:val="20"/>
          <w:color w:val="auto"/>
        </w:rPr>
      </w:pPr>
    </w:p>
    <w:p>
      <w:pPr>
        <w:ind w:left="300" w:right="779" w:firstLine="360"/>
        <w:spacing w:after="0" w:line="266" w:lineRule="auto"/>
        <w:rPr>
          <w:sz w:val="20"/>
          <w:szCs w:val="20"/>
          <w:color w:val="auto"/>
        </w:rPr>
      </w:pPr>
      <w:r>
        <w:rPr>
          <w:rFonts w:ascii="Times New Roman" w:cs="Times New Roman" w:eastAsia="Times New Roman" w:hAnsi="Times New Roman"/>
          <w:sz w:val="18"/>
          <w:szCs w:val="18"/>
          <w:color w:val="auto"/>
        </w:rPr>
        <w:t>Australian Resident Holders who are individuals or complying superannuation entities should include the dividend in their assessable income in the year the dividend is paid, together with (subject to the comments concerning ‘Qualified Persons’ below) any franking credit attached to that dividend.</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Subject to the comments concerning ‘Qualified Persons’ below, such Australian Resident Holders should generally be entitled to a tax offset equal to the franking credit attached to the dividend. The tax offset can be applied to reduce the tax payable on the investor’s taxable income. Where the tax offset exceeds the tax payable on the investor’s taxable income, the investor should be entitled to a tax refund equal to the excess.</w:t>
      </w:r>
    </w:p>
    <w:p>
      <w:pPr>
        <w:spacing w:after="0" w:line="72"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the dividend is unfranked, an Australian Resident Holder that is an individual will generally be taxed at their prevailing marginal rate on the dividend received (with no tax offset). Complying Australian superannuation entities will generally be taxed at the prevailing rate for complying superannuation entities on the dividend received (with no tax offset).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Companies</w:t>
      </w:r>
    </w:p>
    <w:p>
      <w:pPr>
        <w:spacing w:after="0" w:line="11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Australian Resident Holders that are companies are also required to include both the dividend and (subject to the comments concerning ‘Qualified Persons’ below) the associated franking credits (if any) in their assessable income.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Subject to the comments in relation to ‘Qualified Persons’ below, such companies should be entitled to a tax offset up to the amount of the franking credit attached to the dividend. Likewise, the company should generally be entitled to a credit in its own franking account to the extent of the franking credits attached to the distribution received. This will allow the Australian Resident Holders that are companies to pass on the franking credits to their investor(s) on the subsequent payment of franked dividends.</w:t>
      </w:r>
    </w:p>
    <w:p>
      <w:pPr>
        <w:spacing w:after="0" w:line="75"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Excess franking credits received by an Australian Resident Holder that is a company will not give rise to a refund entitlement for the company but may be converted into carry forward tax losses instead. This is subject to specific rules on how the carry forward tax loss is calculated and utilized in future years.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Trusts and partnerships</w:t>
      </w:r>
    </w:p>
    <w:p>
      <w:pPr>
        <w:spacing w:after="0" w:line="11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Australian Resident Holders who are trustees (other than trustees of complying superannuation entities, which are dealt with above) or partnerships are also required (subject to the comments concerning ‘Qualified Persons’ below) to include any dividends and any franking credits in calculating the net income of the trust or partnership. Where a fully franked or partially franked dividend is received, a relevant Australian resident beneficiary or partner may be entitled to a tax offset in respect of any franking credits distributed to the relevant beneficiary or partner as applicable.</w:t>
      </w:r>
    </w:p>
    <w:p>
      <w:pPr>
        <w:spacing w:after="0" w:line="7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the dividend is unfranked, an Australian Resident Holder trustee (other than trustees of complying superannuation entities) or partnership, will be required to include the unfranked dividend in the net income of the trust or partnership. A relevant Australian resident beneficiary will be taxed at the relevant prevailing tax rate on their share of the net income of the trust or partnership (with no tax offset).</w:t>
      </w:r>
    </w:p>
    <w:p>
      <w:pPr>
        <w:spacing w:after="0" w:line="72" w:lineRule="exact"/>
        <w:rPr>
          <w:sz w:val="20"/>
          <w:szCs w:val="20"/>
          <w:color w:val="auto"/>
        </w:rPr>
      </w:pPr>
    </w:p>
    <w:p>
      <w:pPr>
        <w:jc w:val="both"/>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The rules relating to the treatment of franked dividends and associated franking credits are complex in the context of distributions received indirectly via a trust or partnership, and it is recommended that investors seek independent advice on the tax consequences arising in these circumstances.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Qualified Persons</w:t>
      </w:r>
    </w:p>
    <w:p>
      <w:pPr>
        <w:spacing w:after="0" w:line="11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benefit of franking credits can be denied where an Australian Resident Holder is not a ‘qualified person’ in which case the Holder will not be required to include an amount for the franking credits in their assessable income nor will they be entitled to a tax offset.</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Broadly, to be a qualified person, a shareholder must satisfy the holding period rule and, if necessary, the related payment rule. The holding period rule requires a shareholder to hold the shares ‘at risk’ for at least 45 days continuously during the qualification period—starting from the day after acquiring the shares and ending 45 days after the shares become ex-dividend—in order to qualify for franking benefits. Under the related payment rule, a different ‘qualification period’ applies where the shareholder has made (or is under an obligation to make) a ‘related payment’ in relation to the dividend. In that case, the shareholder must have held the shares ‘at risk’ for a period of at least 45 days during the period commencing on the 45th day before, and ending on the 45th day after, the day the shares become ex-dividend excluding (if the shares have been disposed of) the day of disposal.</w:t>
      </w:r>
    </w:p>
    <w:p>
      <w:pPr>
        <w:spacing w:after="0" w:line="84"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This holding period rule is subject to certain exceptions, including where the total franking offsets of an individual in a year of income do not exceed A$5,000.</w:t>
      </w:r>
    </w:p>
    <w:p>
      <w:pPr>
        <w:spacing w:after="0" w:line="54"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application of the qualified person rules is complex in the context of distributions received indirectly via a trust or partnership, and it is recommended that shareholders seek independent advice on the tax consequences arising in these circumstances.</w:t>
      </w:r>
    </w:p>
    <w:p>
      <w:pPr>
        <w:spacing w:after="0" w:line="68"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Whether you are a qualified person is a complex tax issue which requires analysis based on each shareholder’s individual circumstances. IREN ordinary shareholders should obtain their own tax advice to determine if these requirements have been satisfied.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Gains Tax (“CGT”) Implications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Disposal of shares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For Australian Resident Holders, who hold their ordinary shares on capital account, the future disposal of ordinary shares will give rise to a CGT event at the time which the legal and beneficial ownership of the ordinary shares are disposed of. Australian Resident Holders will derive a capital gain on the disposal of their ordinary shares in IREN to the extent that the capital proceeds exceed the cost base of their ordinary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 capital loss will be made where the capital proceeds are less than the cost base of their ordinary shares. Where a capital loss is made, capital losses can only be offset against capital gains derived in the same or later incomes years. They cannot be offset against ordinary income nor carried back to offset net capital gains arising in earlier income years. Capital losses may be carried forward to future income years subject to the satisfaction of the Australian loss testing provisions.</w:t>
      </w: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Proceeds</w:t>
      </w:r>
    </w:p>
    <w:p>
      <w:pPr>
        <w:spacing w:after="0" w:line="11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capital proceeds should include any consideration received by the Australian Resident Holder in respect of the disposal of their IREN ordinary shares.</w:t>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base of IREN ordinary shares</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cost base of an ordinary share should generally include the cost of acquiring the ordinary share, holding the ordinary share, plus any incidental costs of acquisition and disposal (e.g., brokerage costs and legal fees).</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CGT Discount</w:t>
      </w:r>
    </w:p>
    <w:p>
      <w:pPr>
        <w:spacing w:after="0" w:line="11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CGT discount may apply to Australian Resident Holders that are individuals, complying Australian superannuation funds or trusts, who have held, or are taken to have held, their ordinary shares for at least 12 months (not including the date of acquisition or date of disposal) at the time of the disposal of their ordinary shares.</w:t>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CGT discount is:</w:t>
      </w:r>
    </w:p>
    <w:p>
      <w:pPr>
        <w:spacing w:after="0" w:line="119"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One-half if the Australian Resident Holder is an individual or trustee: meaning generally only 50% of the capital gain will be included in the Australian Resident Holder’s assessable income; and</w:t>
      </w:r>
    </w:p>
    <w:p>
      <w:pPr>
        <w:spacing w:after="0" w:line="54"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One-third if the Australian Resident Holder is a trustee of a complying superannuation entity: meaning generally only two-thirds of the capital gain will be included in the Australian Resident Holder’s assessable income.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CGT discount is not available to Australian Resident Holders that are companies.</w:t>
      </w:r>
    </w:p>
    <w:p>
      <w:pPr>
        <w:spacing w:after="0" w:line="11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If an Australian Resident Holder makes a discounted capital gain, any current year and/or carried-forward capital losses will be applied to reduce the undiscounted capital gain before the relevant CGT discount is applied. The resulting amount forms the Australian Resident Holder’s net capital gain for the income year and is included in its assessable income.</w:t>
      </w:r>
    </w:p>
    <w:p>
      <w:pPr>
        <w:spacing w:after="0" w:line="7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CGT discount rules relating to trusts are complex. Subject to certain requirements being satisfied, the capital gain may flow through to the beneficiaries in that trust, who will assess the eligibility for the CGT discount in their own right. Accordingly, we recommend trustees seek their own independent advice on how the CGT discount applies to the trust and its beneficiaries.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Non-Australian Holders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Non-Australian Holders (with the exception of Non-Australian Holder who hold their IREN ordinary shares in carrying on a business through an Australian permanent establishment as addressed below) should not be subject to Australian income tax on their IREN dividends but may be subject to Australian dividend withholding tax.</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Franked dividends</w:t>
      </w:r>
    </w:p>
    <w:p>
      <w:pPr>
        <w:spacing w:after="0" w:line="11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Dividends received by Non-Australian Holders which are franked should not be subject to Australian dividend withholding tax to the extent of the franking (i.e. if the dividend is fully franked, it should not be subject to Australian dividend withholding tax at all). However, refunds of franking credits are not available to non-Australian resident shareholders.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 attributable to Conduit Foreign Income</w:t>
      </w:r>
    </w:p>
    <w:p>
      <w:pPr>
        <w:spacing w:after="0" w:line="119" w:lineRule="exact"/>
        <w:rPr>
          <w:sz w:val="20"/>
          <w:szCs w:val="20"/>
          <w:color w:val="auto"/>
        </w:rPr>
      </w:pPr>
    </w:p>
    <w:p>
      <w:pPr>
        <w:ind w:left="300" w:right="479" w:firstLine="360"/>
        <w:spacing w:after="0" w:line="312" w:lineRule="auto"/>
        <w:rPr>
          <w:sz w:val="20"/>
          <w:szCs w:val="20"/>
          <w:color w:val="auto"/>
        </w:rPr>
      </w:pPr>
      <w:r>
        <w:rPr>
          <w:rFonts w:ascii="Times New Roman" w:cs="Times New Roman" w:eastAsia="Times New Roman" w:hAnsi="Times New Roman"/>
          <w:sz w:val="17"/>
          <w:szCs w:val="17"/>
          <w:color w:val="auto"/>
        </w:rPr>
        <w:t>Non-Australian Holders should not be subject to Australian dividend withholding tax on unfranked dividends or partially franked dividends to the extent that the dividend is declared to be conduit foreign income (CFI).</w:t>
      </w:r>
    </w:p>
    <w:p>
      <w:pPr>
        <w:spacing w:after="0" w:line="3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CFI generally includes amounts received by IREN that have been derived from a non-Australian source, for example non-portfolio dividends received from foreign subsidiaries which are treated as non-assessable non-exempt income for Australian tax purposes.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Unfranked dividends</w:t>
      </w:r>
    </w:p>
    <w:p>
      <w:pPr>
        <w:spacing w:after="0" w:line="11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Non-Australian Holders should generally be subject to Australian dividend withholding tax to the extent the unfranked component of any dividend is not declared to be CFI. Australian dividend withholding tax will be imposed at 30% of the amount of the unfranked dividend, unless a shareholder is a resident of a country with which Australia has a double taxation treaty (DTT) and qualifies for the benefits of the treaty. In the event the Non-Australian Holder is otherwise able to rely on a DTT with Australia, the rate of Australian dividend withholding tax may be reduced (typically to 15%), depending on the terms of the DTT.</w:t>
      </w:r>
    </w:p>
    <w:p>
      <w:pPr>
        <w:spacing w:after="0" w:line="79"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Under the provisions of the current Double Taxation Convention between Australia and the United States, the Australian tax withheld on unfranked dividends that are not declared to be CFI paid by us to a resident of the United States who is beneficially entitled and entitled to benefits under the DTT is limited to 15%.</w:t>
      </w:r>
    </w:p>
    <w:p>
      <w:pPr>
        <w:spacing w:after="0" w:line="68"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Under the Double Taxation Convention between Australia and the United States, if a company that is a Non-Australian Holder directly holds at least 10% of the voting power in an Australian company (i.e. IREN), and is entitled to benefits under the DTT, the Australian tax withheld on unfranked dividends that are not declared to be CFI paid by us to which a resident of the United States is beneficially entitled is limited to 5%.</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Gains Tax (“CGT”) Implications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Disposal of shares</w:t>
      </w:r>
    </w:p>
    <w:p>
      <w:pPr>
        <w:spacing w:after="0" w:line="11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Non-Australian Holders who are treated as the owners of the underlying shares on the basis that they are absolutely entitled to those ordinary shares will not be subject to Australian capital gains tax on the gain made on a sale or other disposal of ordinary shares unless:</w:t>
      </w:r>
    </w:p>
    <w:p>
      <w:pPr>
        <w:spacing w:after="0" w:line="64"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Australian Real Property Interests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360" w:right="519" w:hanging="348"/>
        <w:spacing w:after="0" w:line="266" w:lineRule="auto"/>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together with their associates as defined for Australian tax purposes, hold 10% or more of our issued capital, voting rights or rights to distributions on winding-up or otherwise at the time of disposal or for a 12-month period during the two years prior to disposal; and</w:t>
      </w:r>
    </w:p>
    <w:p>
      <w:pPr>
        <w:spacing w:after="0" w:line="67" w:lineRule="exact"/>
        <w:rPr>
          <w:rFonts w:ascii="Times New Roman" w:cs="Times New Roman" w:eastAsia="Times New Roman" w:hAnsi="Times New Roman"/>
          <w:sz w:val="18"/>
          <w:szCs w:val="18"/>
          <w:color w:val="auto"/>
        </w:rPr>
      </w:pPr>
    </w:p>
    <w:p>
      <w:pPr>
        <w:ind w:left="1360" w:right="699" w:hanging="348"/>
        <w:spacing w:after="0" w:line="266" w:lineRule="auto"/>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held directly or indirectly, determined by reference to market value, consists of Australian real property (which includes land and leasehold interests) or Australian mining, quarrying or prospecting rights at the time of disposal; or</w:t>
      </w:r>
    </w:p>
    <w:p>
      <w:pPr>
        <w:spacing w:after="0" w:line="63" w:lineRule="exact"/>
        <w:rPr>
          <w:rFonts w:ascii="Times New Roman" w:cs="Times New Roman" w:eastAsia="Times New Roman" w:hAnsi="Times New Roman"/>
          <w:sz w:val="18"/>
          <w:szCs w:val="18"/>
          <w:color w:val="auto"/>
        </w:rPr>
      </w:pPr>
    </w:p>
    <w:p>
      <w:pPr>
        <w:ind w:left="1000" w:right="539" w:hanging="348"/>
        <w:spacing w:after="0" w:line="28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Permanent Establishment</w:t>
      </w:r>
      <w:r>
        <w:rPr>
          <w:rFonts w:ascii="Times New Roman" w:cs="Times New Roman" w:eastAsia="Times New Roman" w:hAnsi="Times New Roman"/>
          <w:sz w:val="18"/>
          <w:szCs w:val="18"/>
          <w:color w:val="auto"/>
        </w:rPr>
        <w:t>) they have used the shares at any time in carrying on a business through an Australian permanent establishment.</w:t>
      </w:r>
    </w:p>
    <w:p>
      <w:pPr>
        <w:spacing w:after="0" w:line="5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Australian capital gains tax applies to net capital gains at a taxpayer’s marginal tax rates. Net capital gains are calculated after reduction for capital losses, which may only be offset against capital gains.</w:t>
      </w:r>
    </w:p>
    <w:p>
      <w:pPr>
        <w:spacing w:after="0" w:line="54"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capital gains tax discount is not available to Non-Australian Holders on gains in respect of IREN ordinary shares, where they were non-Australian residents during the entire holding period. Where Non-Australian Holders were Australian tax residents for some of the holding period, the capital gains tax discount percentage is reduced to account for the period of foreign residency during the entire holding period. Companies are not entitled to a capital gains tax discount.</w:t>
      </w:r>
    </w:p>
    <w:p>
      <w:pPr>
        <w:spacing w:after="0" w:line="75"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Broadly, where there is a disposal of Indirect Australian Real Property Interests by a Non-Australian Holder, the purchaser will be required to withhold and remit to the Australian Taxation Office, or the ATO, 15% of the proceeds from the sale. A transaction is excluded from the withholding requirements in certain circumstances, including where the transaction is an on-market transaction conducted on an approved stock exchange, a securities lending, or the transaction is conducted using a broker operated crossing system. There may also be 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spacing w:after="0" w:line="68"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federal Government announced in the 2024-2025 Budget a measure to strengthen the foreign resident CGT regime, including to clarify and broaden the types of assets that foreign residents are subject to CGT on and to amend the testing period for the principal asset test to be the previous 365 days before the time of disposal. As announced by the federal Government in the 2025-2026 Budget, the amendments are intended to apply from the later of 1 October 2025 or the first 1 January, 1 April, 1 July or 1 October after the amending statute receives Royal Assent. The Treasury released a Consultation Paper in July 2024 regarding the proposed changes, which includes a discussion about options and rights to acquire assets. Non-Australian Holders should monitor these amendments, and their potential impact on the taxation consequences described herein.</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Dual Residency</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If a holder of ordinary shares is a resident of both Australia and the United States under those countries’ domestic taxation laws, that holder may be subject to tax as an Australian resident. Holders should obtain specialist taxation advice in these circumstances.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Australian Tax Matters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comments apply to both Australian Resident Holders and Non-Australian Holders.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No Australian stamp duty is payable on the issue, transfer and/or surrender of the ordinary shares, provided IREN remains listed on the Nasdaq and all shares are quoted on that exchange and the issue/transfer/surrender of ordinary shares does not result in a person, whether alone or together with associated/related persons or with otherwise unassociated persons as part of substantially one arrangement, having a 90% or more interest in IREN (by reference to their entitlement to a distribution of property of IREN on a winding up or otherwise).</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Australian GST will be payable on the supply of the ordinary shares.</w:t>
      </w:r>
    </w:p>
    <w:p>
      <w:pPr>
        <w:spacing w:after="0" w:line="113" w:lineRule="exact"/>
        <w:rPr>
          <w:sz w:val="20"/>
          <w:szCs w:val="20"/>
          <w:color w:val="auto"/>
        </w:rPr>
      </w:pPr>
    </w:p>
    <w:p>
      <w:pPr>
        <w:ind w:left="30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Subject to certain requirements, there may be a restriction on the entitlement of IREN ordinary shareholders to claim an input tax credit for any GST incurred on costs associated with the acquisition or disposal of IREN ordinary shares (e.g., lawyer’s and accountants’ fees).</w:t>
      </w:r>
    </w:p>
    <w:p>
      <w:pPr>
        <w:spacing w:after="0" w:line="6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DISCUSSION ABOVE IS A SUMMARY OF THE AUSTRALIAN TAX CONSEQUENCES OF AN INVESTMENT IN OUR ORDINARY SHARES AND IS BASED UPON LAWS AND RELEVANT INTERPRETATIONS THEREOF IN EFFECT AS OF THE DATE OF THIS PROSPECTUS, ALL OF WHICH ARE SUBJECT TO CHANGE, POSSIBLY WITH RETROACTIVE EFFECT. EACH PROSPECTIVE INVESTOR IS URGED TO CONSULT ITS OWN TAX ADVISOR.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We previously entered into the sales agreement, dated as of January 21, 2025 and subsequently amended and restated on August 28, 2025 (the “sales agreement”), with B. Riley Securities, Canaccord Genuity, Cantor, Citigroup, Compass Point, JPMS, Macquarie Capital and Roth Capital Partners, to which Citizens Capital Markets, Goldman Sachs &amp; Co. LLC and Jefferies were joined on March 4, 2026, under which we may offer and sell our ordinary shares from time to time through or to B. Riley Securities, Canaccord Genuity, Cantor, Citigroup, Citizens Capital Markets, Compass Point, Goldman Sachs &amp; Co. LLC, Jefferies, JPMS, Macquarie Capital and Roth Capital Partners each acting as agent or principal (each a “sales agent” and collectively, the “sales agents”) in an amount not to exceed the lesser of the amount registered on an effective registration statement and for which we have filed a prospectus, and the amount authorized from time to time to be issued and sold under the sales agreement by the Board. As a result, we may increase the amount of ordinary shares that may be sold from time to time pursuant to the sales agreement.</w:t>
      </w:r>
    </w:p>
    <w:p>
      <w:pPr>
        <w:spacing w:after="0" w:line="84"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This prospectus supplement replaces and supersedes in its entirety the previously filed prospectus supplement dated August 28, 2025 relating to the offer and sale of our ordinary shares under the sales agreement having an aggregate offering price of up to $1,000,000,000 and no additional ordinary shares will be sold under the previously filed prospectus supplement following the date of this prospectus supplement. As of the date of this prospectus supplement, we have sold an aggregate of 66,707,732 ordinary shares for an aggregate offering price of approximately $1.0 billion in gross proceeds under the previously filed prospectus supplement. Under this prospectus supplement, we may offer and sell our ordinary shares in accordance with the terms of the sales agreement having an aggregate offering price of up to $6,000,000,000 from time to time through or to the sales agents, as agent or principal, which amount is in addition to the ordinary shares previously sold under the previously filed prospectus supplement. As a result, in accordance with the terms of the sales agreement, under this prospectus supplement and the accompanying prospectus, we may offer and sell our ordinary shares having an aggregate offering price of up to $6,000,000,000 from time to time through or to the sales agents, as agent or principal. Sales of our ordinary shares, if any, under this prospectus supplement and the accompanying prospectus will be made by any method that is deemed to be an “at the market offering” as defined in Rule 415(a)(4) under the Securities Act.</w:t>
      </w:r>
    </w:p>
    <w:p>
      <w:pPr>
        <w:spacing w:after="0" w:line="7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Each time we wish to issue and sell ordinary shares under the sales agreement, we will notify a sales agent of the number of ordinary shares to be sold, the time period during which such sales are requested to be made, any limitation on the number of ordinary shares to be sold in any one day and any minimum price below which sales may not be made. Once we have so instructed such sales agent, unless the sales agent decline in writing to accept the terms of such notice, such sales agent has agreed to use commercially reasonable efforts consistent with its normal trading and sales practices to sell such ordinary shares up to the amount specified on such terms. We have no obligation to sell any ordinary shares under the sales agreement. The obligations of the sales agents under the sales agreement to sell our ordinary shares are subject to a number of conditions that we must meet.</w:t>
      </w:r>
    </w:p>
    <w:p>
      <w:pPr>
        <w:spacing w:after="0" w:line="8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settlement of sales of our ordinary shares between us and the sales agents is generally anticipated to occur on the first trading day following the date on which the sale was made. Sales of our ordinary shares as contemplated in this prospectus supplement will be settled through the facilities of The Depository Trust Company or by such other means as we and the sales agents may agree upon. There is no arrangement for funds to be received in an escrow, trust or similar arrangement.</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will pay the sales agents a commission of up to 1.25% of the aggregate gross proceeds we receive from each sale of our ordinary shares. Because there is no minimum offering amount required as a condition to close this offering, the actual total public offering amount, commissions and proceeds to us are not determinable at this time. Except as we and the sales agents otherwise agree, we have agreed to reimburse the sales agents for the fees and disbursements of their counsel, payable upon execution of the original sales agreement and which has already been paid, in an amount not to exceed $60,000, in addition to certain ongoing disbursements of their legal counsel in the amounts of $5,000 in connection with certain events described in the sales agreement unless we and the sales agents otherwise agree. We estimate that the total expenses for the offering, excluding any commissions or expense reimbursement payable to the sales agents under the terms of the sales agreement, will be approximately $2,500,000. The remaining proceeds, after deducting any other transaction fees, will equal our net proceeds from the sale of our ordinary shares in this offering.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sales agents will provide written confirmation to us as soon as practicable after the close on Nasdaq on each day on which ordinary shares are sold under the sales agreement. Each confirmation will include the number of ordinary shares sold on that day, the aggregate gross proceeds of such sales and the proceeds to us.</w:t>
      </w:r>
    </w:p>
    <w:p>
      <w:pPr>
        <w:spacing w:after="0" w:line="6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sale of ordinary shares on our behalf, each sales agent will be deemed to be an “underwriter” within the meaning of the Securities Act, and the compensation of the sales agents will be deemed to be underwriting commissions or discounts. We have agreed to indemnify the sales agents against certain liabilities, including civil liabilities under the Securities Act. We have also agreed to contribute to payments the sales agents may be required to make in respect of such liabilities.</w:t>
      </w:r>
    </w:p>
    <w:p>
      <w:pPr>
        <w:spacing w:after="0" w:line="75"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 offering of our ordinary shares pursuant to the sales agreement can be terminated at the option of the sales agents and/or the Company as permitted therein.</w:t>
      </w:r>
    </w:p>
    <w:p>
      <w:pPr>
        <w:spacing w:after="0" w:line="54"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Certain sales agents and their respective affiliates have in the past and may in the future provide various investment banking, commercial banking, financial advisory and other financial services for us and our affiliates, for which services they have received or may in the future receive customary fees. To the extent required by Regulation M under the Exchange Act, none of the sales agents will engage in any market-making activities involving our ordinary shares while the offering is ongoing under this prospectus supplement.</w:t>
      </w:r>
    </w:p>
    <w:p>
      <w:pPr>
        <w:spacing w:after="0" w:line="75"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a website maintained by each sales agent, and each sales agent may distribute the prospectus supplement and the accompanying prospectus electronically.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The validity of certain securities and certain other matters with respect to Australian law will be passed upon for us by Allens, located at Level 28, 126 Phillip Street, Sydney, NSW 2000, Australia. The validity of certain securities and certain matters with respect to U.S. federal and New York State law will be passed upon for us by Davis Polk &amp; Wardwell LLP, located at 450 Lexington Avenue, New York, New York 10017. The sales agents are represented in connection with this offering by Latham &amp; Watkins LLP, located at 1271 Avenue of the Americas, New York, New York 10020.</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for the fiscal years ended June 30, 2025, 2024 and 2023 incorporated by reference in this prospectus supplement and elsewhere in the registration statement have been so incorporated by reference in reliance on the report of Raymond Chabot Grant Thornton LLP, independent registered public accountants, upon the authority of said firm as experts in accounting and auditing.</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S-3 under the Securities Act.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w:t>
      </w:r>
    </w:p>
    <w:p>
      <w:pPr>
        <w:spacing w:after="0" w:line="81" w:lineRule="exact"/>
        <w:rPr>
          <w:sz w:val="20"/>
          <w:szCs w:val="20"/>
          <w:color w:val="auto"/>
        </w:rPr>
      </w:pPr>
    </w:p>
    <w:p>
      <w:pPr>
        <w:jc w:val="both"/>
        <w:ind w:left="300" w:right="839" w:firstLine="360"/>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information requirements of the Exchange Act and accordingly, we are required to file reports and other information with the SEC, including annual reports on Form 10-K, quarterly reports on Form 10-Q and current reports on Form 8-K and proxy and information statements.</w:t>
      </w:r>
    </w:p>
    <w:p>
      <w:pPr>
        <w:spacing w:after="0" w:line="68"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Our SEC filings, including our registration statements, are available to you on the SEC’s website at www.sec.gov. This site contains reports, proxy and information statements and other information regarding issuers that file electronically with the SEC. We also maintain a website at www.iren.com.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 supplement, the accompanying prospectus or the registration statement of which this prospectus supplement forms in part.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rules of the SEC allow us to incorporate information into this prospectus supplement by reference, which means that we disclose important information to you by referring you to another document filed separately with the SEC. The information incorporated by reference is considered to be part of this prospectus supplement. This prospectus supplement incorporates by reference the documents listed below:</w:t>
      </w:r>
    </w:p>
    <w:p>
      <w:pPr>
        <w:spacing w:after="0" w:line="72" w:lineRule="exact"/>
        <w:rPr>
          <w:sz w:val="20"/>
          <w:szCs w:val="20"/>
          <w:color w:val="auto"/>
        </w:rPr>
      </w:pPr>
    </w:p>
    <w:p>
      <w:pPr>
        <w:ind w:left="1000" w:right="1119" w:hanging="348"/>
        <w:spacing w:after="0" w:line="282" w:lineRule="auto"/>
        <w:tabs>
          <w:tab w:leader="none" w:pos="100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June 30, 2025, filed with the SEC on </w:t>
      </w:r>
      <w:hyperlink r:id="rId42">
        <w:r>
          <w:rPr>
            <w:rFonts w:ascii="Times New Roman" w:cs="Times New Roman" w:eastAsia="Times New Roman" w:hAnsi="Times New Roman"/>
            <w:sz w:val="18"/>
            <w:szCs w:val="18"/>
            <w:u w:val="single" w:color="auto"/>
            <w:color w:val="0000EE"/>
          </w:rPr>
          <w:t>August 28,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459" w:hanging="348"/>
        <w:spacing w:after="0" w:line="266" w:lineRule="auto"/>
        <w:tabs>
          <w:tab w:leader="none" w:pos="100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June 30, 2025 from our Definitive Proxy Statement on Schedule 14A, filed with the SEC on </w:t>
      </w:r>
      <w:hyperlink r:id="rId43">
        <w:r>
          <w:rPr>
            <w:rFonts w:ascii="Times New Roman" w:cs="Times New Roman" w:eastAsia="Times New Roman" w:hAnsi="Times New Roman"/>
            <w:sz w:val="18"/>
            <w:szCs w:val="18"/>
            <w:u w:val="single" w:color="auto"/>
            <w:color w:val="0000EE"/>
          </w:rPr>
          <w:t>October 6, 2025</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000" w:right="4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September 30, 2025 and December 31, 2025 filed with the SEC on </w:t>
      </w:r>
      <w:hyperlink r:id="rId44">
        <w:r>
          <w:rPr>
            <w:rFonts w:ascii="Times New Roman" w:cs="Times New Roman" w:eastAsia="Times New Roman" w:hAnsi="Times New Roman"/>
            <w:sz w:val="18"/>
            <w:szCs w:val="18"/>
            <w:u w:val="single" w:color="auto"/>
            <w:color w:val="0000EE"/>
          </w:rPr>
          <w:t>November 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5">
        <w:r>
          <w:rPr>
            <w:rFonts w:ascii="Times New Roman" w:cs="Times New Roman" w:eastAsia="Times New Roman" w:hAnsi="Times New Roman"/>
            <w:sz w:val="18"/>
            <w:szCs w:val="18"/>
            <w:u w:val="single" w:color="auto"/>
            <w:color w:val="0000EE"/>
          </w:rPr>
          <w:t>February 5, 2026</w:t>
        </w:r>
      </w:hyperlink>
      <w:r>
        <w:rPr>
          <w:rFonts w:ascii="Times New Roman" w:cs="Times New Roman" w:eastAsia="Times New Roman" w:hAnsi="Times New Roman"/>
          <w:sz w:val="18"/>
          <w:szCs w:val="18"/>
          <w:color w:val="auto"/>
        </w:rPr>
        <w:t>, respectively;</w:t>
      </w:r>
    </w:p>
    <w:p>
      <w:pPr>
        <w:spacing w:after="0" w:line="53" w:lineRule="exact"/>
        <w:rPr>
          <w:rFonts w:ascii="Times New Roman" w:cs="Times New Roman" w:eastAsia="Times New Roman" w:hAnsi="Times New Roman"/>
          <w:sz w:val="18"/>
          <w:szCs w:val="18"/>
          <w:color w:val="auto"/>
        </w:rPr>
      </w:pPr>
    </w:p>
    <w:p>
      <w:pPr>
        <w:jc w:val="both"/>
        <w:ind w:left="1000" w:right="559" w:hanging="348"/>
        <w:spacing w:after="0" w:line="258" w:lineRule="auto"/>
        <w:tabs>
          <w:tab w:leader="none" w:pos="100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6">
        <w:r>
          <w:rPr>
            <w:rFonts w:ascii="Times New Roman" w:cs="Times New Roman" w:eastAsia="Times New Roman" w:hAnsi="Times New Roman"/>
            <w:sz w:val="18"/>
            <w:szCs w:val="18"/>
            <w:u w:val="single" w:color="auto"/>
            <w:color w:val="0000EE"/>
          </w:rPr>
          <w:t>July 1, 2025</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July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the second report filed on such date), </w:t>
      </w:r>
      <w:hyperlink r:id="rId48">
        <w:r>
          <w:rPr>
            <w:rFonts w:ascii="Times New Roman" w:cs="Times New Roman" w:eastAsia="Times New Roman" w:hAnsi="Times New Roman"/>
            <w:sz w:val="18"/>
            <w:szCs w:val="18"/>
            <w:u w:val="single" w:color="auto"/>
            <w:color w:val="0000EE"/>
          </w:rPr>
          <w:t>September 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information included therein under Item 5.02), </w:t>
      </w:r>
      <w:hyperlink r:id="rId49">
        <w:r>
          <w:rPr>
            <w:rFonts w:ascii="Times New Roman" w:cs="Times New Roman" w:eastAsia="Times New Roman" w:hAnsi="Times New Roman"/>
            <w:sz w:val="18"/>
            <w:szCs w:val="18"/>
            <w:u w:val="single" w:color="auto"/>
            <w:color w:val="0000EE"/>
          </w:rPr>
          <w:t>October 7, 2025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October 9, 2025</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October 14, 2025</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w:t>
      </w:r>
      <w:hyperlink r:id="rId53">
        <w:r>
          <w:rPr>
            <w:rFonts w:ascii="Times New Roman" w:cs="Times New Roman" w:eastAsia="Times New Roman" w:hAnsi="Times New Roman"/>
            <w:sz w:val="18"/>
            <w:szCs w:val="18"/>
            <w:color w:val="auto"/>
          </w:rPr>
          <w:t xml:space="preserve">only with respect to information included therein under Item 1.01), </w:t>
        </w:r>
        <w:r>
          <w:rPr>
            <w:rFonts w:ascii="Times New Roman" w:cs="Times New Roman" w:eastAsia="Times New Roman" w:hAnsi="Times New Roman"/>
            <w:sz w:val="18"/>
            <w:szCs w:val="18"/>
            <w:u w:val="single" w:color="auto"/>
            <w:color w:val="0000EE"/>
          </w:rPr>
          <w:t>November 24,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November 28,</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December 1, 2025</w:t>
        </w:r>
      </w:hyperlink>
      <w:hyperlink r:id="rId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December 3, 2025</w:t>
        </w:r>
      </w:hyperlink>
      <w:hyperlink r:id="rId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 xml:space="preserve">December 8, 2025 </w:t>
        </w:r>
      </w:hyperlink>
      <w:hyperlink r:id="rId5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March 4, 2026</w:t>
        </w:r>
      </w:hyperlink>
      <w:hyperlink r:id="rId53">
        <w:r>
          <w:rPr>
            <w:rFonts w:ascii="Times New Roman" w:cs="Times New Roman" w:eastAsia="Times New Roman" w:hAnsi="Times New Roman"/>
            <w:sz w:val="18"/>
            <w:szCs w:val="18"/>
            <w:color w:val="000000"/>
          </w:rPr>
          <w:t>; and</w:t>
        </w:r>
      </w:hyperlink>
    </w:p>
    <w:p>
      <w:pPr>
        <w:spacing w:after="0" w:line="75" w:lineRule="exact"/>
        <w:rPr>
          <w:rFonts w:ascii="Times New Roman" w:cs="Times New Roman" w:eastAsia="Times New Roman" w:hAnsi="Times New Roman"/>
          <w:sz w:val="18"/>
          <w:szCs w:val="18"/>
          <w:color w:val="0000EE"/>
        </w:rPr>
      </w:pPr>
    </w:p>
    <w:p>
      <w:pPr>
        <w:ind w:left="1000" w:right="699" w:hanging="348"/>
        <w:spacing w:after="0" w:line="266" w:lineRule="auto"/>
        <w:tabs>
          <w:tab w:leader="none" w:pos="100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share capital contained in our registration statement on Form 8-A dated </w:t>
      </w:r>
      <w:hyperlink r:id="rId58">
        <w:r>
          <w:rPr>
            <w:rFonts w:ascii="Times New Roman" w:cs="Times New Roman" w:eastAsia="Times New Roman" w:hAnsi="Times New Roman"/>
            <w:sz w:val="18"/>
            <w:szCs w:val="18"/>
            <w:u w:val="single" w:color="auto"/>
            <w:color w:val="0000EE"/>
          </w:rPr>
          <w:t>November 16,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001-41072) filed under the Exchange Act, including any amendment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 filed for the purpose of updating such description.</w:t>
      </w:r>
    </w:p>
    <w:p>
      <w:pPr>
        <w:spacing w:after="0" w:line="68" w:lineRule="exact"/>
        <w:rPr>
          <w:rFonts w:ascii="Times New Roman" w:cs="Times New Roman" w:eastAsia="Times New Roman" w:hAnsi="Times New Roman"/>
          <w:sz w:val="18"/>
          <w:szCs w:val="18"/>
          <w:color w:val="0000EE"/>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supplement or in a document incorporated by reference into this prospectus supplement will be deemed to be modified or superseded for purposes of this prospectus supplement to the extent that a statement contained in this prospectus supplement modifies or supersedes that statement. Any statement so modified or superseded will not be deemed, except as so modified or superseded, to constitute part of this prospectus supplement.</w:t>
      </w:r>
    </w:p>
    <w:p>
      <w:pPr>
        <w:spacing w:after="0" w:line="75" w:lineRule="exact"/>
        <w:rPr>
          <w:rFonts w:ascii="Times New Roman" w:cs="Times New Roman" w:eastAsia="Times New Roman" w:hAnsi="Times New Roman"/>
          <w:sz w:val="18"/>
          <w:szCs w:val="18"/>
          <w:color w:val="0000EE"/>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All subsequent annual reports on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supplement forms a part, shall be incorporated by reference.</w:t>
      </w:r>
    </w:p>
    <w:p>
      <w:pPr>
        <w:spacing w:after="0" w:line="75" w:lineRule="exact"/>
        <w:rPr>
          <w:rFonts w:ascii="Times New Roman" w:cs="Times New Roman" w:eastAsia="Times New Roman" w:hAnsi="Times New Roman"/>
          <w:sz w:val="18"/>
          <w:szCs w:val="18"/>
          <w:color w:val="0000EE"/>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You can obtain any of the filings incorporated by reference into this prospectus supplement through us or from the SEC through the SEC’s website at www.sec.gov. We will provide, without charge, to each person, including any beneficial owner, to whom a copy of this prospectus supplement is delivered, upon written or oral request of such person, a copy of any or all of the reports or documents referred to above which have been or may be incorporated by reference into this prospectus supplement. You should direct all requests for those documents to:</w:t>
      </w:r>
    </w:p>
    <w:p>
      <w:pPr>
        <w:spacing w:after="0" w:line="114"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Level 5, 55 Market Street</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+61 2 7906 8301</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ir@iren.com</w:t>
      </w:r>
    </w:p>
    <w:p>
      <w:pPr>
        <w:spacing w:after="0" w:line="99" w:lineRule="exact"/>
        <w:rPr>
          <w:rFonts w:ascii="Times New Roman" w:cs="Times New Roman" w:eastAsia="Times New Roman" w:hAnsi="Times New Roman"/>
          <w:sz w:val="18"/>
          <w:szCs w:val="18"/>
          <w:color w:val="0000EE"/>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We maintain a website at www.iren.com The information contained on, or that may be accessed through, our website is not part of, and is not incorporated by reference into, this prospectus supplement.</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182880</wp:posOffset>
            </wp:positionV>
            <wp:extent cx="1225550" cy="643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12255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IREN Limited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177165</wp:posOffset>
            </wp:positionV>
            <wp:extent cx="10972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62" w:lineRule="exact"/>
        <w:rPr>
          <w:sz w:val="20"/>
          <w:szCs w:val="20"/>
          <w:color w:val="auto"/>
        </w:rPr>
      </w:pPr>
    </w:p>
    <w:p>
      <w:pPr>
        <w:ind w:left="400" w:right="439" w:firstLine="360"/>
        <w:spacing w:after="0" w:line="253" w:lineRule="auto"/>
        <w:rPr>
          <w:sz w:val="20"/>
          <w:szCs w:val="20"/>
          <w:color w:val="auto"/>
        </w:rPr>
      </w:pPr>
      <w:r>
        <w:rPr>
          <w:rFonts w:ascii="Times New Roman" w:cs="Times New Roman" w:eastAsia="Times New Roman" w:hAnsi="Times New Roman"/>
          <w:sz w:val="18"/>
          <w:szCs w:val="18"/>
          <w:color w:val="auto"/>
        </w:rPr>
        <w:t>We or any selling security holder may offer and sell from time to time, in one or more offerings, any combination of the following securities: ordinary shares, debt securities, warrants, subscription rights, purchase contracts and units (collectively, the “securities”). We or any selling security holder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the specific manner in which these securities will be offered and sold and, if applicable, information about any selling security holder in supplements to this prospectus. The prospectus supplements may also supplement, update or amend information contained in this prospectus. You should read this prospectus and any applicable prospectus supplement before you invest.</w:t>
      </w:r>
    </w:p>
    <w:p>
      <w:pPr>
        <w:spacing w:after="0" w:line="86" w:lineRule="exact"/>
        <w:rPr>
          <w:sz w:val="20"/>
          <w:szCs w:val="20"/>
          <w:color w:val="auto"/>
        </w:rPr>
      </w:pPr>
    </w:p>
    <w:p>
      <w:pPr>
        <w:ind w:left="40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“Plan of Distribution” beginning on page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 xml:space="preserve"> of this prospectus.</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(“Nasdaq”) under the symbol “IREN”.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205740</wp:posOffset>
            </wp:positionV>
            <wp:extent cx="1097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left="400" w:right="41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See the “Risk Factors” section beginning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of this prospectus and, if applicable, any risk factors described in any applicable prospectus supplement and in our</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 (“SEC”) filings that are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193040</wp:posOffset>
            </wp:positionV>
            <wp:extent cx="10972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83" w:lineRule="exact"/>
        <w:rPr>
          <w:sz w:val="20"/>
          <w:szCs w:val="20"/>
          <w:color w:val="auto"/>
        </w:rPr>
      </w:pPr>
    </w:p>
    <w:p>
      <w:pPr>
        <w:jc w:val="both"/>
        <w:ind w:left="400" w:right="5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 dated August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64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480" w:type="dxa"/>
            <w:vAlign w:val="bottom"/>
            <w:gridSpan w:val="12"/>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Our Company</w:t>
            </w:r>
          </w:p>
        </w:tc>
        <w:tc>
          <w:tcPr>
            <w:tcW w:w="7100" w:type="dxa"/>
            <w:vAlign w:val="bottom"/>
            <w:gridSpan w:val="17"/>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7100" w:type="dxa"/>
            <w:vAlign w:val="bottom"/>
            <w:gridSpan w:val="17"/>
          </w:tcPr>
          <w:p>
            <w:pPr>
              <w:spacing w:after="0"/>
              <w:rPr>
                <w:sz w:val="16"/>
                <w:szCs w:val="16"/>
                <w:color w:val="auto"/>
              </w:rPr>
            </w:pP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45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20" w:type="dxa"/>
            <w:vAlign w:val="bottom"/>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2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1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940" w:type="dxa"/>
            <w:vAlign w:val="bottom"/>
            <w:gridSpan w:val="9"/>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1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5940" w:type="dxa"/>
            <w:vAlign w:val="bottom"/>
            <w:gridSpan w:val="9"/>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5620" w:type="dxa"/>
            <w:vAlign w:val="bottom"/>
            <w:gridSpan w:val="7"/>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5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5620" w:type="dxa"/>
            <w:vAlign w:val="bottom"/>
            <w:gridSpan w:val="7"/>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6660" w:type="dxa"/>
            <w:vAlign w:val="bottom"/>
            <w:gridSpan w:val="13"/>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 Holders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7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360" w:type="dxa"/>
            <w:vAlign w:val="bottom"/>
            <w:gridSpan w:val="10"/>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31</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120" w:type="dxa"/>
            <w:vAlign w:val="bottom"/>
            <w:gridSpan w:val="18"/>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120" w:type="dxa"/>
            <w:vAlign w:val="bottom"/>
            <w:gridSpan w:val="18"/>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0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Service of Process and Enforceability of Civil Liabilities</w:t>
            </w:r>
          </w:p>
        </w:tc>
        <w:tc>
          <w:tcPr>
            <w:tcW w:w="4040" w:type="dxa"/>
            <w:vAlign w:val="bottom"/>
            <w:gridSpan w:val="2"/>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40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4040" w:type="dxa"/>
            <w:vAlign w:val="bottom"/>
            <w:gridSpan w:val="2"/>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 using a “shelf” registration process. Under this shelf registration process, we or any selling security holder may offer and sell, from time to time, in one or more offerings, any combination of the securities described in this prospectus. This prospectus provides you with a general description of the securities that may be offered by us and/or selling security holders. Each time we or any selling security holder offers or sells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w:t>
      </w:r>
    </w:p>
    <w:p>
      <w:pPr>
        <w:spacing w:after="0" w:line="84"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Before buying any of the securities offered by this prospectus, you should carefully read both this prospectus and any prospectus supplement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65"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Neither we nor any selling security holders, underwriters, dealers or agents have authorized anyone to provide you with information that is different from that contained in this prospectus, any amendment or supplement to this prospectus, or any free writing prospectus we or a selling security holder may authorize to be delivered or made available to you. Neither we nor any selling security holders,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84"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selling security holders, underwriters, dealers or agents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79"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“IREN,” the “Company,” “we,” “our,” “ours,” “us” or similar terms refer to IREN Limited and its subsidiaries.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have unregistered trademarks and services marks, registered website domains, company and business names that we use in connection with the operation of our business. These include, among others, Iris Energy, IREN and www.iren.com. Other trademarks, service marks, and trade names referenced in this prospectus are, to our knowledge, the property of their respective owners.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references to “U.S. dollars,” “dollars,” “$,” “USD” or “US$” are to the U.S. dollar. All references to “Australian dollars,” “AUD” or “A$” are to the Australian dollar, the official currency of Australia. All references to “Canadian dollars,” “CAD” or “C$” are to the Canadian dollar, the official currency of Canada. All references to “GAAP” are to generally accepted accounting principles in the United States. References to a particular “fiscal year” are to IREN’s fiscal year ended June 30 of that year.</w:t>
      </w:r>
    </w:p>
    <w:p>
      <w:pPr>
        <w:spacing w:after="0" w:line="75" w:lineRule="exact"/>
        <w:rPr>
          <w:sz w:val="20"/>
          <w:szCs w:val="20"/>
          <w:color w:val="auto"/>
        </w:rPr>
      </w:pPr>
    </w:p>
    <w:p>
      <w:pPr>
        <w:ind w:left="300" w:right="679" w:firstLine="360"/>
        <w:spacing w:after="0" w:line="258" w:lineRule="auto"/>
        <w:rPr>
          <w:sz w:val="20"/>
          <w:szCs w:val="20"/>
          <w:color w:val="auto"/>
        </w:rPr>
      </w:pPr>
      <w:r>
        <w:rPr>
          <w:rFonts w:ascii="Times New Roman" w:cs="Times New Roman" w:eastAsia="Times New Roman" w:hAnsi="Times New Roman"/>
          <w:sz w:val="18"/>
          <w:szCs w:val="18"/>
          <w:color w:val="auto"/>
        </w:rPr>
        <w:t>Any discrepancies in any table between totals and sums of the amounts listed are due to rounding. 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This prospectus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and AI services market, or any other market or industry referenced in this prospectus. We do not intend, and do not assume any obligations, to update industry or market data set forth in this prospectus. Finally, behavior, preferences and trends in the marketplace tend to change. As a result, investors and prospective investors should be aware that data in this prospectus and estimates based on such data may not be reliable indicators of future results.</w:t>
      </w:r>
    </w:p>
    <w:p>
      <w:pPr>
        <w:spacing w:after="0" w:line="7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References to “market share” and “market leader” are based on global revenues in the referenced market, and unless otherwise specified herein, are based on certain of the materials referenced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 OF INDUSTRY TERMS AND CONCEPTS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Throughout this prospectus, we use a number of industry terms and concepts which are defined as follows:</w:t>
      </w:r>
    </w:p>
    <w:p>
      <w:pPr>
        <w:spacing w:after="0" w:line="113" w:lineRule="exact"/>
        <w:rPr>
          <w:sz w:val="20"/>
          <w:szCs w:val="20"/>
          <w:color w:val="auto"/>
        </w:rPr>
      </w:pPr>
    </w:p>
    <w:p>
      <w:pPr>
        <w:ind w:left="1000" w:right="1299" w:hanging="348"/>
        <w:spacing w:after="0" w:line="28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 Cloud Services</w:t>
      </w:r>
      <w:r>
        <w:rPr>
          <w:rFonts w:ascii="Times New Roman" w:cs="Times New Roman" w:eastAsia="Times New Roman" w:hAnsi="Times New Roman"/>
          <w:sz w:val="18"/>
          <w:szCs w:val="18"/>
          <w:color w:val="auto"/>
        </w:rPr>
        <w:t>: platforms that provide access to AI/ML capabilities through cloud-based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w:t>
      </w:r>
    </w:p>
    <w:p>
      <w:pPr>
        <w:spacing w:after="0" w:line="46" w:lineRule="exact"/>
        <w:rPr>
          <w:rFonts w:ascii="Times New Roman" w:cs="Times New Roman" w:eastAsia="Times New Roman" w:hAnsi="Times New Roman"/>
          <w:sz w:val="18"/>
          <w:szCs w:val="18"/>
          <w:color w:val="auto"/>
        </w:rPr>
      </w:pPr>
    </w:p>
    <w:p>
      <w:pPr>
        <w:ind w:left="1000" w:right="359" w:hanging="348"/>
        <w:spacing w:after="0" w:line="257"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AI/ML</w:t>
      </w:r>
      <w:r>
        <w:rPr>
          <w:rFonts w:ascii="Times New Roman" w:cs="Times New Roman" w:eastAsia="Times New Roman" w:hAnsi="Times New Roman"/>
          <w:sz w:val="18"/>
          <w:szCs w:val="18"/>
          <w:color w:val="auto"/>
        </w:rPr>
        <w:t>: Artificial Intelligence and Machine Learning. Artificial Intelligence (“AI”) is computer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mimics human cognitive abilities in 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spacing w:after="0" w:line="7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ASICs</w:t>
      </w:r>
      <w:r>
        <w:rPr>
          <w:rFonts w:ascii="Times New Roman" w:cs="Times New Roman" w:eastAsia="Times New Roman" w:hAnsi="Times New Roman"/>
          <w:sz w:val="18"/>
          <w:szCs w:val="18"/>
          <w:color w:val="auto"/>
        </w:rPr>
        <w:t>: An Application Specific Integrated Circuit is a type of integrated circuit that is custom-designed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particular use, rather than intended for general-purpose use.</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A system of global, decentralized, scarce, digital money as initially introduced in a white paper</w:t>
      </w:r>
    </w:p>
    <w:p>
      <w:pPr>
        <w:spacing w:after="0" w:line="3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titled Bitcoin: A Peer-to-Peer Electronic Cash System by Satoshi Nakamoto.</w:t>
      </w:r>
    </w:p>
    <w:p>
      <w:pPr>
        <w:spacing w:after="0" w:line="9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 network</w:t>
      </w:r>
      <w:r>
        <w:rPr>
          <w:rFonts w:ascii="Times New Roman" w:cs="Times New Roman" w:eastAsia="Times New Roman" w:hAnsi="Times New Roman"/>
          <w:sz w:val="18"/>
          <w:szCs w:val="18"/>
          <w:color w:val="auto"/>
        </w:rPr>
        <w:t>: The collection of all nodes running the Bitcoin protocol. This includes miners that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power to maintain the ledger and add new blocks to the blockchain.</w:t>
      </w:r>
    </w:p>
    <w:p>
      <w:pPr>
        <w:spacing w:after="0" w:line="46"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w:t>
      </w:r>
      <w:r>
        <w:rPr>
          <w:rFonts w:ascii="Times New Roman" w:cs="Times New Roman" w:eastAsia="Times New Roman" w:hAnsi="Times New Roman"/>
          <w:sz w:val="18"/>
          <w:szCs w:val="18"/>
          <w:color w:val="auto"/>
        </w:rPr>
        <w:t>: A bundle of transactions analogous with digital pages in a ledger. Transactions are bundled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blocks, which are then added to the ledger. Miners are rewarded for “mining” a new block.</w:t>
      </w:r>
    </w:p>
    <w:p>
      <w:pPr>
        <w:spacing w:after="0" w:line="46" w:lineRule="exact"/>
        <w:rPr>
          <w:rFonts w:ascii="Times New Roman" w:cs="Times New Roman" w:eastAsia="Times New Roman" w:hAnsi="Times New Roman"/>
          <w:sz w:val="18"/>
          <w:szCs w:val="18"/>
          <w:color w:val="auto"/>
        </w:rPr>
      </w:pPr>
    </w:p>
    <w:p>
      <w:pPr>
        <w:ind w:left="1000" w:right="499" w:hanging="348"/>
        <w:spacing w:after="0" w:line="26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blockchain</w:t>
      </w:r>
      <w:r>
        <w:rPr>
          <w:rFonts w:ascii="Times New Roman" w:cs="Times New Roman" w:eastAsia="Times New Roman" w:hAnsi="Times New Roman"/>
          <w:sz w:val="18"/>
          <w:szCs w:val="18"/>
          <w:color w:val="auto"/>
        </w:rPr>
        <w:t>: A software program containing a cryptographically secure digital ledger that maintains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of all transactions that occur on the network, that enables peer-to-peer transmission of transaction information, and that follows a consensus protocol for confirming new blocks to be added to the blockchain.</w:t>
      </w:r>
    </w:p>
    <w:p>
      <w:pPr>
        <w:spacing w:after="0" w:line="6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board of directors of IREN Limited.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59"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difficulty</w:t>
      </w:r>
      <w:r>
        <w:rPr>
          <w:rFonts w:ascii="Times New Roman" w:cs="Times New Roman" w:eastAsia="Times New Roman" w:hAnsi="Times New Roman"/>
          <w:sz w:val="18"/>
          <w:szCs w:val="18"/>
          <w:color w:val="auto"/>
        </w:rPr>
        <w:t>: In the context of Bitcoin mining, a measure of the relative complexity of the algorithmic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required for a miner to mine a block and receive the Bitcoin 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asset</w:t>
      </w:r>
      <w:r>
        <w:rPr>
          <w:rFonts w:ascii="Times New Roman" w:cs="Times New Roman" w:eastAsia="Times New Roman" w:hAnsi="Times New Roman"/>
          <w:sz w:val="18"/>
          <w:szCs w:val="18"/>
          <w:color w:val="auto"/>
        </w:rPr>
        <w:t>: Bitcoin and alternative coins, or “altcoins,” launched after the success of Bitcoin.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is designed to serve functions including as a medium of exchange, store of value, and/or to power applications.</w:t>
      </w:r>
    </w:p>
    <w:p>
      <w:pPr>
        <w:spacing w:after="0" w:line="62" w:lineRule="exact"/>
        <w:rPr>
          <w:rFonts w:ascii="Times New Roman" w:cs="Times New Roman" w:eastAsia="Times New Roman" w:hAnsi="Times New Roman"/>
          <w:sz w:val="18"/>
          <w:szCs w:val="18"/>
          <w:color w:val="auto"/>
        </w:rPr>
      </w:pPr>
    </w:p>
    <w:p>
      <w:pPr>
        <w:ind w:left="1000" w:right="399" w:hanging="348"/>
        <w:spacing w:after="0" w:line="28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fiat currency</w:t>
      </w:r>
      <w:r>
        <w:rPr>
          <w:rFonts w:ascii="Times New Roman" w:cs="Times New Roman" w:eastAsia="Times New Roman" w:hAnsi="Times New Roman"/>
          <w:sz w:val="18"/>
          <w:szCs w:val="18"/>
          <w:color w:val="auto"/>
        </w:rPr>
        <w:t>: A government issued currency that is not backed by a physical commodity, such as gold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silver, but rather by the government that issued it.</w:t>
      </w:r>
    </w:p>
    <w:p>
      <w:pPr>
        <w:spacing w:after="0" w:line="46" w:lineRule="exact"/>
        <w:rPr>
          <w:rFonts w:ascii="Times New Roman" w:cs="Times New Roman" w:eastAsia="Times New Roman" w:hAnsi="Times New Roman"/>
          <w:sz w:val="18"/>
          <w:szCs w:val="18"/>
          <w:color w:val="auto"/>
        </w:rPr>
      </w:pPr>
    </w:p>
    <w:p>
      <w:pPr>
        <w:ind w:left="1000" w:right="639" w:hanging="348"/>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GPUs</w:t>
      </w:r>
      <w:r>
        <w:rPr>
          <w:rFonts w:ascii="Times New Roman" w:cs="Times New Roman" w:eastAsia="Times New Roman" w:hAnsi="Times New Roman"/>
          <w:sz w:val="18"/>
          <w:szCs w:val="18"/>
          <w:color w:val="auto"/>
        </w:rPr>
        <w:t>: Graphics processing units are a type of computing technology designed for parallel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can be used in a wide range of applications, including graphics and video rendering, gaming, creative production and AI.</w:t>
      </w:r>
    </w:p>
    <w:p>
      <w:pPr>
        <w:spacing w:after="0" w:line="62"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w:t>
      </w:r>
      <w:r>
        <w:rPr>
          <w:rFonts w:ascii="Times New Roman" w:cs="Times New Roman" w:eastAsia="Times New Roman" w:hAnsi="Times New Roman"/>
          <w:sz w:val="18"/>
          <w:szCs w:val="18"/>
          <w:color w:val="auto"/>
        </w:rPr>
        <w:t>: To compute a function that takes an input, and then outputs an alphanumeric string known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“hash value”.</w:t>
      </w:r>
    </w:p>
    <w:p>
      <w:pPr>
        <w:spacing w:after="0" w:line="46"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hashrate</w:t>
      </w:r>
      <w:r>
        <w:rPr>
          <w:rFonts w:ascii="Times New Roman" w:cs="Times New Roman" w:eastAsia="Times New Roman" w:hAnsi="Times New Roman"/>
          <w:sz w:val="18"/>
          <w:szCs w:val="18"/>
          <w:color w:val="auto"/>
        </w:rPr>
        <w:t>: The speed at which a miner can produce computations (hashes) using the Bitcoin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algorithm, expressed in hashes per second. The hashrate of all miners on a particular network is referred to as the global hashrate.</w:t>
      </w:r>
    </w:p>
    <w:p>
      <w:pPr>
        <w:spacing w:after="0" w:line="62" w:lineRule="exact"/>
        <w:rPr>
          <w:rFonts w:ascii="Times New Roman" w:cs="Times New Roman" w:eastAsia="Times New Roman" w:hAnsi="Times New Roman"/>
          <w:sz w:val="18"/>
          <w:szCs w:val="18"/>
          <w:color w:val="auto"/>
        </w:rPr>
      </w:pPr>
    </w:p>
    <w:p>
      <w:pPr>
        <w:ind w:left="1000" w:right="539" w:hanging="348"/>
        <w:spacing w:after="0" w:line="259"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w:t>
      </w:r>
      <w:r>
        <w:rPr>
          <w:rFonts w:ascii="Times New Roman" w:cs="Times New Roman" w:eastAsia="Times New Roman" w:hAnsi="Times New Roman"/>
          <w:sz w:val="18"/>
          <w:szCs w:val="18"/>
          <w:color w:val="auto"/>
        </w:rPr>
        <w:t>: High-performance computing, which refers to the aggregation of computing power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performance levels, often utilized to perform complex calculations in fields including science, engineering, finance, AI/ML, and business. It typically involves using supercomputers or clusters of computers, often employing parallel processing, to perform calculations simultaneously, thereby greatly reducing computation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00" w:right="339" w:hanging="348"/>
        <w:spacing w:after="0" w:line="26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miner</w:t>
      </w:r>
      <w:r>
        <w:rPr>
          <w:rFonts w:ascii="Times New Roman" w:cs="Times New Roman" w:eastAsia="Times New Roman" w:hAnsi="Times New Roman"/>
          <w:sz w:val="18"/>
          <w:szCs w:val="18"/>
          <w:color w:val="auto"/>
        </w:rPr>
        <w:t>: Individuals or entities who operate a computer or group of computers that compete to mine blocks.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miners who successfully mine blocks are rewarded with new Bitcoin as well as any transaction fees.</w:t>
      </w:r>
    </w:p>
    <w:p>
      <w:pPr>
        <w:spacing w:after="0" w:line="62" w:lineRule="exact"/>
        <w:rPr>
          <w:rFonts w:ascii="Times New Roman" w:cs="Times New Roman" w:eastAsia="Times New Roman" w:hAnsi="Times New Roman"/>
          <w:sz w:val="18"/>
          <w:szCs w:val="18"/>
          <w:color w:val="auto"/>
        </w:rPr>
      </w:pPr>
    </w:p>
    <w:p>
      <w:pPr>
        <w:ind w:left="1000" w:right="419" w:hanging="348"/>
        <w:spacing w:after="0" w:line="28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The process by which new Bitcoin blocks are created, and thus new transactions are added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blockchain in the Bitcoin network.</w:t>
      </w:r>
    </w:p>
    <w:p>
      <w:pPr>
        <w:spacing w:after="0" w:line="46" w:lineRule="exact"/>
        <w:rPr>
          <w:rFonts w:ascii="Times New Roman" w:cs="Times New Roman" w:eastAsia="Times New Roman" w:hAnsi="Times New Roman"/>
          <w:sz w:val="18"/>
          <w:szCs w:val="18"/>
          <w:color w:val="auto"/>
        </w:rPr>
      </w:pPr>
    </w:p>
    <w:p>
      <w:pPr>
        <w:ind w:left="1000" w:right="379" w:hanging="348"/>
        <w:spacing w:after="0" w:line="259"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pools</w:t>
      </w:r>
      <w:r>
        <w:rPr>
          <w:rFonts w:ascii="Times New Roman" w:cs="Times New Roman" w:eastAsia="Times New Roman" w:hAnsi="Times New Roman"/>
          <w:sz w:val="18"/>
          <w:szCs w:val="18"/>
          <w:color w:val="auto"/>
        </w:rPr>
        <w:t>: Mining pools are platforms for miners to contribute their hashrate in exchange for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proof-of-stake</w:t>
      </w:r>
      <w:r>
        <w:rPr>
          <w:rFonts w:ascii="Times New Roman" w:cs="Times New Roman" w:eastAsia="Times New Roman" w:hAnsi="Times New Roman"/>
          <w:sz w:val="18"/>
          <w:szCs w:val="18"/>
          <w:color w:val="auto"/>
        </w:rPr>
        <w:t>: An alternative consensus protocol, in which a “validator” typically may use their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assets to validate transactions or blocks. Validators may “stake” their digital assets on whichever transactions they choose to validate. If a validator validates a block (group of transactions) correctly, it will receive a reward. Typically, if a validator verifies an incorrect transaction, it may lose the digital assets that it staked. Proof-of-stake generally requires a negligible amount of computing power compared to proof-of-work.</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9"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proof-of-work</w:t>
      </w:r>
      <w:r>
        <w:rPr>
          <w:rFonts w:ascii="Times New Roman" w:cs="Times New Roman" w:eastAsia="Times New Roman" w:hAnsi="Times New Roman"/>
          <w:sz w:val="18"/>
          <w:szCs w:val="18"/>
          <w:color w:val="auto"/>
        </w:rPr>
        <w:t>: A protocol for establishing consensus across a system that ties mining capability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computational power. Hashing a block, which is in itself an easy computational process, now requires each miner to solve for a certain difficulty variable periodically adjusted by the Bitcoin network protocol. In effect, the process of hashing each block becomes a competition and, as a result, the overall process of hashing requires time and computational effort.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software that governs how a blockchain operates.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w:t>
      </w:r>
      <w:r>
        <w:rPr>
          <w:rFonts w:ascii="Times New Roman" w:cs="Times New Roman" w:eastAsia="Times New Roman" w:hAnsi="Times New Roman"/>
          <w:sz w:val="18"/>
          <w:szCs w:val="18"/>
          <w:color w:val="auto"/>
        </w:rPr>
        <w:t>: Renewable Energy Certificate.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 Securities and Exchange Commission.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are a leading owner and operator of next-generation data centers powered by 100% renewable energy (whether from clean or renewable energy sources or through the purchase of renewable energy certificates). Our data centers are purpose-built for power dense computing applications and today support a combination of GPUs for HPC and AI services and ASICs for Bitcoin mining.</w:t>
      </w:r>
    </w:p>
    <w:p>
      <w:pPr>
        <w:spacing w:after="0" w:line="72"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Our Bitcoin mining operations generate revenue by earning Bitcoin through a combination of block rewards and transaction fees from the operation of our specialized computers called ASICs (which we refer to as “Bitcoin miners”) and exchanging these Bitcoin for fiat currencies such as USD or CAD.</w:t>
      </w:r>
    </w:p>
    <w:p>
      <w:pPr>
        <w:spacing w:after="0" w:line="68"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We have been mining Bitcoin since 2019. We typically liquidate all the Bitcoin we mine daily and therefore did not have any Bitcoin held on our balance sheet as of June 30, 2025.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 We have a backup U.S.-based digital asset trading platform, Coinbase, although we have not utilized Coinbase as of June 30, 2025.</w:t>
      </w:r>
    </w:p>
    <w:p>
      <w:pPr>
        <w:spacing w:after="0" w:line="6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We are also pursuing a strategy of expanding and diversifying our revenue sources into HPC and AI services, including through the development of purpose-built AI data centers. Our HPC and AI services include AI Cloud Services, launched in 2024, that generates revenue by providing access to cloud-based GPU computing to customers for AI training and inference workloads.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and Corporate Information</w:t>
      </w:r>
    </w:p>
    <w:p>
      <w:pPr>
        <w:spacing w:after="0" w:line="121"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We report to our shareholders in compliance with U.S. securities laws as applicable to a U.S. domestic company and our ordinary shares are solely listed on the Nasdaq in the United States, under the trading ticker “IREN”. We were originally incorporated under the laws of New South Wales, Australia, on November 6, 2018 as “Iris Energy Pty Ltd” an Australian proprietary company (ACN 629 842 799). On October 7, 2021, we converted into a public company named “Iris Energy Limited” under Australian law, and on November 19, 2021, we closed our initial public offering in the United States. As of February 15, 2024, we commenced doing business as “IREN” and on November 27, 2024 we changed the name of the Company to “IREN Limited”.</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operations, assets and customers are predominantly in the United States, where we maintain office locations at 620 Farm-to-Market Road, Childress, Texas, and 1411 Broadway, New York, New York. Our principal executive offices are located at Level 6, 55 Market Street, Sydney, Australia, and our telephone number is +61 2 7906 8301. Our agent for service of process in the United States is Cogency Global Inc., 122 E. 42nd Street, 18th Floor, New York, New York 10168. The address of our website is https://iren.com. The information on, or accessible through, our website is not part of this prospectus.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 Before making a decision to invest in our securities, you should carefully consider the risks described under “Risk Factors” in the applicable prospectus supplement and in our then-most recent Annual Report on Form 10-K, and any updates to those risk factors in our Quarterly Reports on Form 10-Q and our Current Reports on Form 8-K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forward-looking statements within the meaning of Section 27A of the Securities Act and Section 21E of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“potential,” “could,” “would,” “may,” “will,” “forecast,” and other similar expressions. Forward-looking statements may also be made, verbally or in writing, by members of our Board or management team in connection with this annual report on Form 10-K. Such statements are subject to the same limitations, uncertainties, assumptions and disclaimers set out in this document.</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Such statements are subject to the same limitations, uncertainties, assumptions and disclaimers set out in this document.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w:t>
      </w:r>
    </w:p>
    <w:p>
      <w:pPr>
        <w:spacing w:after="0" w:line="86"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price and foreign currency exchange rate fluctuations;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 and in a timely manner to meet our capital needs and facilitate our expansion plans;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strategies and operating plans, including our ability to continue to develop our existing data center sites, design and deploy direct-to-chip liquid cooling systems, and diversify and expand into the market for high-performance computing (“HPC”) solutions (including the market for AI Cloud Services and potential colocation services such as powered shell, build-to-suit and turnkey data centers (“Colocation Services”) (collectively “HPC and AI services”));</w:t>
      </w:r>
    </w:p>
    <w:p>
      <w:pPr>
        <w:spacing w:after="0" w:line="75"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with respect to new markets we have entered or may seek to enter, including the market for HPC and AI services;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in dynamic and rapidly evolving industries;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ongoing profitability, viability, operability, security, popularity and public perceptions of the Bitcoin network;</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useful life and obsolescence of hardware (including hardware for Bitcoin mining and any current or future HPC and AI services we offer);</w:t>
      </w:r>
    </w:p>
    <w:p>
      <w:pPr>
        <w:spacing w:after="0" w:line="53"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increases in costs or reductions in the supply of equipment used in our operations including as a result of tariffs and duties, and certain equipment being in high demand due to global supply chain constraints;</w:t>
      </w:r>
    </w:p>
    <w:p>
      <w:pPr>
        <w:spacing w:after="0" w:line="6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profitability, viability, operability, security, popularity and public perceptions of any current and future HPC and AI services we offer;</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customers on commercially reasonable terms or at all, particularly as it relates to our strategy to expand into markets for HPC and AI services;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 customer base for our HPC and AI services business and customer concentration;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9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counterparty risk (including credit risk) associated with any current or future customers, including customers of our HPC and AI services and other counterparties;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current or future customers, including customers of our HPC and AI services or other counterparties, may terminate, default on or underperform their contractual obligations;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political and geopolitical conditions, including changing international trade policies and the implementation of wide-ranging, reciprocal and retaliatory tariffs, surtaxes and other similar import or export duties, or trade restrictions;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global hashrate fluctuations;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renewable energy, renewable energy certificates, power capacity, facilities and sites on commercially reasonable terms or at all;</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or failure to obtain or complete, permitting approvals, grid connections and other development activities customary for greenfield or brownfield infrastructure projects;</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power and utilities providers, third party mining pools, exchanges, banks, insurance providers and our ability to maintain relationships with such parties;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and pricing of electricity;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variance between the actual operating performance of our miner hardware achieved compared to the nameplate performance including hashrate;</w:t>
      </w:r>
    </w:p>
    <w:p>
      <w:pPr>
        <w:spacing w:after="0" w:line="53" w:lineRule="exact"/>
        <w:rPr>
          <w:rFonts w:ascii="Times New Roman" w:cs="Times New Roman" w:eastAsia="Times New Roman" w:hAnsi="Times New Roman"/>
          <w:sz w:val="18"/>
          <w:szCs w:val="18"/>
          <w:color w:val="auto"/>
        </w:rPr>
      </w:pPr>
    </w:p>
    <w:p>
      <w:pPr>
        <w:ind w:left="1000" w:right="659" w:hanging="348"/>
        <w:spacing w:after="0" w:line="312" w:lineRule="auto"/>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electricity market risks relating to changes in regulations and requirements of market operators and regulatory bodies, including with respect to grid stability, interconnection and curtailment obligations;</w:t>
      </w:r>
    </w:p>
    <w:p>
      <w:pPr>
        <w:spacing w:after="0" w:line="31" w:lineRule="exact"/>
        <w:rPr>
          <w:rFonts w:ascii="Times New Roman" w:cs="Times New Roman" w:eastAsia="Times New Roman" w:hAnsi="Times New Roman"/>
          <w:sz w:val="17"/>
          <w:szCs w:val="17"/>
          <w:color w:val="auto"/>
        </w:rPr>
      </w:pPr>
    </w:p>
    <w:p>
      <w:pPr>
        <w:ind w:left="1000" w:right="10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curtail our electricity consumption and/or monetize electricity depending on market conditions, including changes in Bitcoin mining economics and prevailing electricity prices;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undertaken by electricity network and market operators, regulators, governments or communities in the regions in which we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suitability, reliability and cost of internet connections at our facilities;</w:t>
      </w:r>
    </w:p>
    <w:p>
      <w:pPr>
        <w:spacing w:after="0" w:line="117"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hardware, including hardware for Bitcoin mining and any current or future HPC and AI services we offer, on commercially reasonable terms or at all, and any delays or reductions in the supply of such hardware or increases in the cost of procuring such hardware;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an evolving regulatory environment;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maintain our property and infrastructure;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performance of our infrastructure compared to expectations;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attacks on our property, infrastructure or IT systems;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in good standing the operating and other permits and licenses required for our operations and business;</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confidential information;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and product liability claims;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secular trends we expect to drive growth in our business materialize to the degree we expect them to,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pending or future acquisitions, dispositions, joint ventures or other strategic transactions;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environmental, health and safety incidents at our sites, and any material costs relating to environmental, health and safety requirements or liabilities;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property and infrastructure and the risk that any insurance we maintain may not fully cover all potential exposures;</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289"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proceedings relating to the default under certain equipment financing facilities, ongoing securities litigation, and any future litigation, claims and/or regulatory investigations, and the costs, expenses, use of resources, diversion of management time and efforts, liability and damages that may result therefrom;</w:t>
      </w:r>
    </w:p>
    <w:p>
      <w:pPr>
        <w:spacing w:after="0" w:line="49" w:lineRule="exact"/>
        <w:rPr>
          <w:rFonts w:ascii="Times New Roman" w:cs="Times New Roman" w:eastAsia="Times New Roman" w:hAnsi="Times New Roman"/>
          <w:sz w:val="17"/>
          <w:szCs w:val="17"/>
          <w:color w:val="auto"/>
        </w:rPr>
      </w:pPr>
    </w:p>
    <w:p>
      <w:pPr>
        <w:ind w:left="1000" w:right="6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laws including the anti-corruption laws of the United States and various international jurisdictions;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compliance and risk management methods;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and ethical standards that may relate to our business, including those that relate to Bitcoin and the Bitcoin mining industry and those that relate to any other services we offer, including laws and regulations related to data privacy, cybersecurity and the storage, use or processing of information and consumer laws;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senior management and qualified employees;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6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severe weather conditions and natural and man-made disasters that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an outbreak of an infectious disease and any governmental or industry measures taken in response;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stakeholder expectations and requirements relating to environmental, social or governance issues or reporting, including actual or perceived failure to comply with such expectations and requirements;</w:t>
      </w:r>
    </w:p>
    <w:p>
      <w:pPr>
        <w:spacing w:after="0" w:line="53" w:lineRule="exact"/>
        <w:rPr>
          <w:rFonts w:ascii="Times New Roman" w:cs="Times New Roman" w:eastAsia="Times New Roman" w:hAnsi="Times New Roman"/>
          <w:sz w:val="18"/>
          <w:szCs w:val="18"/>
          <w:color w:val="auto"/>
        </w:rPr>
      </w:pPr>
    </w:p>
    <w:p>
      <w:pPr>
        <w:jc w:val="both"/>
        <w:ind w:left="1000" w:right="6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do not currently pay any cash dividends on our ordinary shares, and may not in the foreseeable future and, accordingly, your ability to achieve a return on your investment in our ordinary shares will depend on appreciation, if any, in the price of our ordinary shares; and</w:t>
      </w:r>
    </w:p>
    <w:p>
      <w:pPr>
        <w:spacing w:after="0" w:line="67"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factors disclosed under “Item 1A. Risk Factor” in our Annual Report on Form 10-K, incorporated by reference herein, and any further update in our subsequent filings with the SEC on Form 10-Q and Form 8-K.</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foregoing list of factors is not exhaustive and does not necessarily include all of the important factors that could cause actual results to differ materially from those expressed in any of our forward-looking statements.</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on which they were made and should be read carefully in conjunction with other uncertainties and potential events described in our Annual Report on Form 10-K and our subsequent filings with the SEC on Form 10-Q and Form 8-K. Except as required by applicable law, we do not undertake any obligation to update any forward-looking statements to reflect subsequent events and circumstances.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 Unless otherwise indicated in a prospectus supplement, we will not receive any proceeds from an offering of securities by a selling security holder.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 capital requirements and surplus, general financial conditions, contractual restrictions and other factors that the Board may deem relevant. B Class shares do not confer on their holders any right to receive dividends. For additional information, see “Item 1A—Risk Factors—Risks Related to Ownership of Our Ordinary Shares—We do not currently pay any cash dividends on our ordinary shares, and may not in the foreseeable future. Accordingly, your ability to achieve a return on your investment in our ordinary shares will depend on appreciation, if any, in the price of our ordinary shares” in our Annual Report on Form 10-K filed on August 28, 2025, incorporated herein by reference.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CONSTITUTION</w:t>
      </w:r>
    </w:p>
    <w:p>
      <w:pPr>
        <w:spacing w:after="0" w:line="11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company constitution (“Constitution”). Reference is made to the more detailed provisions of the Constitution. Please note that this summary is not intended to be exhaustive. For further information please refer to the full version of our amended and restated Constitution which is included as an exhibit to this registration statement.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IREN Limited was incorporated under the laws of New South Wales, Australia on November 6, 2018, and is an Australian public company (ACN 629 842 799). Our registered address is located at c/o Pitcher Partners, Level 13, 664 Collins Street, Docklands, Victoria, Australia 3008.</w:t>
      </w:r>
    </w:p>
    <w:p>
      <w:pPr>
        <w:spacing w:after="0" w:line="68"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We do not have a limit on our authorized share capital and do not recognize the concept of par value under Australian law.</w:t>
      </w:r>
    </w:p>
    <w:p>
      <w:pPr>
        <w:spacing w:after="0" w:line="52"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Subject to restrictions on the issue of securities in our Constitution and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(“Corporations Act”) and any other applicable law, we may at any time issue shares and grant options or warrants on any terms, with the rights and restrictions and for the consideration that the Board determines.</w:t>
      </w:r>
    </w:p>
    <w:p>
      <w:pPr>
        <w:spacing w:after="0" w:line="6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rights and restrictions attaching to ordinary shares and B Class shares are derived through a combination of our Constitution, the common law applicable to Australia, the Corporations Act and other applicable law. A general summary of some of the rights and restrictions attaching to ordinary shares and B Class shares are summarized below. Each ordinary shareholder is entitled to receive notice of and to be present, to vote and to speak at general meetings.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Our ordinary shares and B Class shares will have the rights and restrictions described in “Key Provisions in our Constitution.”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Provisions in Our Constitution</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Our Constitution is similar in nature to the certificate of incorporation and bylaws of a U.S. corporation. It does not provide for or prescribe any specific objectives or purposes for the Company. Our Constitution is subject to the terms of the Corporations Act. It may be amended or repealed and replaced by special resolution of shareholders, which is a resolution passed by at least 75% of the votes cast by shareholders (in person or by proxy) entitled to vote on the resolution.</w:t>
      </w:r>
    </w:p>
    <w:p>
      <w:pPr>
        <w:spacing w:after="0" w:line="75"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an exhibit to the registration statement of which this prospectus forms a part.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applies. </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 Exercisable by Directors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Pursuant to our Constitution, the management and control of our business affairs are vested in our Board. Our Board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deems appropriate.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Under the Constitution, the minimum number of directors that may comprise the Board is 3 and the maximum is fixed by the directors but may not be more than 10 (unless otherwise determined by the Board). Directors are elected at annual general meetings of the Company. The directors may also appoint a director to fill a casual vacancy on the Board if the number of directors is below the minimum fixed number of 3, or in addition to the existing directors, who will then hold office until the next annual general meeting of the Company.</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Each of Awassi Capital Holdings 1 Pty Ltd ACN 629 820 499 and Awassi Capital Holdings 2 Pty Ltd ACN 629 819 978, or their respective affiliates, who hold a B Class share shall be entitled to designate a nominee for election to the Board (each such nominee, a “Founder Director”). A Founder Director will automatically cease to be a director, and must be immediately removed as a director, if that Founder Director is removed as a director where required under the Corporations Act or our constitution.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and Restrictions on Classes of Shares</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rights attaching to our ordinary shares are detailed in our Constitution. Our Constitution provides that, subject to the Corporations Act and our Constitution, our directors may issue shares with preferential, deferred or special rights, privileges or conditions or with any restrictions, whether in relation to dividends, voting, return of share capital, or otherwise as our Board may determine. Subject to the Corporations Act and our Constitution (see “Anti-Takeover Effects of Certain Provisions of Our Constitution”), we may issue further shares on such terms and conditions as our Board of directors resolve.</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300" w:right="519" w:firstLine="360"/>
        <w:spacing w:after="0" w:line="276" w:lineRule="auto"/>
        <w:rPr>
          <w:sz w:val="20"/>
          <w:szCs w:val="20"/>
          <w:color w:val="auto"/>
        </w:rPr>
      </w:pPr>
      <w:r>
        <w:rPr>
          <w:rFonts w:ascii="Times New Roman" w:cs="Times New Roman" w:eastAsia="Times New Roman" w:hAnsi="Times New Roman"/>
          <w:sz w:val="17"/>
          <w:szCs w:val="17"/>
          <w:color w:val="auto"/>
        </w:rPr>
        <w:t>Under the Corporations Act, a company must not pay a dividend unless (i) the company’s assets exceed its liabilities immediately before the dividend is declared and the excess is sufficient for the payment of the dividend;</w:t>
      </w:r>
    </w:p>
    <w:p>
      <w:pPr>
        <w:spacing w:after="0" w:line="1" w:lineRule="exact"/>
        <w:rPr>
          <w:sz w:val="20"/>
          <w:szCs w:val="20"/>
          <w:color w:val="auto"/>
        </w:rPr>
      </w:pPr>
    </w:p>
    <w:p>
      <w:pPr>
        <w:ind w:left="300" w:right="339" w:hanging="8"/>
        <w:spacing w:after="0" w:line="253" w:lineRule="auto"/>
        <w:tabs>
          <w:tab w:leader="none" w:pos="5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dividend is fair and reasonable to the company’s shareholders as a whole; and (iii) the payment of the dividend does not materially prejudice the company’s ability to pay its creditors. Subject to this requirement, our Board may from time to time determine to pay and declare dividends to shareholders in accordance with the respective rights and restrictions attached to any share or class of share. Each B Class share does not confer on its holder any right to receive dividends.</w:t>
      </w:r>
    </w:p>
    <w:p>
      <w:pPr>
        <w:spacing w:after="0" w:line="79"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All dividends unclaimed for one year after the time for payment has passed may be invested or otherwise made use of by our Board for our benefit until claimed or until dealt with under any law relating to unclaimed moneys.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Voting rights at a general meeting of the Company’s shareholders will be determined by poll (rather than a show of hands).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On a poll, holders of ordinary shares are entitled to one vote for each ordinary share held and a fraction of a vote for each partly paid share held by the shareholder and in respect.</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B Class shares are entitled to vote at general meetings of shareholders. Each B Class shareholder is entitled on a poll, to 15 votes for each ordinary share held by the holder of a B Class share.</w:t>
      </w:r>
    </w:p>
    <w:p>
      <w:pPr>
        <w:spacing w:after="0" w:line="54"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In the case of joint holders of a share, the vote of the joint holder whose name appears first on the register of shareholders in respect of the joint holding shall be accepted to the exclusion of the votes of the other joint holders.</w:t>
      </w:r>
    </w:p>
    <w:p>
      <w:pPr>
        <w:spacing w:after="0" w:line="32"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the Corporations Act and the provisions of our Constitution, the circumstances in which holders of a class of shares, including holders of ordinary shares, will be entitled to vote separately as a single class are limited to:</w:t>
      </w:r>
    </w:p>
    <w:p>
      <w:pPr>
        <w:spacing w:after="0" w:line="68"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a variation of class rights that only affect a single share class;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a compromise or arrangement proposed that would affect a certain class of holder, e.g. a plan of arrangement to transfer a class of share to a bidder;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response to a takeover bid for a specific class of shares.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 to Share in Our Profits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Pursuant to our Constitution, our shareholders are entitled to participate in our profits only by payment of dividends in accordance with the respective rights and restrictions attached to any share or class of share. Our Board may from time to time determine to pay dividends to the shareholders. However, any such dividend may only be payable in accordance with the requirements set out in the Corporations Act described above.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to Share in the Surplus in the Event of Winding Up</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the Company is wound up, then subject to any rights or restrictions attached to a class of shares, the liquidator may, with the sanction of a special resolution of the Company, distribute the whole or any part of the assets and may for that purpose: (i) decide how the assets are to be distributed as between the members or different classes of members; (ii) value the assets to be distributed in such manner as the liquidator thinks fit; and (iii) vest the whole or any part of any assets in such trustees and on such trusts for the benefit of the members entitled to the distribution of those assets as the liquidator thinks fit.</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 Class shares shall not confer on their holders any right to participate pro rata in any distribution of profits and assets of, and any proceeds received by, the company in excess of the total amount of capital paid-up by the holders upon issue of such B Class share.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Redemption Provision for Shares</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There are no redemption provisions in our Constitution in relation to ordinary shares. Under our Constitution, shares may be issued and allotted, which are liable to be redeemed.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Class shares will be redeemed by the Company for A$1.00 per B Class share in accordance with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Constitution upon the earlier to occur of the following circumstances:</w:t>
      </w:r>
    </w:p>
    <w:p>
      <w:pPr>
        <w:spacing w:after="0" w:line="99" w:lineRule="exact"/>
        <w:rPr>
          <w:sz w:val="20"/>
          <w:szCs w:val="20"/>
          <w:color w:val="auto"/>
        </w:rPr>
      </w:pPr>
    </w:p>
    <w:p>
      <w:pPr>
        <w:ind w:left="1000" w:right="63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(or its affiliate or founder in respect of such holder) ceases to be a director due to voluntary retirement;</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any B Class share by that holder (or an affiliate) to another person in breach of the Constitution (which is unremedied within 20 business days);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or winding up of the Company; or</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12 years after the date upon which the company becomes first listed on a recognized stock exchange.</w:t>
      </w:r>
    </w:p>
    <w:p>
      <w:pPr>
        <w:spacing w:after="0" w:line="5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redemption of B Class shares, whether voluntary or upon a transfer of B Class shares, may have the effect, over time, of increasing the relative voting power of those holders of B Class shares who retain their B Class shares. Under the Corporations Act, redeemable preference shares may only be redeemed if those preference shares are fully paid-up and payment in satisfaction of redemption is out of profits or the proceeds of a new issue of shares made for the purposes of the redemption.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Variation or Cancellation of Share Rights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Subject to the Corporations Act and the terms of issue of a class of shares, the rights attaching to any class of shares may be varied or cancelled with the approval of the Board and: (a) the consent in writing of the holders of three-quarters of the issued shares included in that class; or (b) by a special resolution passed at a separate meeting of the holders of those shares.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General meetings of shareholders may be called by our Board. Except as permitted under the Corporations Act,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at least 21 days prior to such meeting under the Corporations Act.</w:t>
      </w:r>
    </w:p>
    <w:p>
      <w:pPr>
        <w:spacing w:after="0" w:line="7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Under the Constitution, a general meeting of shareholders will be properly convened if at least two members are present (which must include each holder of a B Class share from time to time, to the extent such holder is entitled to vote on one or more resolutions at the relevant meeting) and entitled to vote. In addition, under Nasdaq Rule 5605, shareholders holding not less than 33 1/3% of the voting power of the shares issued and outstanding and entitled to vote at a company’s annual meeting must be present in order to proceed. The Constitution also provides that, if a provision of the IREN Constitution is not consistent with the listing rules of a stock exchange upon which IREN is listed, then the Constitution is deemed not to contain that provision to the extent of the inconsistency. Accordingly, the quorum requirements in both the Constitution and Nasdaq Rule 5605 must be satisfied in order for to be properly convened.</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Ownership Regulations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Constitution does not impose specific limitations on the rights of non-residents to own securities. However, acquisitions and proposed acquisitions of securities in Australian companies may be subject to review and approval by the Australian Federal Treasurer under the Foreign Acquisitions and Takeovers Act 1975 (Cth) (“FATA”), which generally applies to acquisitions or proposed acquisitions:</w:t>
      </w:r>
    </w:p>
    <w:p>
      <w:pPr>
        <w:spacing w:after="0" w:line="72" w:lineRule="exact"/>
        <w:rPr>
          <w:sz w:val="20"/>
          <w:szCs w:val="20"/>
          <w:color w:val="auto"/>
        </w:rPr>
      </w:pPr>
    </w:p>
    <w:p>
      <w:pPr>
        <w:ind w:left="1000" w:right="39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person (as defined in the FATA) or associated foreign persons that would result in such persons having an interest in 20% or more of the issued shares of, or control of 20% or more of the voting power in, an Australian company; or</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government investor (as defined in the FATA) that would result in such a person having any direct interest (as defined in the FATA) in an Australian company.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general terms, for proposals for investment in non-sensitive sectors, no such review or approval under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FATA is required if the foreign acquirer is a U.S. entity and the value of the Australian target is less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A$1,464 million. A lower general A$339 million threshold applies to most other foreign investors. These monetary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thresholds apply as at the date of this registration statement but may be amended from time to time (including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through indexation).</w:t>
      </w:r>
    </w:p>
    <w:p>
      <w:pPr>
        <w:spacing w:after="0" w:line="99"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Australian Federal Treasurer may prevent a proposed acquisition in the above categories or impose conditions on such acquisition if the Australian Federal Treasurer is satisfied that the acquisition would be contrary to the national interest. If a foreign person acquires shares or an interest in shares in an Australian company in contravention of the FATA, the Australian Federal Treasurer has the power to make a range of orders including an order of the divestiture of such person’s shares or interest in shares in that Australian company.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Subject to the Constitution, shares may be transferred by a proper transfer effected in accordance with the Nasdaq listing rules, by a written instrument of transfer which complies with the Constitution or by any other method permitted by the Corporations Act. The Board may refuse to register a transfer of shares where permitted or required to do so under the Corporations Act or Nasdaq listing rules. B Class shares are not transferable by the holder (other than to an affiliate of that holder).</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Issues of Shares and Change in Capital</w:t>
      </w:r>
    </w:p>
    <w:p>
      <w:pPr>
        <w:spacing w:after="0" w:line="121" w:lineRule="exact"/>
        <w:rPr>
          <w:sz w:val="20"/>
          <w:szCs w:val="20"/>
          <w:color w:val="auto"/>
        </w:rPr>
      </w:pPr>
    </w:p>
    <w:p>
      <w:pPr>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Subject to our Constitution, the Corporations Act and any other applicable law, we may at any time issue shares and give any person a call or option over any shares on any terms, with preferential, deferred or other special rights,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privileges or conditions or with restrictions and for the consideration and other terms that the directors determine.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w:t>
      </w:r>
    </w:p>
    <w:p>
      <w:pPr>
        <w:spacing w:after="0" w:line="75"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Subject to the requirements of our Constitution, the Corporations Act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Proportional takeover bids</w:t>
      </w:r>
    </w:p>
    <w:p>
      <w:pPr>
        <w:spacing w:after="0" w:line="121"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Our Constitution contains provisions for shareholder approval to be required in relation to any proportional takeover bid. These provisions were renewed by special resolution of the shareholders in the most recent general meeting.</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Constitution can only be amended by special resolution passed by at least three-quarters of the votes cast by shareholders present (in person or by proxy) and entitled to vote on the resolution at a general meeting of the Company. The Company must give at least 21 days’ written notice of a general meeting of the Company.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Takeovers of Australian public companies that have more than 50 shareholders are regulated by, amongst other things, the Corporations Act which prohibits the acquisition of a relevant interest in issued voting shares in a public company if the acquisition will lead to that person’s or someone else’s voting power in the company increasing from 20% or below to more than 20% or increasing from a starting point that is above 20% and below 90%, which we refer to as the Takeover Prohibition, subject to a range of exceptions. Generally, and without limitation, a person will have a “relevant interest” in securities if they:</w:t>
      </w:r>
    </w:p>
    <w:p>
      <w:pPr>
        <w:spacing w:after="0" w:line="79"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the holder of the securities (other than if the person holds those securities as a bare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power to exercise, or control the exercise of, a right to vote attached to the securities; or</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power to dispose of, or control the exercise of a power to dispose of, the securities (including any indirect or direct power or control).</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at a particular time a person has a relevant interest in issued securities and the person (whether before or after acquiring the relevant interest):</w:t>
      </w:r>
    </w:p>
    <w:p>
      <w:pPr>
        <w:spacing w:after="0" w:line="54"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entered or enters into an agreement with another person with respect to the securities;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given or gives another person an enforceable right, or has been or is given an enforceable right by another person, in relation to the securities (whether the right is enforceable presently or in the future and whether or not on the fulfillment of a condition); or</w:t>
      </w:r>
    </w:p>
    <w:p>
      <w:pPr>
        <w:spacing w:after="0" w:line="67" w:lineRule="exact"/>
        <w:rPr>
          <w:rFonts w:ascii="Times New Roman" w:cs="Times New Roman" w:eastAsia="Times New Roman" w:hAnsi="Times New Roman"/>
          <w:sz w:val="18"/>
          <w:szCs w:val="18"/>
          <w:color w:val="auto"/>
        </w:rPr>
      </w:pPr>
    </w:p>
    <w:p>
      <w:pPr>
        <w:jc w:val="both"/>
        <w:ind w:left="1000" w:right="55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granted or grants an option to, or has been or is granted an option by, another person with respect to the securities and the other person would have a relevant interest in the securities if the agreement were performed, the right enforced or the option exercised,</w:t>
      </w:r>
    </w:p>
    <w:p>
      <w:pPr>
        <w:spacing w:after="0" w:line="68" w:lineRule="exact"/>
        <w:rPr>
          <w:sz w:val="20"/>
          <w:szCs w:val="20"/>
          <w:color w:val="auto"/>
        </w:rPr>
      </w:pPr>
    </w:p>
    <w:p>
      <w:pPr>
        <w:ind w:left="300" w:right="1099"/>
        <w:spacing w:after="0" w:line="282" w:lineRule="auto"/>
        <w:rPr>
          <w:sz w:val="20"/>
          <w:szCs w:val="20"/>
          <w:color w:val="auto"/>
        </w:rPr>
      </w:pPr>
      <w:r>
        <w:rPr>
          <w:rFonts w:ascii="Times New Roman" w:cs="Times New Roman" w:eastAsia="Times New Roman" w:hAnsi="Times New Roman"/>
          <w:sz w:val="18"/>
          <w:szCs w:val="18"/>
          <w:color w:val="auto"/>
        </w:rPr>
        <w:t>the other person is also taken to have acquired a relevant interest in the securities that are the subject of an abovementioned act, at the time that such act occurs.</w:t>
      </w:r>
    </w:p>
    <w:p>
      <w:pPr>
        <w:spacing w:after="0" w:line="5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There are a number of exceptions to the Takeover Prohibition. In general terms, some of the more significant exceptions include:</w:t>
      </w:r>
    </w:p>
    <w:p>
      <w:pPr>
        <w:spacing w:after="0" w:line="54"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acceptance of an offer under a formal takeover bid;</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is conducted on market by or on behalf of the bidder under a takeover bid and the acquisition occurs during the bid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3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dis-interested shareholders of the target company approve the takeover by resolution passed at general meeting;</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 person if, throughout the six months before the acquisition, that person, or any other person, has had voting power in the company of at least 19% and as a result of the acquisition, none of the relevant persons would have voting power in the company more than 3% higher than they had six months before the acquisition;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rights issue;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dividend reinvestment schemes or bonus share plan;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operation of law;</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which arises through the acquisition of a relevant interest in another listed company which is listed on a prescribed financial market;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an auction of forfeited shares conducted on-market;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through a compromise, arrangement, liquidation or buy-back.</w:t>
      </w:r>
    </w:p>
    <w:p>
      <w:pPr>
        <w:spacing w:after="0" w:line="117"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Certain breaches of the takeovers provisions of the Corporations Act may give rise to criminal offences. The Australian Securities and Investments Commission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takeovers provisions provided in the Corporations Act.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Set forth below is a comparison of certain shareholder rights and corporate governance matters under</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Delaware law and Australian law:</w:t>
      </w:r>
    </w:p>
    <w:p>
      <w:pPr>
        <w:sectPr>
          <w:pgSz w:w="11900" w:h="16838" w:orient="portrait"/>
          <w:cols w:equalWidth="0" w:num="1">
            <w:col w:w="9019"/>
          </w:cols>
          <w:pgMar w:left="1440" w:top="263" w:right="1440" w:bottom="1440" w:gutter="0" w:footer="0" w:header="0"/>
        </w:sectPr>
      </w:pP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Meetings of</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generally do not have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right to call meetings of shareholders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unless that right is granted in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or by-laws.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However, if a corporation fails to hold its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annual meeting within a period of 30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days after the date designated for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annual meeting, or if no date has been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designated for a period of 13 months after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its last annual meeting, the Delaware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Court of Chancery may order a meeting</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 be held upon the application of a</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color w:val="auto"/>
        </w:rPr>
        <w:t>The Corporations Act requires the directors to call a general meeting on the request of shareholders with at least 5% of the vote that may be cast at the general meeting. Shareholders with at least 5% of the votes that may be cast at the general meeting may also call and arrange to hold a general meeting. The shareholders calling the meeting must pay the expenses of calling and holding the meeting.</w:t>
      </w:r>
    </w:p>
    <w:p>
      <w:pPr>
        <w:spacing w:after="0" w:line="626" w:lineRule="exact"/>
        <w:rPr>
          <w:sz w:val="20"/>
          <w:szCs w:val="20"/>
          <w:color w:val="auto"/>
        </w:rPr>
      </w:pPr>
    </w:p>
    <w:p>
      <w:pPr>
        <w:sectPr>
          <w:pgSz w:w="11900" w:h="16838" w:orient="portrait"/>
          <w:cols w:equalWidth="0" w:num="2">
            <w:col w:w="5480" w:space="220"/>
            <w:col w:w="3319"/>
          </w:cols>
          <w:pgMar w:left="1440" w:top="263"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2" w:name="page53"/>
    <w:bookmarkEnd w:id="52"/>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Interested Director</w:t>
            </w:r>
          </w:p>
        </w:tc>
        <w:tc>
          <w:tcPr>
            <w:tcW w:w="2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Interested director transactions are</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2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permissible and may not be legally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voided if: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either a majority of disinterested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or a majority in interest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holders of shares of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corporation’s capital shares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entitled to vote upon the matter,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approves the transaction upon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of all material facts; 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transaction is determined to</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have been fair as to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 as of the time it is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authorized, approved or ratified by</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board of directors, a</w:t>
            </w:r>
          </w:p>
        </w:tc>
        <w:tc>
          <w:tcPr>
            <w:tcW w:w="0" w:type="dxa"/>
            <w:vAlign w:val="bottom"/>
          </w:tcPr>
          <w:p>
            <w:pPr>
              <w:spacing w:after="0"/>
              <w:rPr>
                <w:sz w:val="1"/>
                <w:szCs w:val="1"/>
                <w:color w:val="auto"/>
              </w:rPr>
            </w:pPr>
          </w:p>
        </w:tc>
      </w:tr>
    </w:tbl>
    <w:p>
      <w:pPr>
        <w:ind w:left="2960"/>
        <w:spacing w:after="0"/>
        <w:rPr>
          <w:sz w:val="20"/>
          <w:szCs w:val="20"/>
          <w:color w:val="auto"/>
        </w:rPr>
      </w:pPr>
      <w:r>
        <w:rPr>
          <w:rFonts w:ascii="Times New Roman" w:cs="Times New Roman" w:eastAsia="Times New Roman" w:hAnsi="Times New Roman"/>
          <w:sz w:val="18"/>
          <w:szCs w:val="18"/>
          <w:color w:val="auto"/>
        </w:rPr>
        <w:t>committee thereof or the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or that director’s alternate who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a material personal interest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that is being considered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meeting must not be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the matter is being considered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or vote in respect of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unless permitted to do so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Act, in which case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right="299" w:hanging="512"/>
        <w:spacing w:after="0" w:line="265" w:lineRule="auto"/>
        <w:rPr>
          <w:sz w:val="20"/>
          <w:szCs w:val="20"/>
          <w:color w:val="auto"/>
        </w:rPr>
      </w:pPr>
      <w:r>
        <w:rPr>
          <w:rFonts w:ascii="Times New Roman" w:cs="Times New Roman" w:eastAsia="Times New Roman" w:hAnsi="Times New Roman"/>
          <w:sz w:val="17"/>
          <w:szCs w:val="17"/>
          <w:color w:val="auto"/>
        </w:rPr>
        <w:t>    •  be counted in determining whether or not a quorum is present at any meeting of directors considering that contract or arrangement or proposed contract or arrangement;</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right="379" w:hanging="512"/>
        <w:spacing w:after="0" w:line="250" w:lineRule="auto"/>
        <w:rPr>
          <w:sz w:val="20"/>
          <w:szCs w:val="20"/>
          <w:color w:val="auto"/>
        </w:rPr>
      </w:pPr>
      <w:r>
        <w:rPr>
          <w:rFonts w:ascii="Times New Roman" w:cs="Times New Roman" w:eastAsia="Times New Roman" w:hAnsi="Times New Roman"/>
          <w:sz w:val="18"/>
          <w:szCs w:val="18"/>
          <w:color w:val="auto"/>
        </w:rPr>
        <w:t>    •  sign or countersign any document relating to that contract or arrangement or proposed contract or arrangement; and</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right="339" w:hanging="512"/>
        <w:spacing w:after="0" w:line="250" w:lineRule="auto"/>
        <w:rPr>
          <w:sz w:val="20"/>
          <w:szCs w:val="20"/>
          <w:color w:val="auto"/>
        </w:rPr>
      </w:pPr>
      <w:r>
        <w:rPr>
          <w:rFonts w:ascii="Times New Roman" w:cs="Times New Roman" w:eastAsia="Times New Roman" w:hAnsi="Times New Roman"/>
          <w:sz w:val="18"/>
          <w:szCs w:val="18"/>
          <w:color w:val="auto"/>
        </w:rPr>
        <w:t>    •  vote in respect of, or in respect of any matter arising out of, the contract or arrangement or proposed contract or arrangement.</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19"/>
        <w:spacing w:after="0" w:line="250" w:lineRule="auto"/>
        <w:rPr>
          <w:sz w:val="20"/>
          <w:szCs w:val="20"/>
          <w:color w:val="auto"/>
        </w:rPr>
      </w:pPr>
      <w:r>
        <w:rPr>
          <w:rFonts w:ascii="Times New Roman" w:cs="Times New Roman" w:eastAsia="Times New Roman" w:hAnsi="Times New Roman"/>
          <w:sz w:val="18"/>
          <w:szCs w:val="18"/>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w:t>
      </w:r>
    </w:p>
    <w:p>
      <w:pPr>
        <w:sectPr>
          <w:pgSz w:w="11900" w:h="16838" w:orient="portrait"/>
          <w:cols w:equalWidth="0" w:num="2">
            <w:col w:w="5480" w:space="220"/>
            <w:col w:w="3319"/>
          </w:cols>
          <w:pgMar w:left="1440" w:top="262" w:right="1440" w:bottom="1440" w:gutter="0" w:footer="0" w:header="0"/>
        </w:sectPr>
      </w:pPr>
    </w:p>
    <w:bookmarkStart w:id="53" w:name="page54"/>
    <w:bookmarkEnd w:id="53"/>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Voting</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certificate of incorporation of a</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Delaware corporation may provide that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any class or classes or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any series may vote cumulatively either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at all elections or at elections under</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specified circumstances.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399"/>
        <w:spacing w:after="0" w:line="254" w:lineRule="auto"/>
        <w:rPr>
          <w:sz w:val="20"/>
          <w:szCs w:val="20"/>
          <w:color w:val="auto"/>
        </w:rPr>
      </w:pPr>
      <w:r>
        <w:rPr>
          <w:rFonts w:ascii="Times New Roman" w:cs="Times New Roman" w:eastAsia="Times New Roman" w:hAnsi="Times New Roman"/>
          <w:sz w:val="18"/>
          <w:szCs w:val="18"/>
          <w:color w:val="auto"/>
        </w:rPr>
        <w:t>No cumulative voting concept for director elections. Voting rights can vary by share class, depending on the terms attaching to the shares under the constitution of the company. Ordinary shares carry one vote (by poll) per share and B Class shares carry 15 votes (by poll) per ordinary share held by the holder.</w:t>
      </w:r>
    </w:p>
    <w:p>
      <w:pPr>
        <w:spacing w:after="0" w:line="200" w:lineRule="exact"/>
        <w:rPr>
          <w:sz w:val="20"/>
          <w:szCs w:val="20"/>
          <w:color w:val="auto"/>
        </w:rPr>
      </w:pPr>
    </w:p>
    <w:p>
      <w:pPr>
        <w:sectPr>
          <w:pgSz w:w="11900" w:h="16838" w:orient="portrait"/>
          <w:cols w:equalWidth="0" w:num="2">
            <w:col w:w="5480" w:space="220"/>
            <w:col w:w="3319"/>
          </w:cols>
          <w:pgMar w:left="1440" w:top="262" w:right="1440" w:bottom="1440" w:gutter="0" w:footer="0" w:header="0"/>
        </w:sectPr>
      </w:pPr>
    </w:p>
    <w:p>
      <w:pPr>
        <w:spacing w:after="0" w:line="42"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Approval of Corporate</w:t>
      </w:r>
      <w:r>
        <w:rPr>
          <w:sz w:val="20"/>
          <w:szCs w:val="20"/>
          <w:color w:val="auto"/>
        </w:rPr>
        <w:tab/>
      </w:r>
      <w:r>
        <w:rPr>
          <w:rFonts w:ascii="Times New Roman" w:cs="Times New Roman" w:eastAsia="Times New Roman" w:hAnsi="Times New Roman"/>
          <w:sz w:val="17"/>
          <w:szCs w:val="17"/>
          <w:color w:val="auto"/>
        </w:rPr>
        <w:t>Unless otherwise specified in a</w:t>
      </w:r>
    </w:p>
    <w:p>
      <w:pPr>
        <w:spacing w:after="0" w:line="2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Matters by Written</w:t>
      </w:r>
      <w:r>
        <w:rPr>
          <w:sz w:val="20"/>
          <w:szCs w:val="20"/>
          <w:color w:val="auto"/>
        </w:rPr>
        <w:tab/>
      </w:r>
      <w:r>
        <w:rPr>
          <w:rFonts w:ascii="Times New Roman" w:cs="Times New Roman" w:eastAsia="Times New Roman" w:hAnsi="Times New Roman"/>
          <w:sz w:val="17"/>
          <w:szCs w:val="17"/>
          <w:color w:val="auto"/>
        </w:rPr>
        <w:t>corporation’s certificate of incorporation,</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7"/>
          <w:szCs w:val="17"/>
          <w:color w:val="auto"/>
        </w:rPr>
        <w:t>Consent</w:t>
      </w:r>
      <w:r>
        <w:rPr>
          <w:sz w:val="20"/>
          <w:szCs w:val="20"/>
          <w:color w:val="auto"/>
        </w:rPr>
        <w:tab/>
      </w:r>
      <w:r>
        <w:rPr>
          <w:rFonts w:ascii="Times New Roman" w:cs="Times New Roman" w:eastAsia="Times New Roman" w:hAnsi="Times New Roman"/>
          <w:sz w:val="17"/>
          <w:szCs w:val="17"/>
          <w:color w:val="auto"/>
        </w:rPr>
        <w:t>shareholders may take action permitted to</w:t>
      </w:r>
    </w:p>
    <w:p>
      <w:pPr>
        <w:spacing w:after="0" w:line="21" w:lineRule="exact"/>
        <w:rPr>
          <w:sz w:val="20"/>
          <w:szCs w:val="20"/>
          <w:color w:val="auto"/>
        </w:rPr>
      </w:pPr>
    </w:p>
    <w:p>
      <w:pPr>
        <w:ind w:left="2460" w:right="80"/>
        <w:spacing w:after="0" w:line="251" w:lineRule="auto"/>
        <w:rPr>
          <w:sz w:val="20"/>
          <w:szCs w:val="20"/>
          <w:color w:val="auto"/>
        </w:rPr>
      </w:pPr>
      <w:r>
        <w:rPr>
          <w:rFonts w:ascii="Times New Roman" w:cs="Times New Roman" w:eastAsia="Times New Roman" w:hAnsi="Times New Roman"/>
          <w:sz w:val="18"/>
          <w:szCs w:val="18"/>
          <w:color w:val="auto"/>
        </w:rPr>
        <w:t>be taken at an annual or special meeting, without a meeting, notice, or a vote, if consents, in writing, setting forth the action, are signed by shareholders with not less than the minimum number of votes that would be necessary to authorize the action at a meeting. All consents must be dated and are only effective if the requisite signatures are collected within 60 days of the earliest dated consent delivered.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379"/>
        <w:spacing w:after="0" w:line="266" w:lineRule="auto"/>
        <w:rPr>
          <w:sz w:val="20"/>
          <w:szCs w:val="20"/>
          <w:color w:val="auto"/>
        </w:rPr>
      </w:pPr>
      <w:r>
        <w:rPr>
          <w:rFonts w:ascii="Times New Roman" w:cs="Times New Roman" w:eastAsia="Times New Roman" w:hAnsi="Times New Roman"/>
          <w:sz w:val="18"/>
          <w:szCs w:val="18"/>
          <w:color w:val="auto"/>
        </w:rPr>
        <w:t>Australian public companies cannot pass resolutions by circulating written resolutions.</w:t>
      </w:r>
    </w:p>
    <w:p>
      <w:pPr>
        <w:spacing w:after="0" w:line="2559" w:lineRule="exact"/>
        <w:rPr>
          <w:sz w:val="20"/>
          <w:szCs w:val="20"/>
          <w:color w:val="auto"/>
        </w:rPr>
      </w:pPr>
    </w:p>
    <w:p>
      <w:pPr>
        <w:sectPr>
          <w:pgSz w:w="11900" w:h="16838" w:orient="portrait"/>
          <w:cols w:equalWidth="0" w:num="2">
            <w:col w:w="5460" w:space="240"/>
            <w:col w:w="3319"/>
          </w:cols>
          <w:pgMar w:left="1440" w:top="262" w:right="1440" w:bottom="1440" w:gutter="0" w:footer="0" w:header="0"/>
          <w:type w:val="continuous"/>
        </w:sectPr>
      </w:pPr>
    </w:p>
    <w:p>
      <w:pPr>
        <w:spacing w:after="0" w:line="46"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Business Combinations</w:t>
      </w:r>
      <w:r>
        <w:rPr>
          <w:sz w:val="20"/>
          <w:szCs w:val="20"/>
          <w:color w:val="auto"/>
        </w:rPr>
        <w:tab/>
      </w:r>
      <w:r>
        <w:rPr>
          <w:rFonts w:ascii="Times New Roman" w:cs="Times New Roman" w:eastAsia="Times New Roman" w:hAnsi="Times New Roman"/>
          <w:sz w:val="17"/>
          <w:szCs w:val="17"/>
          <w:color w:val="auto"/>
        </w:rPr>
        <w:t>With certain exceptions, a merger,</w:t>
      </w:r>
    </w:p>
    <w:p>
      <w:pPr>
        <w:spacing w:after="0" w:line="27" w:lineRule="exact"/>
        <w:rPr>
          <w:sz w:val="20"/>
          <w:szCs w:val="20"/>
          <w:color w:val="auto"/>
        </w:rPr>
      </w:pPr>
    </w:p>
    <w:p>
      <w:pPr>
        <w:ind w:left="2460" w:right="20"/>
        <w:spacing w:after="0" w:line="252" w:lineRule="auto"/>
        <w:rPr>
          <w:sz w:val="20"/>
          <w:szCs w:val="20"/>
          <w:color w:val="auto"/>
        </w:rPr>
      </w:pPr>
      <w:r>
        <w:rPr>
          <w:rFonts w:ascii="Times New Roman" w:cs="Times New Roman" w:eastAsia="Times New Roman" w:hAnsi="Times New Roman"/>
          <w:sz w:val="18"/>
          <w:szCs w:val="18"/>
          <w:color w:val="auto"/>
        </w:rPr>
        <w:t>consolidation, or sale of all or substantially all the assets of a Delaware corporation must be approved by the board of directors and a majority of the outstanding shares entitled to vote thereon.</w:t>
      </w:r>
    </w:p>
    <w:p>
      <w:pPr>
        <w:spacing w:after="0" w:line="200" w:lineRule="exact"/>
        <w:rPr>
          <w:sz w:val="20"/>
          <w:szCs w:val="20"/>
          <w:color w:val="auto"/>
        </w:rPr>
      </w:pPr>
    </w:p>
    <w:p>
      <w:pPr>
        <w:spacing w:after="0" w:line="260"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Limitations on Director’s</w:t>
      </w:r>
      <w:r>
        <w:rPr>
          <w:sz w:val="20"/>
          <w:szCs w:val="20"/>
          <w:color w:val="auto"/>
        </w:rPr>
        <w:tab/>
      </w:r>
      <w:r>
        <w:rPr>
          <w:rFonts w:ascii="Times New Roman" w:cs="Times New Roman" w:eastAsia="Times New Roman" w:hAnsi="Times New Roman"/>
          <w:sz w:val="17"/>
          <w:szCs w:val="17"/>
          <w:color w:val="auto"/>
        </w:rPr>
        <w:t>A Delaware corporation may include in</w:t>
      </w:r>
    </w:p>
    <w:p>
      <w:pPr>
        <w:spacing w:after="0" w:line="2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Liability and</w:t>
      </w:r>
      <w:r>
        <w:rPr>
          <w:sz w:val="20"/>
          <w:szCs w:val="20"/>
          <w:color w:val="auto"/>
        </w:rPr>
        <w:tab/>
      </w:r>
      <w:r>
        <w:rPr>
          <w:rFonts w:ascii="Times New Roman" w:cs="Times New Roman" w:eastAsia="Times New Roman" w:hAnsi="Times New Roman"/>
          <w:sz w:val="17"/>
          <w:szCs w:val="17"/>
          <w:color w:val="auto"/>
        </w:rPr>
        <w:t>its certificate of incorporation provisions</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Indemnification of</w:t>
      </w:r>
      <w:r>
        <w:rPr>
          <w:sz w:val="20"/>
          <w:szCs w:val="20"/>
          <w:color w:val="auto"/>
        </w:rPr>
        <w:tab/>
      </w:r>
      <w:r>
        <w:rPr>
          <w:rFonts w:ascii="Times New Roman" w:cs="Times New Roman" w:eastAsia="Times New Roman" w:hAnsi="Times New Roman"/>
          <w:sz w:val="17"/>
          <w:szCs w:val="17"/>
          <w:color w:val="auto"/>
        </w:rPr>
        <w:t>limiting the personal liability of its</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Directors and Officers</w:t>
      </w:r>
      <w:r>
        <w:rPr>
          <w:sz w:val="20"/>
          <w:szCs w:val="20"/>
          <w:color w:val="auto"/>
        </w:rPr>
        <w:tab/>
      </w:r>
      <w:r>
        <w:rPr>
          <w:rFonts w:ascii="Times New Roman" w:cs="Times New Roman" w:eastAsia="Times New Roman" w:hAnsi="Times New Roman"/>
          <w:sz w:val="17"/>
          <w:szCs w:val="17"/>
          <w:color w:val="auto"/>
        </w:rPr>
        <w:t>directors to the corporation or its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for monetary damages for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many types of breach of fiduciary duty.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However, these provisions may not limit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liability for any breach of the duty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loyalty, acts or omissions not in good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faith or that involve intentional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misconduct or a knowing violation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law, the authorization of unlawful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dividends, stock purchases,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redemptions, or any transaction from</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which a director derived an improper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personal benefit. Moreover, these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provisions would not be likely to bar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claims arising under U.S. federal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securities laws.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359"/>
        <w:spacing w:after="0" w:line="254" w:lineRule="auto"/>
        <w:rPr>
          <w:sz w:val="20"/>
          <w:szCs w:val="20"/>
          <w:color w:val="auto"/>
        </w:rPr>
      </w:pPr>
      <w:r>
        <w:rPr>
          <w:rFonts w:ascii="Times New Roman" w:cs="Times New Roman" w:eastAsia="Times New Roman" w:hAnsi="Times New Roman"/>
          <w:sz w:val="18"/>
          <w:szCs w:val="18"/>
          <w:color w:val="auto"/>
        </w:rPr>
        <w:t>No requirement for shareholder approval under Australian law, unless the transaction involves a transfer or issue or new shares or other securities to existing shareholders (for example, a business combination through a scrip-for-scrip merger) or a related party (generally, a director or its associates).</w:t>
      </w:r>
    </w:p>
    <w:p>
      <w:pPr>
        <w:spacing w:after="0" w:line="246" w:lineRule="exact"/>
        <w:rPr>
          <w:sz w:val="20"/>
          <w:szCs w:val="20"/>
          <w:color w:val="auto"/>
        </w:rPr>
      </w:pPr>
    </w:p>
    <w:p>
      <w:pPr>
        <w:ind w:right="339"/>
        <w:spacing w:after="0" w:line="255" w:lineRule="auto"/>
        <w:rPr>
          <w:sz w:val="20"/>
          <w:szCs w:val="20"/>
          <w:color w:val="auto"/>
        </w:rPr>
      </w:pPr>
      <w:r>
        <w:rPr>
          <w:rFonts w:ascii="Times New Roman" w:cs="Times New Roman" w:eastAsia="Times New Roman" w:hAnsi="Times New Roman"/>
          <w:sz w:val="18"/>
          <w:szCs w:val="18"/>
          <w:color w:val="auto"/>
        </w:rPr>
        <w:t>Australian law provides that a company or a related body corporate of the company may provide for indemnification of officers and directors, except to the extent of any of the following liabilities incurred as an officer or director of the company:  </w:t>
      </w:r>
    </w:p>
    <w:p>
      <w:pPr>
        <w:spacing w:after="0" w:line="207" w:lineRule="exact"/>
        <w:rPr>
          <w:sz w:val="20"/>
          <w:szCs w:val="20"/>
          <w:color w:val="auto"/>
        </w:rPr>
      </w:pPr>
    </w:p>
    <w:p>
      <w:pPr>
        <w:ind w:left="500" w:right="339" w:hanging="512"/>
        <w:spacing w:after="0" w:line="250" w:lineRule="auto"/>
        <w:rPr>
          <w:sz w:val="20"/>
          <w:szCs w:val="20"/>
          <w:color w:val="auto"/>
        </w:rPr>
      </w:pPr>
      <w:r>
        <w:rPr>
          <w:rFonts w:ascii="Times New Roman" w:cs="Times New Roman" w:eastAsia="Times New Roman" w:hAnsi="Times New Roman"/>
          <w:sz w:val="18"/>
          <w:szCs w:val="18"/>
          <w:color w:val="auto"/>
        </w:rPr>
        <w:t>    •  a liability owed to the company or a related body corporate of the company;</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right="339" w:hanging="512"/>
        <w:spacing w:after="0" w:line="268" w:lineRule="auto"/>
        <w:rPr>
          <w:sz w:val="20"/>
          <w:szCs w:val="20"/>
          <w:color w:val="auto"/>
        </w:rPr>
      </w:pPr>
      <w:r>
        <w:rPr>
          <w:rFonts w:ascii="Times New Roman" w:cs="Times New Roman" w:eastAsia="Times New Roman" w:hAnsi="Times New Roman"/>
          <w:sz w:val="17"/>
          <w:szCs w:val="17"/>
          <w:color w:val="auto"/>
        </w:rPr>
        <w:t>    •  a liability for a pecuniary penalty order made under section 1317G or a compensation order under section 961M, 1317H, 1317HA or 1317HB of the Corporations Act; a liability that is owed to someone other than the company or a related body corporate of the</w:t>
      </w:r>
    </w:p>
    <w:p>
      <w:pPr>
        <w:sectPr>
          <w:pgSz w:w="11900" w:h="16838" w:orient="portrait"/>
          <w:cols w:equalWidth="0" w:num="2">
            <w:col w:w="5400" w:space="300"/>
            <w:col w:w="3319"/>
          </w:cols>
          <w:pgMar w:left="1440" w:top="262" w:right="1440" w:bottom="1440" w:gutter="0" w:footer="0" w:header="0"/>
          <w:type w:val="continuous"/>
        </w:sectPr>
      </w:pPr>
    </w:p>
    <w:bookmarkStart w:id="54" w:name="page55"/>
    <w:bookmarkEnd w:id="54"/>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A Delaware corporation may indemnify a</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 or officer of the corporation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against expenses (including attorneys’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fees), judgments, fines, and amounts paid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settlement actually and reasonably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incurred in defense of an action, suit, 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proceeding by reason of his or her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position if (i) the director or officer acted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good faith and in a manner he or she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reasonably believed to be in or not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opposed to the best interests of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and (ii) with respect to any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criminal action or proceeding,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 or officer had no reasonable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cause to believe his or her conduct was</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unlawful.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Appraisal Rights</w:t>
      </w:r>
      <w:r>
        <w:rPr>
          <w:sz w:val="20"/>
          <w:szCs w:val="20"/>
          <w:color w:val="auto"/>
        </w:rPr>
        <w:tab/>
      </w:r>
      <w:r>
        <w:rPr>
          <w:rFonts w:ascii="Times New Roman" w:cs="Times New Roman" w:eastAsia="Times New Roman" w:hAnsi="Times New Roman"/>
          <w:sz w:val="17"/>
          <w:szCs w:val="17"/>
          <w:color w:val="auto"/>
        </w:rPr>
        <w:t>A shareholder of a Delaware corporation</w:t>
      </w:r>
    </w:p>
    <w:p>
      <w:pPr>
        <w:spacing w:after="0" w:line="27" w:lineRule="exact"/>
        <w:rPr>
          <w:sz w:val="20"/>
          <w:szCs w:val="20"/>
          <w:color w:val="auto"/>
        </w:rPr>
      </w:pPr>
    </w:p>
    <w:p>
      <w:pPr>
        <w:ind w:left="2460" w:right="80"/>
        <w:spacing w:after="0" w:line="251" w:lineRule="auto"/>
        <w:rPr>
          <w:sz w:val="20"/>
          <w:szCs w:val="20"/>
          <w:color w:val="auto"/>
        </w:rPr>
      </w:pPr>
      <w:r>
        <w:rPr>
          <w:rFonts w:ascii="Times New Roman" w:cs="Times New Roman" w:eastAsia="Times New Roman" w:hAnsi="Times New Roman"/>
          <w:sz w:val="18"/>
          <w:szCs w:val="18"/>
          <w:color w:val="auto"/>
        </w:rPr>
        <w:t>participating in certain major corporate transactions may, under certain circumstances, be entitled to appraisal rights under which the shareholder may receive cash in the amount of the fair value of the shares held by that shareholder (as determined by a court) in lieu of the consideration the shareholder would otherwise receive in the transaction.</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9202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528" w:right="439"/>
        <w:spacing w:after="0" w:line="275" w:lineRule="auto"/>
        <w:rPr>
          <w:sz w:val="20"/>
          <w:szCs w:val="20"/>
          <w:color w:val="auto"/>
        </w:rPr>
      </w:pPr>
      <w:r>
        <w:rPr>
          <w:rFonts w:ascii="Times New Roman" w:cs="Times New Roman" w:eastAsia="Times New Roman" w:hAnsi="Times New Roman"/>
          <w:sz w:val="18"/>
          <w:szCs w:val="18"/>
          <w:color w:val="auto"/>
        </w:rPr>
        <w:t>company and did not arise out of conduct in good faith; or  </w:t>
      </w:r>
    </w:p>
    <w:p>
      <w:pPr>
        <w:spacing w:after="0" w:line="192" w:lineRule="exact"/>
        <w:rPr>
          <w:sz w:val="20"/>
          <w:szCs w:val="20"/>
          <w:color w:val="auto"/>
        </w:rPr>
      </w:pPr>
    </w:p>
    <w:p>
      <w:pPr>
        <w:ind w:left="508" w:right="339" w:hanging="512"/>
        <w:spacing w:after="0" w:line="250" w:lineRule="auto"/>
        <w:rPr>
          <w:sz w:val="20"/>
          <w:szCs w:val="20"/>
          <w:color w:val="auto"/>
        </w:rPr>
      </w:pPr>
      <w:r>
        <w:rPr>
          <w:rFonts w:ascii="Times New Roman" w:cs="Times New Roman" w:eastAsia="Times New Roman" w:hAnsi="Times New Roman"/>
          <w:sz w:val="18"/>
          <w:szCs w:val="18"/>
          <w:color w:val="auto"/>
        </w:rPr>
        <w:t>    •  legal costs incurred in defending an action for a liability incurred as an officer or director of the company if the costs are incurred:</w:t>
      </w:r>
    </w:p>
    <w:p>
      <w:pPr>
        <w:spacing w:after="0" w:line="2"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788" w:right="379" w:hanging="788"/>
        <w:spacing w:after="0" w:line="250" w:lineRule="auto"/>
        <w:tabs>
          <w:tab w:leader="none" w:pos="1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in defending or resisting proceedings in which the officer or director is found to have a liability for which they cannot be indemnified as set out above;</w:t>
      </w:r>
    </w:p>
    <w:p>
      <w:pPr>
        <w:spacing w:after="0" w:line="2" w:lineRule="exact"/>
        <w:rPr>
          <w:rFonts w:ascii="Times New Roman" w:cs="Times New Roman" w:eastAsia="Times New Roman" w:hAnsi="Times New Roman"/>
          <w:sz w:val="18"/>
          <w:szCs w:val="18"/>
          <w:color w:val="auto"/>
        </w:rPr>
      </w:pPr>
    </w:p>
    <w:p>
      <w:pPr>
        <w:ind w:left="7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788" w:right="359" w:hanging="788"/>
        <w:spacing w:after="0" w:line="250" w:lineRule="auto"/>
        <w:tabs>
          <w:tab w:leader="none" w:pos="1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in defending or resisting criminal proceedings in which the officer or director is found guilty; or</w:t>
      </w:r>
    </w:p>
    <w:p>
      <w:pPr>
        <w:spacing w:after="0" w:line="1" w:lineRule="exact"/>
        <w:rPr>
          <w:rFonts w:ascii="Times New Roman" w:cs="Times New Roman" w:eastAsia="Times New Roman" w:hAnsi="Times New Roman"/>
          <w:sz w:val="18"/>
          <w:szCs w:val="18"/>
          <w:color w:val="auto"/>
        </w:rPr>
      </w:pPr>
    </w:p>
    <w:p>
      <w:pPr>
        <w:ind w:left="7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788" w:right="319" w:hanging="788"/>
        <w:spacing w:after="0" w:line="265" w:lineRule="auto"/>
        <w:tabs>
          <w:tab w:leader="none" w:pos="18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 &amp; Investments Commission or a liquidator as part of an investigation before commencing proceedings for a court order); or</w:t>
      </w:r>
    </w:p>
    <w:p>
      <w:pPr>
        <w:spacing w:after="0" w:line="2" w:lineRule="exact"/>
        <w:rPr>
          <w:rFonts w:ascii="Times New Roman" w:cs="Times New Roman" w:eastAsia="Times New Roman" w:hAnsi="Times New Roman"/>
          <w:sz w:val="17"/>
          <w:szCs w:val="17"/>
          <w:color w:val="auto"/>
        </w:rPr>
      </w:pPr>
    </w:p>
    <w:p>
      <w:pPr>
        <w:ind w:left="78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788" w:right="319" w:hanging="788"/>
        <w:spacing w:after="0" w:line="253" w:lineRule="auto"/>
        <w:tabs>
          <w:tab w:leader="none" w:pos="1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in connection with proceedings for relief to the officer or a director under the Corporations Act, in which the court denies the relief.</w:t>
      </w:r>
    </w:p>
    <w:p>
      <w:pPr>
        <w:spacing w:after="0" w:line="241" w:lineRule="exact"/>
        <w:rPr>
          <w:sz w:val="20"/>
          <w:szCs w:val="20"/>
          <w:color w:val="auto"/>
        </w:rPr>
      </w:pPr>
    </w:p>
    <w:p>
      <w:pPr>
        <w:ind w:left="8" w:right="439"/>
        <w:spacing w:after="0" w:line="255" w:lineRule="auto"/>
        <w:rPr>
          <w:sz w:val="20"/>
          <w:szCs w:val="20"/>
          <w:color w:val="auto"/>
        </w:rPr>
      </w:pPr>
      <w:r>
        <w:rPr>
          <w:rFonts w:ascii="Times New Roman" w:cs="Times New Roman" w:eastAsia="Times New Roman" w:hAnsi="Times New Roman"/>
          <w:sz w:val="18"/>
          <w:szCs w:val="18"/>
          <w:color w:val="auto"/>
        </w:rPr>
        <w:t>No equivalent concept under Australian law, subject to general minority oppression rights under which shareholders can apply to the Courts for an order in respect of Company actions that are unfairly prejudicial to a shareholder.</w:t>
      </w:r>
    </w:p>
    <w:p>
      <w:pPr>
        <w:sectPr>
          <w:pgSz w:w="11900" w:h="16838" w:orient="portrait"/>
          <w:cols w:equalWidth="0" w:num="2">
            <w:col w:w="5480" w:space="212"/>
            <w:col w:w="3327"/>
          </w:cols>
          <w:pgMar w:left="1440" w:top="262" w:right="1440" w:bottom="1440" w:gutter="0" w:footer="0" w:header="0"/>
        </w:sectPr>
      </w:pPr>
    </w:p>
    <w:bookmarkStart w:id="55" w:name="page56"/>
    <w:bookmarkEnd w:id="55"/>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Suits</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Class actions and derivative actions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generally are available to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a Delaware corporation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for, among other things, breach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fiduciary duty, corporate waste,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actions not taken in accordance with</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applicable law. In such actions, the court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has discretion to permit the winning party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 recover attorneys’ fees incurred in</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 such action.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Inspection of Books and</w:t>
      </w:r>
      <w:r>
        <w:rPr>
          <w:sz w:val="20"/>
          <w:szCs w:val="20"/>
          <w:color w:val="auto"/>
        </w:rPr>
        <w:tab/>
      </w:r>
      <w:r>
        <w:rPr>
          <w:rFonts w:ascii="Times New Roman" w:cs="Times New Roman" w:eastAsia="Times New Roman" w:hAnsi="Times New Roman"/>
          <w:sz w:val="18"/>
          <w:szCs w:val="18"/>
          <w:color w:val="auto"/>
        </w:rPr>
        <w:t>All shareholders of a Delaware</w:t>
      </w:r>
    </w:p>
    <w:p>
      <w:pPr>
        <w:spacing w:after="0" w:line="2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Records</w:t>
      </w:r>
      <w:r>
        <w:rPr>
          <w:sz w:val="20"/>
          <w:szCs w:val="20"/>
          <w:color w:val="auto"/>
        </w:rPr>
        <w:tab/>
      </w:r>
      <w:r>
        <w:rPr>
          <w:rFonts w:ascii="Times New Roman" w:cs="Times New Roman" w:eastAsia="Times New Roman" w:hAnsi="Times New Roman"/>
          <w:sz w:val="18"/>
          <w:szCs w:val="18"/>
          <w:color w:val="auto"/>
        </w:rPr>
        <w:t>corporation have the right, upon written</w:t>
      </w:r>
    </w:p>
    <w:p>
      <w:pPr>
        <w:spacing w:after="0" w:line="9" w:lineRule="exact"/>
        <w:rPr>
          <w:sz w:val="20"/>
          <w:szCs w:val="20"/>
          <w:color w:val="auto"/>
        </w:rPr>
      </w:pPr>
    </w:p>
    <w:p>
      <w:pPr>
        <w:ind w:left="2460" w:right="20"/>
        <w:spacing w:after="0" w:line="253" w:lineRule="auto"/>
        <w:rPr>
          <w:sz w:val="20"/>
          <w:szCs w:val="20"/>
          <w:color w:val="auto"/>
        </w:rPr>
      </w:pPr>
      <w:r>
        <w:rPr>
          <w:rFonts w:ascii="Times New Roman" w:cs="Times New Roman" w:eastAsia="Times New Roman" w:hAnsi="Times New Roman"/>
          <w:sz w:val="18"/>
          <w:szCs w:val="18"/>
          <w:color w:val="auto"/>
        </w:rPr>
        <w:t>demand, to inspect or obtain copies of the corporation’s shares ledger and its other books and records for any purpose reasonably related to such person’s interest as a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9202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8" w:right="419"/>
        <w:spacing w:after="0" w:line="254" w:lineRule="auto"/>
        <w:rPr>
          <w:sz w:val="20"/>
          <w:szCs w:val="20"/>
          <w:color w:val="auto"/>
        </w:rPr>
      </w:pPr>
      <w:r>
        <w:rPr>
          <w:rFonts w:ascii="Times New Roman" w:cs="Times New Roman" w:eastAsia="Times New Roman" w:hAnsi="Times New Roman"/>
          <w:sz w:val="18"/>
          <w:szCs w:val="18"/>
          <w:color w:val="auto"/>
        </w:rPr>
        <w:t>Shareholders have a number of statutory protections and rights available to them, regardless of the quantity of shares they hold. These include:  </w:t>
      </w:r>
    </w:p>
    <w:p>
      <w:pPr>
        <w:spacing w:after="0" w:line="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•   the ability to call a meeting of the</w:t>
      </w:r>
    </w:p>
    <w:p>
      <w:pPr>
        <w:spacing w:after="0" w:line="21"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8"/>
          <w:szCs w:val="18"/>
          <w:color w:val="auto"/>
        </w:rPr>
        <w:t>company and propose resolutions;</w:t>
      </w:r>
    </w:p>
    <w:p>
      <w:pPr>
        <w:spacing w:after="0" w:line="9"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•   the right to apply to the court for</w:t>
      </w:r>
    </w:p>
    <w:p>
      <w:pPr>
        <w:spacing w:after="0" w:line="21"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8"/>
          <w:szCs w:val="18"/>
          <w:color w:val="auto"/>
        </w:rPr>
        <w:t>orders in cases where majority</w:t>
      </w:r>
    </w:p>
    <w:p>
      <w:pPr>
        <w:spacing w:after="0" w:line="9"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8"/>
          <w:szCs w:val="18"/>
          <w:color w:val="auto"/>
        </w:rPr>
        <w:t>shareholders, or the directors, act</w:t>
      </w:r>
    </w:p>
    <w:p>
      <w:pPr>
        <w:spacing w:after="0" w:line="9"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8"/>
          <w:szCs w:val="18"/>
          <w:color w:val="auto"/>
        </w:rPr>
        <w:t>in an oppressive or unfairly</w:t>
      </w:r>
    </w:p>
    <w:p>
      <w:pPr>
        <w:spacing w:after="0" w:line="9"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8"/>
          <w:szCs w:val="18"/>
          <w:color w:val="auto"/>
        </w:rPr>
        <w:t>prejudicial manner towards a</w:t>
      </w:r>
    </w:p>
    <w:p>
      <w:pPr>
        <w:spacing w:after="0" w:line="9"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8"/>
          <w:szCs w:val="18"/>
          <w:color w:val="auto"/>
        </w:rPr>
        <w:t>single shareholder does not have a</w:t>
      </w:r>
    </w:p>
    <w:p>
      <w:pPr>
        <w:spacing w:after="0" w:line="9"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8"/>
          <w:szCs w:val="18"/>
          <w:color w:val="auto"/>
        </w:rPr>
        <w:t>minimum shareholding</w:t>
      </w:r>
    </w:p>
    <w:p>
      <w:pPr>
        <w:spacing w:after="0" w:line="9"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8"/>
          <w:szCs w:val="18"/>
          <w:color w:val="auto"/>
        </w:rPr>
        <w:t>requirement, and can result in a</w:t>
      </w:r>
    </w:p>
    <w:p>
      <w:pPr>
        <w:spacing w:after="0" w:line="9"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8"/>
          <w:szCs w:val="18"/>
          <w:color w:val="auto"/>
        </w:rPr>
        <w:t>broad range of orders, including:</w:t>
      </w:r>
    </w:p>
    <w:p>
      <w:pPr>
        <w:spacing w:after="0" w:line="9"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788" w:right="999" w:hanging="788"/>
        <w:spacing w:after="0" w:line="250" w:lineRule="auto"/>
        <w:tabs>
          <w:tab w:leader="none" w:pos="1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the winding up of the company;</w:t>
      </w:r>
    </w:p>
    <w:p>
      <w:pPr>
        <w:ind w:left="8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788" w:right="339" w:hanging="788"/>
        <w:spacing w:after="0" w:line="250" w:lineRule="auto"/>
        <w:tabs>
          <w:tab w:leader="none" w:pos="1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modification of the company’s constitution; and</w:t>
      </w:r>
    </w:p>
    <w:p>
      <w:pPr>
        <w:ind w:left="8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788" w:right="439" w:hanging="788"/>
        <w:spacing w:after="0" w:line="290" w:lineRule="auto"/>
        <w:tabs>
          <w:tab w:leader="none" w:pos="18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any other order the court determines to be appropriate.</w:t>
      </w:r>
    </w:p>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Any shareholder of the Company has the</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right to inspect or obtain copies of our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share register on the payment of a</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prescribed fee.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Books containing the minutes of general</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meetings will be kept at our registered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office and will be open to inspection of</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shareholders at all times when the office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is required to be open to the public. Other</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corporate records, including minutes of</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directors’ meetings, financial records and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other documents, are not open for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inspection by shareholders (who are not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directors). Where a shareholder is acting</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 good faith and an inspection is deemed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to be made for a proper purpose, a</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shareholder may apply to the court to</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make an order for inspection of our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books.</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8" w:right="399"/>
        <w:spacing w:after="0" w:line="277" w:lineRule="auto"/>
        <w:rPr>
          <w:sz w:val="20"/>
          <w:szCs w:val="20"/>
          <w:color w:val="auto"/>
        </w:rPr>
      </w:pPr>
      <w:r>
        <w:rPr>
          <w:rFonts w:ascii="Times New Roman" w:cs="Times New Roman" w:eastAsia="Times New Roman" w:hAnsi="Times New Roman"/>
          <w:sz w:val="17"/>
          <w:szCs w:val="17"/>
          <w:color w:val="auto"/>
        </w:rPr>
        <w:t>All public companies are required to prepare annual financial reports and directors’ reports for each financial year,</w:t>
      </w:r>
    </w:p>
    <w:p>
      <w:pPr>
        <w:sectPr>
          <w:pgSz w:w="11900" w:h="16838" w:orient="portrait"/>
          <w:cols w:equalWidth="0" w:num="2">
            <w:col w:w="5480" w:space="212"/>
            <w:col w:w="3327"/>
          </w:cols>
          <w:pgMar w:left="1440" w:top="262" w:right="1440" w:bottom="1440" w:gutter="0" w:footer="0" w:header="0"/>
        </w:sectPr>
      </w:pPr>
    </w:p>
    <w:bookmarkStart w:id="56" w:name="page57"/>
    <w:bookmarkEnd w:id="56"/>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220" w:type="dxa"/>
            <w:vAlign w:val="bottom"/>
          </w:tcPr>
          <w:p>
            <w:pPr>
              <w:spacing w:after="0"/>
              <w:rPr>
                <w:sz w:val="24"/>
                <w:szCs w:val="24"/>
                <w:color w:val="auto"/>
              </w:rPr>
            </w:pPr>
          </w:p>
        </w:tc>
        <w:tc>
          <w:tcPr>
            <w:tcW w:w="302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Australian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and to file these reports with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Australian Securities and Investments</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Commission.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2" w:right="1440" w:bottom="1440" w:gutter="0" w:footer="0" w:header="0"/>
        </w:sectPr>
      </w:pPr>
    </w:p>
    <w:p>
      <w:pPr>
        <w:spacing w:after="0" w:line="52"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Amendments to Charter</w:t>
      </w:r>
      <w:r>
        <w:rPr>
          <w:sz w:val="20"/>
          <w:szCs w:val="20"/>
          <w:color w:val="auto"/>
        </w:rPr>
        <w:tab/>
      </w:r>
      <w:r>
        <w:rPr>
          <w:rFonts w:ascii="Times New Roman" w:cs="Times New Roman" w:eastAsia="Times New Roman" w:hAnsi="Times New Roman"/>
          <w:sz w:val="17"/>
          <w:szCs w:val="17"/>
          <w:color w:val="auto"/>
        </w:rPr>
        <w:t>Amendments to the certificate of</w:t>
      </w:r>
    </w:p>
    <w:p>
      <w:pPr>
        <w:spacing w:after="0" w:line="27"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incorporation of a Delaware corporation require the affirmative vote of the holders of a majority of the outstanding shares entitled to vote thereon or such greater vote as is provided for in the certificate of incorporation. A provision in the certificate of incorporation requiring the vote of a greater number or proportion of the directors or of the holders of any class of shares than is required by Delaware corporate law may not be amended, altered or repealed except by such greater vote.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379"/>
        <w:spacing w:after="0" w:line="266" w:lineRule="auto"/>
        <w:rPr>
          <w:sz w:val="20"/>
          <w:szCs w:val="20"/>
          <w:color w:val="auto"/>
        </w:rPr>
      </w:pPr>
      <w:r>
        <w:rPr>
          <w:rFonts w:ascii="Times New Roman" w:cs="Times New Roman" w:eastAsia="Times New Roman" w:hAnsi="Times New Roman"/>
          <w:sz w:val="18"/>
          <w:szCs w:val="18"/>
          <w:color w:val="auto"/>
        </w:rPr>
        <w:t>Amending or replacing the company’s constitution, requires a special resolution (75%) of the shareholders.</w:t>
      </w:r>
    </w:p>
    <w:p>
      <w:pPr>
        <w:spacing w:after="0" w:line="2560" w:lineRule="exact"/>
        <w:rPr>
          <w:sz w:val="20"/>
          <w:szCs w:val="20"/>
          <w:color w:val="auto"/>
        </w:rPr>
      </w:pPr>
    </w:p>
    <w:p>
      <w:pPr>
        <w:sectPr>
          <w:pgSz w:w="11900" w:h="16838" w:orient="portrait"/>
          <w:cols w:equalWidth="0" w:num="2">
            <w:col w:w="5460" w:space="240"/>
            <w:col w:w="3319"/>
          </w:cols>
          <w:pgMar w:left="1440" w:top="262" w:right="1440" w:bottom="1440" w:gutter="0" w:footer="0" w:header="0"/>
          <w:type w:val="continuous"/>
        </w:sectPr>
      </w:pP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 The transfer agent and registrar’s address is 150 Royal Street, Canton, MA 02021.</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symbol “IREN”.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ind w:left="300" w:right="399" w:firstLine="360"/>
        <w:spacing w:after="0" w:line="277" w:lineRule="auto"/>
        <w:rPr>
          <w:sz w:val="20"/>
          <w:szCs w:val="20"/>
          <w:color w:val="auto"/>
        </w:rPr>
      </w:pPr>
      <w:r>
        <w:rPr>
          <w:rFonts w:ascii="Times New Roman" w:cs="Times New Roman" w:eastAsia="Times New Roman" w:hAnsi="Times New Roman"/>
          <w:sz w:val="17"/>
          <w:szCs w:val="17"/>
          <w:color w:val="auto"/>
        </w:rPr>
        <w:t>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60"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and as applicable, the following terms (non-exhaustive) of the debt securities in respect of which the prospectus supplement is delivered:</w:t>
      </w:r>
    </w:p>
    <w:p>
      <w:pPr>
        <w:spacing w:after="0" w:line="32"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price or prices, expressed as a percentage of the aggregate principal amount of the debt securities;</w:t>
      </w:r>
    </w:p>
    <w:p>
      <w:pPr>
        <w:spacing w:after="0" w:line="128"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interest, if any, will be payable and any regular record date for the interest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 of $1,000 or any integral multiple of that number;</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or global debt securities;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1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ordinary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75"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to the extent required and as applicable, the following terms (non-exhaustive) of the warrants in respect of which the prospectus supplement is delivered:</w:t>
      </w:r>
    </w:p>
    <w:p>
      <w:pPr>
        <w:spacing w:after="0" w:line="54"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 which the securities or other rights purchasable upon exercise of such warrants may be purchased;</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any material United States federal income tax considerations; and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w:t>
      </w:r>
    </w:p>
    <w:p>
      <w:pPr>
        <w:spacing w:after="0" w:line="81"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and as applicable, the following terms (non-exhaustive) of the subscription rights in respect of which the prospectus supplement is delivered:</w:t>
      </w:r>
    </w:p>
    <w:p>
      <w:pPr>
        <w:spacing w:after="0" w:line="32"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to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number of securities purchasable upon exercise of each right;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limitations relating to the exercise of the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exercise of rights will commence;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if any, to determine who is entitled to the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trading of rights, including the stock exchanges, if any, on which the rights will be listed;</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 material Australian tax considerations;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the rights;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rights.</w:t>
      </w:r>
    </w:p>
    <w:p>
      <w:pPr>
        <w:spacing w:after="0" w:line="117"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A purchase by us or any of our subsidiaries of ordinary shares pursuant to any such purchase contract shall be subject to certain restrictions under Australian law that generally apply to a repurchase of shares.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86"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an indenture.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purchase contracts, warrants, debt securities, preferred shares, ordinary shares or any combination of such securities. The applicable supplement will describe:</w:t>
      </w:r>
    </w:p>
    <w:p>
      <w:pPr>
        <w:spacing w:after="0" w:line="68" w:lineRule="exact"/>
        <w:rPr>
          <w:sz w:val="20"/>
          <w:szCs w:val="20"/>
          <w:color w:val="auto"/>
        </w:rPr>
      </w:pPr>
    </w:p>
    <w:p>
      <w:pPr>
        <w:ind w:left="1000" w:right="43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warrants, debt securities, preferred shares and/or ordinary shares comprising the units, including whether and under what circumstances the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84"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68"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IREN, the trustees, the warrant agents, the unit agents or any other agent of IREN,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8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4"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Selling security holders are persons or entities that, directly or indirectly, have acquired or will from time to time acquire from us, our securities in various private transactions. Such selling security holders may be parties to registration rights agreements with us, or we otherwise may have agreed or will agree to register their securities for resale. The initial purchasers of our securities, as well as their transferees, pledgees, donees or successors, all of whom we refer to as “selling security holders,” may from time to time offer and sell the securities pursuant to this prospectus and any applicable prospectus supplement.</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applicable prospectus supplement will set forth the name of each selling security holder and the number of and type of securities beneficially owned by such selling security holder that are covered by such prospectus supplement. The applicable prospectus supplement also will disclose whether any of the selling security holders have held any position or office with, have been employed by or otherwise have had a material relationship with us during the three years prior to the date of the prospectus supplement.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We and/or any selling security holder may sell the securities in one or more of the following ways (or in any combination) from time to time:</w:t>
      </w:r>
    </w:p>
    <w:p>
      <w:pPr>
        <w:spacing w:after="0" w:line="54"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into an existing trading market on an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will state the terms of the offering of the securities, including:</w:t>
      </w:r>
    </w:p>
    <w:p>
      <w:pPr>
        <w:spacing w:after="0" w:line="117"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117" w:lineRule="exact"/>
        <w:rPr>
          <w:rFonts w:ascii="Times New Roman" w:cs="Times New Roman" w:eastAsia="Times New Roman" w:hAnsi="Times New Roman"/>
          <w:sz w:val="18"/>
          <w:szCs w:val="18"/>
          <w:color w:val="auto"/>
        </w:rPr>
      </w:pPr>
    </w:p>
    <w:p>
      <w:pPr>
        <w:ind w:left="1000" w:right="115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54"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68"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and/or any selling security holder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75"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68"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72"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54"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validity of certain securities and certain other matters with respect to Australian law have been passed upon for us by Allens, located at Level 28, 126 Phillip Street, Sydney, NSW 2000, Australia. The validity of certain securities and certain matters with respect to U.S. federal and New York State law have been passed upon for us by Davis Polk &amp; Wardwell LLP, located at 450 Lexington Avenue, New York, New York 10017. Any underwriters, dealers or agents will be advised by their own legal counsel concerning issues relating to any offering.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audited consolidated financial statements for the fiscal years ended June 30, 2025, 2024 and 2023</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incorporated‎ by reference in this prospectus and elsewhere in the registration statement have been so incorporated by</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reference in reliance on the report of Raymond Chabot Grant Thornton LLP, independent registered ‎public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accountants, upon the authority of said firm as experts in accounting and auditing.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SERVICE OF PROCESS AND ENFORCEABILITY OF CIVIL LIABILITIES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We are a public company incorporated under the laws of Australia with limited liability. Some or all of our directors may be non-residents of the United States and substantially all of their assets are located outside the United States. As a result, it may not be possible or practicable for you to:</w:t>
      </w:r>
    </w:p>
    <w:p>
      <w:pPr>
        <w:spacing w:after="0" w:line="68" w:lineRule="exact"/>
        <w:rPr>
          <w:sz w:val="20"/>
          <w:szCs w:val="20"/>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service of process within the United States upon our non-U.S. resident directors or on us;</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U.S. courts in any action, including actions under the civil liability provisions of U.S. securities laws;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courts of jurisdictions outside the United States in any action, including actions under the civil liability provisions of U.S. securities laws; or</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an original action in an Australian court to enforce liabilities against our non-U.S. resident directors or us based solely upon U.S. securities laws.</w:t>
      </w:r>
    </w:p>
    <w:p>
      <w:pPr>
        <w:spacing w:after="0" w:line="5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You may also have difficulties enforcing in courts outside the United States judgments that are obtained in U.S. courts against any of our non-U.S. resident directors or us, including actions under the civil liability provisions of the U.S. securities laws. Australia has developed a different body of securities laws as compared to the United States and may provide protections for investors to a lesser extent.</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It may be difficult (or impossible in some circumstances) for Australian companies to commence court action or proceedings before the federal courts of the United States or other jurisdiction in which it conducts business or has assets. This may make it difficult for us to recover amounts we are owed and to generally enforce our rights, which may have an adverse impact on our operations and financial standing. Even where we are able to enforce our rights, this may be costly and/or time consuming, risky, and may not guarantee recovery, which in turn may have an adverse impact on our operations and financial standing.</w:t>
      </w:r>
    </w:p>
    <w:p>
      <w:pPr>
        <w:spacing w:after="0" w:line="79"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disclosures in this section are not based on the opinion of counsel.</w:t>
      </w:r>
    </w:p>
    <w:p>
      <w:pPr>
        <w:spacing w:after="0" w:line="117"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as our agent to receive service of process with respect to any action brought against us under the federal securities laws of the United States.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59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S-3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8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In addition, we are subject to the informational requirements of the Exchange Act and accordingly, we are required to file reports and other information with the SEC, including annual reports on Form 10-K, quarterly reports on Form 10-Q and current reports on Form 8-K and proxy and information statements and other information we have filed electronically with the SEC.</w:t>
      </w:r>
    </w:p>
    <w:p>
      <w:pPr>
        <w:spacing w:after="0" w:line="7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SEC filings, including our registration statements, are available to you on the SEC’s website at http://www.sec.gov. This site contains reports, proxy and information statements and other information regarding issuers that file electronically with the SEC. We also maintain a website at https://iren.com.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jc w:val="both"/>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rules of the SEC allow us to incorporate information into this prospectus by reference, which means that we disclose important information to you by referring you to another document filed separately with the SEC. The information incorporated by reference is considered to be part of this prospectus. This prospectus incorporates by reference the documents listed below:</w:t>
      </w:r>
    </w:p>
    <w:p>
      <w:pPr>
        <w:spacing w:after="0" w:line="72" w:lineRule="exact"/>
        <w:rPr>
          <w:sz w:val="20"/>
          <w:szCs w:val="20"/>
          <w:color w:val="auto"/>
        </w:rPr>
      </w:pPr>
    </w:p>
    <w:p>
      <w:pPr>
        <w:ind w:left="1000" w:right="1119" w:hanging="348"/>
        <w:spacing w:after="0" w:line="282" w:lineRule="auto"/>
        <w:tabs>
          <w:tab w:leader="none" w:pos="1000" w:val="left"/>
        </w:tabs>
        <w:numPr>
          <w:ilvl w:val="0"/>
          <w:numId w:val="3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June 30, 2025, filed with the SEC on </w:t>
      </w:r>
      <w:hyperlink r:id="rId42">
        <w:r>
          <w:rPr>
            <w:rFonts w:ascii="Times New Roman" w:cs="Times New Roman" w:eastAsia="Times New Roman" w:hAnsi="Times New Roman"/>
            <w:sz w:val="18"/>
            <w:szCs w:val="18"/>
            <w:u w:val="single" w:color="auto"/>
            <w:color w:val="0000EE"/>
          </w:rPr>
          <w:t>August 28,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43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6">
        <w:r>
          <w:rPr>
            <w:rFonts w:ascii="Times New Roman" w:cs="Times New Roman" w:eastAsia="Times New Roman" w:hAnsi="Times New Roman"/>
            <w:sz w:val="18"/>
            <w:szCs w:val="18"/>
            <w:u w:val="single" w:color="auto"/>
            <w:color w:val="0000EE"/>
          </w:rPr>
          <w:t>July 1, 2025</w:t>
        </w:r>
      </w:hyperlink>
      <w:r>
        <w:rPr>
          <w:rFonts w:ascii="Times New Roman" w:cs="Times New Roman" w:eastAsia="Times New Roman" w:hAnsi="Times New Roman"/>
          <w:sz w:val="18"/>
          <w:szCs w:val="18"/>
          <w:color w:val="auto"/>
        </w:rPr>
        <w:t xml:space="preserve">, and </w:t>
      </w:r>
      <w:hyperlink r:id="rId47">
        <w:r>
          <w:rPr>
            <w:rFonts w:ascii="Times New Roman" w:cs="Times New Roman" w:eastAsia="Times New Roman" w:hAnsi="Times New Roman"/>
            <w:sz w:val="18"/>
            <w:szCs w:val="18"/>
            <w:u w:val="single" w:color="auto"/>
            <w:color w:val="0000EE"/>
          </w:rPr>
          <w:t>July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(only with respect to the second report filed on such date); and</w:t>
      </w:r>
    </w:p>
    <w:p>
      <w:pPr>
        <w:spacing w:after="0" w:line="53"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3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share capital contained in our registration statement on Form 8-A dated </w:t>
      </w:r>
      <w:hyperlink r:id="rId58">
        <w:r>
          <w:rPr>
            <w:rFonts w:ascii="Times New Roman" w:cs="Times New Roman" w:eastAsia="Times New Roman" w:hAnsi="Times New Roman"/>
            <w:sz w:val="18"/>
            <w:szCs w:val="18"/>
            <w:u w:val="single" w:color="auto"/>
            <w:color w:val="0000EE"/>
          </w:rPr>
          <w:t>November 16,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001-41072) filed under the Exchange Act, including any amendment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 filed for the purpose of updating such description.</w:t>
      </w:r>
    </w:p>
    <w:p>
      <w:pPr>
        <w:spacing w:after="0" w:line="68" w:lineRule="exact"/>
        <w:rPr>
          <w:rFonts w:ascii="Times New Roman" w:cs="Times New Roman" w:eastAsia="Times New Roman" w:hAnsi="Times New Roman"/>
          <w:sz w:val="18"/>
          <w:szCs w:val="18"/>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Any statement made in this prospectus or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except as so modified or superseded, to constitute part of this prospectus.</w:t>
      </w:r>
    </w:p>
    <w:p>
      <w:pPr>
        <w:spacing w:after="0" w:line="72" w:lineRule="exact"/>
        <w:rPr>
          <w:rFonts w:ascii="Times New Roman" w:cs="Times New Roman" w:eastAsia="Times New Roman" w:hAnsi="Times New Roman"/>
          <w:sz w:val="18"/>
          <w:szCs w:val="18"/>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All subsequent annual reports on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w:t>
      </w:r>
    </w:p>
    <w:p>
      <w:pPr>
        <w:spacing w:after="0" w:line="72" w:lineRule="exact"/>
        <w:rPr>
          <w:rFonts w:ascii="Times New Roman" w:cs="Times New Roman" w:eastAsia="Times New Roman" w:hAnsi="Times New Roman"/>
          <w:sz w:val="18"/>
          <w:szCs w:val="18"/>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through us or from the SEC through the SEC’s website at https://www.sec.gov. We will provide, without charge, to each person, including any beneficial owner, to whom a copy of this prospectus is delivered, upon written or oral request of such person, a copy of any or all of the reports or documents referred to above which have been or may be incorporated by reference into this prospectus. You should direct all requests for those documents to:</w:t>
      </w:r>
    </w:p>
    <w:p>
      <w:pPr>
        <w:spacing w:after="0" w:line="129" w:lineRule="exact"/>
        <w:rPr>
          <w:rFonts w:ascii="Times New Roman" w:cs="Times New Roman" w:eastAsia="Times New Roman" w:hAnsi="Times New Roman"/>
          <w:sz w:val="18"/>
          <w:szCs w:val="18"/>
          <w:color w:val="auto"/>
        </w:rPr>
      </w:pPr>
    </w:p>
    <w:p>
      <w:pPr>
        <w:ind w:left="3960"/>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rFonts w:ascii="Times New Roman" w:cs="Times New Roman" w:eastAsia="Times New Roman" w:hAnsi="Times New Roman"/>
          <w:sz w:val="18"/>
          <w:szCs w:val="18"/>
          <w:color w:val="auto"/>
        </w:rPr>
      </w:pPr>
    </w:p>
    <w:p>
      <w:pPr>
        <w:ind w:left="3560"/>
        <w:spacing w:after="0"/>
        <w:rPr>
          <w:sz w:val="20"/>
          <w:szCs w:val="20"/>
          <w:color w:val="auto"/>
        </w:rPr>
      </w:pPr>
      <w:r>
        <w:rPr>
          <w:rFonts w:ascii="Times New Roman" w:cs="Times New Roman" w:eastAsia="Times New Roman" w:hAnsi="Times New Roman"/>
          <w:sz w:val="18"/>
          <w:szCs w:val="18"/>
          <w:color w:val="auto"/>
        </w:rPr>
        <w:t>Level 6, 55 Market Street</w:t>
      </w:r>
    </w:p>
    <w:p>
      <w:pPr>
        <w:spacing w:after="0" w:line="9"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rFonts w:ascii="Times New Roman" w:cs="Times New Roman" w:eastAsia="Times New Roman" w:hAnsi="Times New Roman"/>
          <w:sz w:val="18"/>
          <w:szCs w:val="18"/>
          <w:color w:val="auto"/>
        </w:rPr>
      </w:pPr>
    </w:p>
    <w:p>
      <w:pPr>
        <w:ind w:left="3860"/>
        <w:spacing w:after="0"/>
        <w:rPr>
          <w:sz w:val="20"/>
          <w:szCs w:val="20"/>
          <w:color w:val="auto"/>
        </w:rPr>
      </w:pPr>
      <w:r>
        <w:rPr>
          <w:rFonts w:ascii="Times New Roman" w:cs="Times New Roman" w:eastAsia="Times New Roman" w:hAnsi="Times New Roman"/>
          <w:sz w:val="18"/>
          <w:szCs w:val="18"/>
          <w:color w:val="auto"/>
        </w:rPr>
        <w:t>+61 2 7906 8301</w:t>
      </w:r>
    </w:p>
    <w:p>
      <w:pPr>
        <w:spacing w:after="0" w:line="9"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ir@iren.com</w:t>
      </w:r>
    </w:p>
    <w:p>
      <w:pPr>
        <w:spacing w:after="0" w:line="99" w:lineRule="exact"/>
        <w:rPr>
          <w:rFonts w:ascii="Times New Roman" w:cs="Times New Roman" w:eastAsia="Times New Roman" w:hAnsi="Times New Roman"/>
          <w:sz w:val="18"/>
          <w:szCs w:val="18"/>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We maintain a website at https://iren.com. The information contained on, or that may be accessed through, our website is not part of, and is not incorporated by reference into, this prospectus.</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967740</wp:posOffset>
            </wp:positionV>
            <wp:extent cx="1714500" cy="900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3"/>
          <w:szCs w:val="23"/>
          <w:color w:val="auto"/>
        </w:rPr>
        <w:t> </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IREN Limited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Up to $6,000,000,000</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PROSPECTUS SUPPLEMENT</w:t>
      </w:r>
    </w:p>
    <w:p>
      <w:pPr>
        <w:spacing w:after="0" w:line="350"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 Riley</w:t>
            </w:r>
          </w:p>
        </w:tc>
        <w:tc>
          <w:tcPr>
            <w:tcW w:w="14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Canaccord Cantor</w:t>
            </w:r>
          </w:p>
        </w:tc>
        <w:tc>
          <w:tcPr>
            <w:tcW w:w="15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Citigroup Citizens</w:t>
            </w:r>
          </w:p>
        </w:tc>
        <w:tc>
          <w:tcPr>
            <w:tcW w:w="7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Compass</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Goldman</w:t>
            </w:r>
          </w:p>
        </w:tc>
        <w:tc>
          <w:tcPr>
            <w:tcW w:w="13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Jefferies  J.P.</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Macquarie</w:t>
            </w:r>
          </w:p>
        </w:tc>
        <w:tc>
          <w:tcPr>
            <w:tcW w:w="6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Roth</w:t>
            </w:r>
          </w:p>
        </w:tc>
      </w:tr>
      <w:tr>
        <w:trPr>
          <w:trHeight w:val="203"/>
        </w:trPr>
        <w:tc>
          <w:tcPr>
            <w:tcW w:w="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4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Genuity</w:t>
            </w:r>
          </w:p>
        </w:tc>
        <w:tc>
          <w:tcPr>
            <w:tcW w:w="150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7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Point</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Sachs &amp;</w:t>
            </w:r>
          </w:p>
        </w:tc>
        <w:tc>
          <w:tcPr>
            <w:tcW w:w="13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Morgan</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Capital</w:t>
            </w:r>
          </w:p>
        </w:tc>
      </w:tr>
      <w:tr>
        <w:trPr>
          <w:trHeight w:val="212"/>
        </w:trPr>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78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 LLC</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97"/>
              </w:rPr>
              <w:t>Partners</w:t>
            </w:r>
          </w:p>
        </w:tc>
      </w:tr>
    </w:tbl>
    <w:p>
      <w:pPr>
        <w:spacing w:after="0" w:line="200" w:lineRule="exact"/>
        <w:rPr>
          <w:sz w:val="20"/>
          <w:szCs w:val="20"/>
          <w:color w:val="auto"/>
        </w:rPr>
      </w:pP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172720</wp:posOffset>
            </wp:positionV>
            <wp:extent cx="52120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233045</wp:posOffset>
            </wp:positionV>
            <wp:extent cx="52120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73" w:name="page74"/>
    <w:bookmarkEnd w:id="73"/>
    <w:p>
      <w:pPr>
        <w:ind w:left="10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424(b)(5)</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120" w:type="dxa"/>
            <w:vAlign w:val="bottom"/>
            <w:tcBorders>
              <w:top w:val="single" w:sz="8" w:color="auto"/>
              <w:left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8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Fee</w:t>
            </w: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11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20" w:type="dxa"/>
            <w:vAlign w:val="bottom"/>
            <w:tcBorders>
              <w:left w:val="single" w:sz="8" w:color="auto"/>
              <w:right w:val="single" w:sz="8" w:color="auto"/>
            </w:tcBorders>
          </w:tcPr>
          <w:p>
            <w:pPr>
              <w:spacing w:after="0"/>
              <w:rPr>
                <w:sz w:val="19"/>
                <w:szCs w:val="19"/>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1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12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5"/>
        </w:trPr>
        <w:tc>
          <w:tcPr>
            <w:tcW w:w="1120" w:type="dxa"/>
            <w:vAlign w:val="bottom"/>
            <w:tcBorders>
              <w:left w:val="single" w:sz="8" w:color="auto"/>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2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160" w:type="dxa"/>
            <w:vAlign w:val="bottom"/>
            <w:tcBorders>
              <w:bottom w:val="single" w:sz="8" w:color="auto"/>
              <w:right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8"/>
              </w:rPr>
              <w:t>Fee</w:t>
            </w:r>
            <w:r>
              <w:rPr>
                <w:rFonts w:ascii="Times New Roman" w:cs="Times New Roman" w:eastAsia="Times New Roman" w:hAnsi="Times New Roman"/>
                <w:sz w:val="29"/>
                <w:szCs w:val="29"/>
                <w:b w:val="1"/>
                <w:bCs w:val="1"/>
                <w:color w:val="auto"/>
                <w:w w:val="88"/>
                <w:vertAlign w:val="superscript"/>
              </w:rPr>
              <w:t>(1)</w:t>
            </w:r>
          </w:p>
        </w:tc>
        <w:tc>
          <w:tcPr>
            <w:tcW w:w="0" w:type="dxa"/>
            <w:vAlign w:val="bottom"/>
          </w:tcPr>
          <w:p>
            <w:pPr>
              <w:spacing w:after="0"/>
              <w:rPr>
                <w:sz w:val="1"/>
                <w:szCs w:val="1"/>
                <w:color w:val="auto"/>
              </w:rPr>
            </w:pPr>
          </w:p>
        </w:tc>
      </w:tr>
      <w:tr>
        <w:trPr>
          <w:trHeight w:val="218"/>
        </w:trPr>
        <w:tc>
          <w:tcPr>
            <w:tcW w:w="11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 Be</w:t>
            </w:r>
          </w:p>
        </w:tc>
        <w:tc>
          <w:tcPr>
            <w:tcW w:w="1100" w:type="dxa"/>
            <w:vAlign w:val="bottom"/>
            <w:tcBorders>
              <w:right w:val="single" w:sz="8" w:color="auto"/>
            </w:tcBorders>
            <w:shd w:val="clear" w:color="auto" w:fill="CCEEFF"/>
          </w:tcPr>
          <w:p>
            <w:pPr>
              <w:spacing w:after="0"/>
              <w:rPr>
                <w:sz w:val="18"/>
                <w:szCs w:val="18"/>
                <w:color w:val="auto"/>
              </w:rPr>
            </w:pPr>
          </w:p>
        </w:tc>
        <w:tc>
          <w:tcPr>
            <w:tcW w:w="22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12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Paid</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Ordinary Shares</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$6,000,000,000</w:t>
            </w:r>
          </w:p>
        </w:tc>
        <w:tc>
          <w:tcPr>
            <w:tcW w:w="112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0.0001381</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$828,600.00</w:t>
            </w:r>
          </w:p>
        </w:tc>
        <w:tc>
          <w:tcPr>
            <w:tcW w:w="0" w:type="dxa"/>
            <w:vAlign w:val="bottom"/>
          </w:tcPr>
          <w:p>
            <w:pPr>
              <w:spacing w:after="0"/>
              <w:rPr>
                <w:sz w:val="1"/>
                <w:szCs w:val="1"/>
                <w:color w:val="auto"/>
              </w:rPr>
            </w:pPr>
          </w:p>
        </w:tc>
      </w:tr>
      <w:tr>
        <w:trPr>
          <w:trHeight w:val="237"/>
        </w:trPr>
        <w:tc>
          <w:tcPr>
            <w:tcW w:w="1120" w:type="dxa"/>
            <w:vAlign w:val="bottom"/>
            <w:tcBorders>
              <w:top w:val="single" w:sz="8" w:color="auto"/>
              <w:left w:val="single" w:sz="8" w:color="auto"/>
              <w:right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tcPr>
          <w:p>
            <w:pPr>
              <w:spacing w:after="0"/>
              <w:rPr>
                <w:sz w:val="20"/>
                <w:szCs w:val="20"/>
                <w:color w:val="auto"/>
              </w:rPr>
            </w:pPr>
          </w:p>
        </w:tc>
        <w:tc>
          <w:tcPr>
            <w:tcW w:w="2240" w:type="dxa"/>
            <w:vAlign w:val="bottom"/>
            <w:tcBorders>
              <w:top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120" w:type="dxa"/>
            <w:vAlign w:val="bottom"/>
            <w:tcBorders>
              <w:top w:val="single" w:sz="8" w:color="auto"/>
              <w:right w:val="single" w:sz="8" w:color="auto"/>
            </w:tcBorders>
          </w:tcPr>
          <w:p>
            <w:pPr>
              <w:spacing w:after="0"/>
              <w:rPr>
                <w:sz w:val="20"/>
                <w:szCs w:val="20"/>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$6,000,000,000</w:t>
            </w:r>
          </w:p>
        </w:tc>
        <w:tc>
          <w:tcPr>
            <w:tcW w:w="112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$828,600.00</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12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100" w:type="dxa"/>
            <w:vAlign w:val="bottom"/>
            <w:tcBorders>
              <w:bottom w:val="single" w:sz="8" w:color="CCEEFF"/>
              <w:right w:val="single" w:sz="8" w:color="CCEEFF"/>
            </w:tcBorders>
            <w:shd w:val="clear" w:color="auto" w:fill="CCEEFF"/>
          </w:tcPr>
          <w:p>
            <w:pPr>
              <w:spacing w:after="0"/>
              <w:rPr>
                <w:sz w:val="22"/>
                <w:szCs w:val="22"/>
                <w:color w:val="auto"/>
              </w:rPr>
            </w:pPr>
          </w:p>
        </w:tc>
        <w:tc>
          <w:tcPr>
            <w:tcW w:w="2220" w:type="dxa"/>
            <w:vAlign w:val="bottom"/>
            <w:tcBorders>
              <w:bottom w:val="single" w:sz="8" w:color="CCEEFF"/>
              <w:right w:val="single" w:sz="8" w:color="CCEEFF"/>
            </w:tcBorders>
            <w:shd w:val="clear" w:color="auto" w:fill="CCEEFF"/>
          </w:tcPr>
          <w:p>
            <w:pPr>
              <w:spacing w:after="0"/>
              <w:rPr>
                <w:sz w:val="22"/>
                <w:szCs w:val="22"/>
                <w:color w:val="auto"/>
              </w:rPr>
            </w:pPr>
          </w:p>
        </w:tc>
        <w:tc>
          <w:tcPr>
            <w:tcW w:w="2240" w:type="dxa"/>
            <w:vAlign w:val="bottom"/>
            <w:tcBorders>
              <w:bottom w:val="single" w:sz="8" w:color="CCEEFF"/>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8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120" w:type="dxa"/>
            <w:vAlign w:val="bottom"/>
            <w:tcBorders>
              <w:top w:val="single" w:sz="8" w:color="auto"/>
              <w:left w:val="single" w:sz="8" w:color="auto"/>
              <w:right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tcPr>
          <w:p>
            <w:pPr>
              <w:spacing w:after="0"/>
              <w:rPr>
                <w:sz w:val="20"/>
                <w:szCs w:val="20"/>
                <w:color w:val="auto"/>
              </w:rPr>
            </w:pPr>
          </w:p>
        </w:tc>
        <w:tc>
          <w:tcPr>
            <w:tcW w:w="2240" w:type="dxa"/>
            <w:vAlign w:val="bottom"/>
            <w:tcBorders>
              <w:top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120" w:type="dxa"/>
            <w:vAlign w:val="bottom"/>
            <w:tcBorders>
              <w:top w:val="single" w:sz="8" w:color="auto"/>
              <w:right w:val="single" w:sz="8" w:color="auto"/>
            </w:tcBorders>
          </w:tcPr>
          <w:p>
            <w:pPr>
              <w:spacing w:after="0"/>
              <w:rPr>
                <w:sz w:val="20"/>
                <w:szCs w:val="20"/>
                <w:color w:val="auto"/>
              </w:rPr>
            </w:pPr>
          </w:p>
        </w:tc>
        <w:tc>
          <w:tcPr>
            <w:tcW w:w="118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1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right w:val="single" w:sz="8" w:color="CCEEFF"/>
            </w:tcBorders>
            <w:shd w:val="clear" w:color="auto" w:fill="CCEEFF"/>
          </w:tcPr>
          <w:p>
            <w:pPr>
              <w:spacing w:after="0"/>
              <w:rPr>
                <w:sz w:val="21"/>
                <w:szCs w:val="21"/>
                <w:color w:val="auto"/>
              </w:rPr>
            </w:pPr>
          </w:p>
        </w:tc>
        <w:tc>
          <w:tcPr>
            <w:tcW w:w="222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120" w:type="dxa"/>
            <w:vAlign w:val="bottom"/>
            <w:tcBorders>
              <w:bottom w:val="single" w:sz="8" w:color="CCEEFF"/>
              <w:right w:val="single" w:sz="8" w:color="auto"/>
            </w:tcBorders>
            <w:shd w:val="clear" w:color="auto" w:fill="CCEEFF"/>
          </w:tcPr>
          <w:p>
            <w:pPr>
              <w:spacing w:after="0"/>
              <w:rPr>
                <w:sz w:val="21"/>
                <w:szCs w:val="21"/>
                <w:color w:val="auto"/>
              </w:rPr>
            </w:pPr>
          </w:p>
        </w:tc>
        <w:tc>
          <w:tcPr>
            <w:tcW w:w="118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$828,600.00</w:t>
            </w:r>
          </w:p>
        </w:tc>
        <w:tc>
          <w:tcPr>
            <w:tcW w:w="0" w:type="dxa"/>
            <w:vAlign w:val="bottom"/>
          </w:tcPr>
          <w:p>
            <w:pPr>
              <w:spacing w:after="0"/>
              <w:rPr>
                <w:sz w:val="1"/>
                <w:szCs w:val="1"/>
                <w:color w:val="auto"/>
              </w:rPr>
            </w:pPr>
          </w:p>
        </w:tc>
      </w:tr>
      <w:tr>
        <w:trPr>
          <w:trHeight w:val="20"/>
        </w:trPr>
        <w:tc>
          <w:tcPr>
            <w:tcW w:w="1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22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320" w:right="140" w:hanging="312"/>
        <w:spacing w:after="0" w:line="282"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offering price of the securities to which the prospectus relates is $6,000,000,000. The prospectus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lowerRoman"/>
      <w:start w:val="3"/>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2"/>
    </w:lvl>
  </w:abstractNum>
  <w:abstractNum w:abstractNumId="12">
    <w:nsid w:val="B03E0C6"/>
    <w:multiLevelType w:val="hybridMultilevel"/>
    <w:lvl w:ilvl="0">
      <w:lvlJc w:val="left"/>
      <w:lvlText w:val="%1)"/>
      <w:numFmt w:val="lowerLetter"/>
      <w:start w:val="1"/>
    </w:lvl>
    <w:lvl w:ilvl="1">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lowerRoman"/>
      <w:start w:val="2"/>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
      <w:numFmt w:val="bullet"/>
      <w:start w:val="1"/>
    </w:lvl>
  </w:abstractNum>
  <w:abstractNum w:abstractNumId="28">
    <w:nsid w:val="614FD4A1"/>
    <w:multiLevelType w:val="hybridMultilevel"/>
    <w:lvl w:ilvl="0">
      <w:lvlJc w:val="left"/>
      <w:lvlText w:val=" "/>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jpe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jpe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42" Type="http://schemas.openxmlformats.org/officeDocument/2006/relationships/hyperlink" Target="https://www.sec.gov/ix?doc=/Archives/edgar/data/1878848/000187884825000063/iren-20250630.htm" TargetMode="External"/><Relationship Id="rId43" Type="http://schemas.openxmlformats.org/officeDocument/2006/relationships/hyperlink" Target="https://www.sec.gov/ix?doc=/Archives/edgar/data/1878848/000114036125037383/ny20053824x2_def14a.htm" TargetMode="External"/><Relationship Id="rId44" Type="http://schemas.openxmlformats.org/officeDocument/2006/relationships/hyperlink" Target="https://www.sec.gov/ix?doc=/Archives/edgar/data/1878848/000187884825000081/iren-20250930.htm" TargetMode="External"/><Relationship Id="rId45" Type="http://schemas.openxmlformats.org/officeDocument/2006/relationships/hyperlink" Target="https://www.sec.gov/ix?doc=/Archives/edgar/data/1878848/000187884826000015/iren-20251231.htm" TargetMode="External"/><Relationship Id="rId46" Type="http://schemas.openxmlformats.org/officeDocument/2006/relationships/hyperlink" Target="https://www.sec.gov/ix?doc=/Archives/edgar/data/1878848/000114036125024305/ef20051444_8k.htm" TargetMode="External"/><Relationship Id="rId47" Type="http://schemas.openxmlformats.org/officeDocument/2006/relationships/hyperlink" Target="https://www.sec.gov/ix?doc=/Archives/edgar/data/1878848/000095010325008477/dp231112_8k.htm" TargetMode="External"/><Relationship Id="rId48" Type="http://schemas.openxmlformats.org/officeDocument/2006/relationships/hyperlink" Target="https://www.sec.gov/ix?doc=/Archives/edgar/data/1878848/000114036125034232/ef20055281_form8k.htm" TargetMode="External"/><Relationship Id="rId49" Type="http://schemas.openxmlformats.org/officeDocument/2006/relationships/hyperlink" Target="https://www.sec.gov/ix?doc=/Archives/edgar/data/1878848/000114036125037488/ef20056749_8k.htm" TargetMode="External"/><Relationship Id="rId50" Type="http://schemas.openxmlformats.org/officeDocument/2006/relationships/hyperlink" Target="https://www.sec.gov/ix?doc=/Archives/edgar/data/1878848/000114036125037753/ef20056800_8k.htm" TargetMode="External"/><Relationship Id="rId51" Type="http://schemas.openxmlformats.org/officeDocument/2006/relationships/hyperlink" Target="https://www.sec.gov/ix?doc=/Archives/edgar/data/1878848/000114036125038083/ef20056955_8k.htm" TargetMode="External"/><Relationship Id="rId52" Type="http://schemas.openxmlformats.org/officeDocument/2006/relationships/hyperlink" Target="https://www.sec.gov/ix?doc=/Archives/edgar/data/1878848/000114036125040072/ef20058139_8k.htm" TargetMode="External"/><Relationship Id="rId53" Type="http://schemas.openxmlformats.org/officeDocument/2006/relationships/hyperlink" Target="https://www.sec.gov/ix?doc=/Archives/edgar/data/1878848/000114036125043599/ef20060170_8k.htm" TargetMode="External"/><Relationship Id="rId54" Type="http://schemas.openxmlformats.org/officeDocument/2006/relationships/hyperlink" Target="https://www.sec.gov/ix?doc=/Archives/edgar/data/1878848/000114036125043803/ny20060080x2_8k.htm" TargetMode="External"/><Relationship Id="rId55" Type="http://schemas.openxmlformats.org/officeDocument/2006/relationships/hyperlink" Target="https://www.sec.gov/ix?doc=/Archives/edgar/data/1878848/000114036125044095/ny20060080x4_8k.htm" TargetMode="External"/><Relationship Id="rId56" Type="http://schemas.openxmlformats.org/officeDocument/2006/relationships/hyperlink" Target="https://www.sec.gov/ix?doc=/Archives/edgar/data/1878848/000114036125044888/ef20060782_8k.htm" TargetMode="External"/><Relationship Id="rId57" Type="http://schemas.openxmlformats.org/officeDocument/2006/relationships/hyperlink" Target="https://www.sec.gov/ix?doc=/Archives/edgar/data/1878848/000114036126007905/ny20064909x3_8k.htm" TargetMode="External"/><Relationship Id="rId58" Type="http://schemas.openxmlformats.org/officeDocument/2006/relationships/hyperlink" Target="https://www.sec.gov/Archives/edgar/data/1878848/000114036121038024/ny20000275x11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2026-03-04T16:30:52Z</dcterms:created>
  <dcterms:modified xsi:type="dcterms:W3CDTF">2026-03-04T16:30:52Z</dcterms:modified>
</cp:coreProperties>
</file>