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May 11, 2026</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IREN LIMITED</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Australia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 or organization)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001-41072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Level 5, 55 Market Street, Sydney, NSW 2000 Australia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+61 2 7906 8301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11"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3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3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5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10"/>
        </w:trPr>
        <w:tc>
          <w:tcPr>
            <w:tcW w:w="3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Ordinary Shares, no par value</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IREN</w:t>
            </w:r>
          </w:p>
        </w:tc>
        <w:tc>
          <w:tcPr>
            <w:tcW w:w="5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Indenture and Convertible Notes</w:t>
      </w:r>
    </w:p>
    <w:p>
      <w:pPr>
        <w:spacing w:after="0" w:line="225"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On May 14, 2026 (the “Closing Date”), IREN Limited (the “Company”) issued $3.0 billion principal amount of its 1.00% Convertible Senior Notes due 2033 (the “Convertible Notes”). The Convertible Notes were issued pursuant to, and are governed by, an indenture (the “Indenture”), dated as of the Closing Date, between the Company and U.S. Bank Trust Company, National Association, as trustee (the “Trustee”). Pursuant to the purchase agreement between the Company and the representatives of the initial purchasers of the Convertible Notes, the Company granted the initial purchasers an option to purchase, for settlement within a 13-day period beginning on, and including, the date on which the Convertible Notes are first issued, up to an additional $400 million aggregate principal amount of the Convertible Notes. The Convertible Notes issued on May 14, 2026 include $400 million principal amount of Convertible Notes issued pursuant to the full exercise by the initial purchasers of such option.</w:t>
      </w:r>
    </w:p>
    <w:p>
      <w:pPr>
        <w:spacing w:after="0" w:line="18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net proceeds from the offering are approximately $2.96 billion after deducting the initial purchasers’ discounts and commissions and the Company’s estimated offering expenses. The Company used $201.3 million of the net proceeds to fund the cost of entering into the capped call transactions described herein. The Company intends to use the remainder of the net proceeds for general corporate purposes and working capital.</w:t>
      </w:r>
    </w:p>
    <w:p>
      <w:pPr>
        <w:spacing w:after="0" w:line="17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Convertible Notes will be the Company’s senior, unsecured obligations and will be (i) equal in right of payment with any of the Company’s existing and future senior, unsecured indebtedness and other liabilities (including trade payables); (ii) senior in right of payment to any of the Company’s future indebtedness that is expressly subordinated to the Convertible Notes; (iii) effectively subordinated to any of the Company’s future secured indebtedness to the extent of the value of the collateral securing that indebtedness; and (iv) structurally subordinated to any existing and future indebtedness and other liabilities (including trade payables) of the Company’s subsidiaries, and any preferred equity of the Company’s subsidiaries to the extent the Company is not a holder thereof.</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Convertible Notes accrue interest at a rate of 1.00% per annum, payable semi-annually on June 1 and December 1 of each year, beginning on December 1, 2026. The Convertible Notes will mature on December 1, 2033, unless earlier repurchased, redeemed or converted. Before the close of business on the business day immediately before September 1, 2033, noteholders will have the right to convert their Convertible Notes only upon the occurrence of certain events. On or after September 1, 2033 until the close of business on the second scheduled trading day immediately before the maturity date, noteholders may convert their Convertible Notes at any time at their election. The Company will generally have the right to elect to settle conversions by paying or delivering, as applicable, cash, the Company’s ordinary shares, no par value (the “ordinary shares”) or a combination of cash and ordinary shares. The initial conversion rate is 13.6848 ordinary shares per $1,000 principal amount of Convertible Notes, which represents an initial conversion price of approximately $73.07 per ordinary share. The conversion rate and conversion price will be subject to customary adjustments upon the occurrence of certain events. In addition, if certain corporate events that constitute a “Make-Whole Fundamental Change” (as defined in the Indenture) occur, then the conversion rate will, in certain circumstances, be increased for a specified period of time.</w:t>
      </w:r>
    </w:p>
    <w:p>
      <w:pPr>
        <w:spacing w:after="0" w:line="19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Convertible Notes will be redeemable, in whole or in part (subject to certain limitations described below), at the Company’s option at any time, and from time to time, on or after June 6, 2030 and on or before the 30th scheduled trading day immediately before the maturity date, but only if (i) the Convertible Notes are “Freely Tradable” (as defined in the Indenture) as of the date the Company sends the related redemption notice and all accrued and unpaid additional interest, if any, has been paid in full as of the most recent interest payment date occurring on or before the date the Company sends the related redemption notice; and (ii) the last reported sale price per ordinary share exceeds 130% of the conversion price on (1) each of at least 20 trading days, whether or not consecutive, during the 30 consecutive trading days ending on, and including, the trading day immediately before the date the Company sends such redemption notice; and (2) the trading day immediately before the date the Company sends such redemption notice. However, the Company may not redeem less than all of the outstanding Convertible Notes unless at least $100.0 million aggregate principal amount of Convertible Notes are outstanding and not called for redemption as of the time the Company sends the related redemption notice. In addition, the Company will have the right to redeem all, but not less than all, of the Convertible Notes if certain changes in tax law as set forth in the Indenture occur and certain other conditions set forth in the Indenture are satisfied. In each case, the redemption price will be a cash amount equal to the principal amount of the Convertible Notes to be redeemed, plus accrued and unpaid interest to, but excluding, the redemption date. In addition, calling any Note for redemption will constitute a Make-Whole Fundamental Change with respect to that Note, in which case the conversion rate applicable to the conversion of that Note will be increased in certain circumstances if it is converted with a conversion date that is on or after the date the Company sends the related redemption notice and on or before the second business day immediately before the related 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ind w:right="120"/>
        <w:spacing w:after="0" w:line="258" w:lineRule="auto"/>
        <w:rPr>
          <w:sz w:val="20"/>
          <w:szCs w:val="20"/>
          <w:color w:val="auto"/>
        </w:rPr>
      </w:pPr>
      <w:r>
        <w:rPr>
          <w:rFonts w:ascii="Times New Roman" w:cs="Times New Roman" w:eastAsia="Times New Roman" w:hAnsi="Times New Roman"/>
          <w:sz w:val="18"/>
          <w:szCs w:val="18"/>
          <w:color w:val="auto"/>
        </w:rPr>
        <w:t>If certain corporate events that constitute a “Fundamental Change” (as defined in the Indenture) occur, then, subject to a limited exception for certain cash mergers, noteholders may require the Company to repurchase their Convertible Notes at a cash repurchase price equal to the principal amount of the Convertible Notes to be repurchased, plus accrued and unpaid interest to, but excluding, the fundamental change repurchase date. The definition of Fundamental Change includes certain business combination transactions involving the Company and certain de-listing events with respect to the ordinary shares.</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Convertible Notes will have customary provisions relating to the occurrence of “Events of Default” (as defined in the Indenture), which include the following: (i) certain payment defaults on the Convertible Notes (which, in the case of a default in the payment of interest that has accrued on the Convertible Notes, will be subject to a 30-day cure period); (ii) the Company’s failure to send certain notices under the Indenture within specified periods of time; (iii) the Company’s failure to comply with certain covenants in the Indenture relating to the Company’s ability to consolidate with or merge with or into, or sell, lease or otherwise transfer, in one transaction or a series of transactions, all or substantially all of the assets of the Company and its subsidiaries, taken as a whole, to another person; (iv) a default by the Company in its other obligations or agreements under the Indenture or the Convertible Notes if such default is not cured or waived within 60 days after notice is given in accordance with the Indenture; (v) certain defaults by the Company or any of its significant subsidiaries with respect to indebtedness for borrowed money of at least $125,000,000 (subject to the limitations set forth in the Indenture); and (vi) certain events of bankruptcy, insolvency and reorganization involving the Company or any of its significant subsidiaries.</w:t>
      </w:r>
    </w:p>
    <w:p>
      <w:pPr>
        <w:spacing w:after="0" w:line="18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If an Event of Default involving bankruptcy, insolvency or reorganization events with respect to the Company (and not solely with respect to a significant subsidiary of the Company) occurs, then the principal amount of, and all accrued and unpaid interest, if any, on, all of the Convertible Notes then outstanding will immediately become due and payable without any further action or notice by any person. If any other Event of Default occurs and is continuing, then, the Trustee, by notice to the Company, or noteholders of at least 25% of the aggregate principal amount of Convertible Notes then outstanding, by notice to the Company and the Trustee, may declare the principal amount of, and all accrued and unpaid interest, if any, on, all of the Convertible Notes then outstanding to become due and payable immediately. However, notwithstanding the foregoing, the Company may elect, at its option, that the sole remedy for an Event of Default relating to certain failures by the Company to comply with certain reporting covenants in the Indenture consists exclusively of the right of the noteholders to receive special interest on the Convertible Notes for up to 360 days at a specified rate per annum not exceeding 0.50% on the principal amount of the Convertible Notes.</w:t>
      </w:r>
    </w:p>
    <w:p>
      <w:pPr>
        <w:spacing w:after="0" w:line="18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above description of the Indenture and the Convertible Notes is a summary and is not complete. A copy of the Indenture and the form of the certificates representing the Convertible Notes are filed as Exhibits 4.1 and 4.2, respectively, to this Current Report on Form 8-K, and the above summary is qualified by reference to the terms of the Indenture and the Convertible Notes set forth in such exhibits.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Capped Call Transactions</w:t>
      </w:r>
    </w:p>
    <w:p>
      <w:pPr>
        <w:spacing w:after="0" w:line="22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On May 11, 2026, in connection with the pricing of the offering of the Convertible Notes, the Company entered into privately negotiated capped call transactions (the “Base Capped Call Transactions”) with Banco Santander, S.A., Bank of Montreal, Citibank, N.A., Crédit Agricole Corporate and Investment Bank, Mizuho Markets Americas LLC, The Bank of Nova Scotia and UBS AG, London Branch (the “Option Counterparties”). In addition, on May 13, 2026, in connection with the initial purchasers’ exercise of their option to purchase additional Convertible Notes, the Company entered into additional capped call transactions (the “Additional Capped Call Transactions” and, together with the Base Capped Call Transactions, the “Capped Call Transactions”) with each of the Option Counterparties. The Capped Call Transactions cover, subject to anti-dilution adjustments, the aggregate number of the ordinary shares that initially underlie the Convertible Notes, and are expected generally to reduce the potential dilution to the ordinary shares upon any conversion of the Convertible Notes and/or offset any potential cash payments the Company is required to make in excess of the principal amount of converted Convertible Notes, as the case may be, with such reduction and/or offset subject to a cap, based on the cap price of the Capped Call Transactions. The cap price of the Capped Call Transactions is initially $110.30 per share, which represents a premium of 100% over the last reported sale price of the ordinary shares of $55.15 per share on May 11, 2026, and is subject to certain adjustments under the terms of the Capped Call Transactions. The Capped Call Transactions will be solely cash settled unless certain conditions are satisfied. The cost of the Capped Call Transactions was $201.3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ind w:right="180"/>
        <w:spacing w:after="0" w:line="266" w:lineRule="auto"/>
        <w:rPr>
          <w:sz w:val="20"/>
          <w:szCs w:val="20"/>
          <w:color w:val="auto"/>
        </w:rPr>
      </w:pPr>
      <w:r>
        <w:rPr>
          <w:rFonts w:ascii="Times New Roman" w:cs="Times New Roman" w:eastAsia="Times New Roman" w:hAnsi="Times New Roman"/>
          <w:sz w:val="18"/>
          <w:szCs w:val="18"/>
          <w:color w:val="auto"/>
        </w:rPr>
        <w:t>The Capped Call Transactions are separate transactions, each between the Company and the applicable Option Counterparty, and are not part of the terms of the Convertible Notes and will not affect any holder’s rights under the Convertible Notes or the Indenture. Holders of the Convertible Notes will not have any rights with respect to the Capped Call Transactions.</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above description of the Capped Call Transactions is a summary and is not complete. A copy of the form of confirmation for the Capped Call Transactions is filed as Exhibit 10.1 to this Current Report on Form 8-K, and the above summary is qualified in its entirety by reference to the terms of the form of confirmation set forth in such exhibit.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1.01 above is incorporated by reference into this Item 2.03.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disclosure set forth in Item 1.01 above is incorporated by reference into this Item 3.02. The Convertible Notes were issued to the initial purchasers in reliance upon Section 4(a)(2) of the Securities Act of 1933, as amended (the “Securities Act”), in transactions not involving any public offering. The Convertible Notes were resold by the initial purchasers to persons whom the initial purchasers reasonably believe are “qualified institutional buyers,” as defined in, and in accordance with, Rule 144A under the Securities Act. Any ordinary shares that may be issued upon conversion of the Convertible Notes will be issued in reliance upon Section 3(a)(9) of the Securities Act as involving an exchange by the Company exclusively with its security holders. Initially, a maximum of 54,396,900 ordinary shares may be issued upon conversion of the Convertible Notes, based on the initial maximum conversion rate of 18.1323 ordinary shares per $1,000 principal amount of Convertible Notes, which is subject to customary anti-dilution adjustment provisions.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Capped Call Unwind Transaction</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connection with the issuance of the Company’s 3.50% Convertible Senior Notes due 2029 (the “2029 Notes”), the Company entered into capped call transactions (the “2029 Capped Call Transactions”) with certain financial institutions (the “2029 Option Counterparties”). In November 2025, the Company entered into a transaction pursuant to which a portion of the 2029 Notes were equitized (the “Equitized 2029 Notes”). In connection with the pricing of the offering of the Convertible Notes, the Company entered into an agreement with one of the 2029 Option Counterparties to terminate a portion of the 2029 Capped Call Transactions corresponding to a portion of the Equitized 2029 Notes.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Press Release</w:t>
      </w:r>
    </w:p>
    <w:p>
      <w:pPr>
        <w:spacing w:after="0" w:line="22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On the Closing Date, the Company issued a press release announcing that it has completed the sale of the Convertible Notes, pursuant to the purchase agreement between the Company and the initial purchasers of the Convertible Notes. A copy of the Company’s press release is attached hereto as Exhibit 99.1, which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Section 27A of the Securities Act of 1933, as amended, and Section 21E of the Securities Exchange Act of 1934, as amended, or the Exchange Act, that involve substantial risks and uncertainties. Forward-looking statements include information concerning possible or assumed future results of operations, including descriptions of our business plan and strategies and trends we expect to affect our business. These statements often include words such as “anticipate,” “expect,” “suggests,” “plan,” “believe,” “intend,” “estimates,” “targets,” “projects,” “should,” “could,” “would,” “may,” “will,” “forecast,” and other similar expressions. These forward-looking statements are contained throughout this Current Report on Form 8-K. We base these forward-looking statements or projections on our current expectations, plans and assumptions that we have made in light of our experience in the industry, as well as our perceptions of historical trends, current conditions, expected future developments and other factors we believe are appropriate under the circumstances and at such time. As you read and consider this Current Report on Form 8-K, you should understand that these statements are not guarantees of future performance or results. The forward-looking statements and projections are subject to and involve risks, uncertainties and assumptions and you should not place undue reliance on these forward-looking statements or projections. Although we believe that these forward-looking statements and projections are based on reasonable assumptions at the time they are made, you should be aware that many factors could affect our actual financial results or results of operations, and could cause actual results to differ materially from those expressed in the forward-looking statements and projections.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9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67"/>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1</w:t>
            </w:r>
          </w:p>
        </w:tc>
        <w:tc>
          <w:tcPr>
            <w:tcW w:w="80" w:type="dxa"/>
            <w:vAlign w:val="bottom"/>
            <w:tcBorders>
              <w:bottom w:val="single" w:sz="8" w:color="0000EE"/>
            </w:tcBorders>
            <w:gridSpan w:val="3"/>
          </w:tcPr>
          <w:p>
            <w:pPr>
              <w:jc w:val="right"/>
              <w:spacing w:after="0" w:line="147" w:lineRule="exact"/>
              <w:rPr>
                <w:sz w:val="20"/>
                <w:szCs w:val="20"/>
                <w:color w:val="auto"/>
              </w:rPr>
            </w:pPr>
            <w:r>
              <w:rPr>
                <w:rFonts w:ascii="Times New Roman" w:cs="Times New Roman" w:eastAsia="Times New Roman" w:hAnsi="Times New Roman"/>
                <w:sz w:val="15"/>
                <w:szCs w:val="15"/>
                <w:color w:val="0000EE"/>
                <w:w w:val="70"/>
              </w:rPr>
              <w:t>=</w:t>
            </w:r>
          </w:p>
        </w:tc>
        <w:tc>
          <w:tcPr>
            <w:tcW w:w="20" w:type="dxa"/>
            <w:vAlign w:val="bottom"/>
            <w:vMerge w:val="restart"/>
          </w:tcPr>
          <w:p>
            <w:pPr>
              <w:spacing w:after="0"/>
              <w:rPr>
                <w:sz w:val="14"/>
                <w:szCs w:val="14"/>
                <w:color w:val="auto"/>
              </w:rPr>
            </w:pPr>
          </w:p>
        </w:tc>
        <w:tc>
          <w:tcPr>
            <w:tcW w:w="80" w:type="dxa"/>
            <w:vAlign w:val="bottom"/>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9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w w:val="99"/>
              </w:rPr>
              <w:t>Indenture, dated as of May 14, 2026, between IREN Limited and U.S. Bank Trust Company, National Association, as trustee.</w:t>
            </w:r>
          </w:p>
        </w:tc>
        <w:tc>
          <w:tcPr>
            <w:tcW w:w="0" w:type="dxa"/>
            <w:vAlign w:val="bottom"/>
          </w:tcPr>
          <w:p>
            <w:pPr>
              <w:spacing w:after="0"/>
              <w:rPr>
                <w:sz w:val="1"/>
                <w:szCs w:val="1"/>
                <w:color w:val="auto"/>
              </w:rPr>
            </w:pPr>
          </w:p>
        </w:tc>
      </w:tr>
      <w:tr>
        <w:trPr>
          <w:trHeight w:val="48"/>
        </w:trPr>
        <w:tc>
          <w:tcPr>
            <w:tcW w:w="2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gridSpan w:val="2"/>
          </w:tcPr>
          <w:p>
            <w:pPr>
              <w:spacing w:after="0"/>
              <w:rPr>
                <w:sz w:val="4"/>
                <w:szCs w:val="4"/>
                <w:color w:val="auto"/>
              </w:rPr>
            </w:pPr>
          </w:p>
        </w:tc>
        <w:tc>
          <w:tcPr>
            <w:tcW w:w="2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9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6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w:t>
            </w: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Form of certificates representing the 1.00% Convertible Senior Notes due 2033 (included as Exhibit A to Exhibit 4.1).</w:t>
            </w:r>
          </w:p>
        </w:tc>
        <w:tc>
          <w:tcPr>
            <w:tcW w:w="0" w:type="dxa"/>
            <w:vAlign w:val="bottom"/>
          </w:tcPr>
          <w:p>
            <w:pPr>
              <w:spacing w:after="0"/>
              <w:rPr>
                <w:sz w:val="1"/>
                <w:szCs w:val="1"/>
                <w:color w:val="auto"/>
              </w:rPr>
            </w:pPr>
          </w:p>
        </w:tc>
      </w:tr>
      <w:tr>
        <w:trPr>
          <w:trHeight w:val="196"/>
        </w:trPr>
        <w:tc>
          <w:tcPr>
            <w:tcW w:w="4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90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Form of Capped Call Transactions Confirmation.</w:t>
            </w:r>
          </w:p>
        </w:tc>
        <w:tc>
          <w:tcPr>
            <w:tcW w:w="0" w:type="dxa"/>
            <w:vAlign w:val="bottom"/>
          </w:tcPr>
          <w:p>
            <w:pPr>
              <w:spacing w:after="0"/>
              <w:rPr>
                <w:sz w:val="1"/>
                <w:szCs w:val="1"/>
                <w:color w:val="auto"/>
              </w:rPr>
            </w:pPr>
          </w:p>
        </w:tc>
      </w:tr>
      <w:tr>
        <w:trPr>
          <w:trHeight w:val="196"/>
        </w:trPr>
        <w:tc>
          <w:tcPr>
            <w:tcW w:w="42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40" w:type="dxa"/>
            <w:vAlign w:val="bottom"/>
          </w:tcPr>
          <w:p>
            <w:pPr>
              <w:spacing w:after="0"/>
              <w:rPr>
                <w:sz w:val="17"/>
                <w:szCs w:val="17"/>
                <w:color w:val="auto"/>
              </w:rPr>
            </w:pPr>
          </w:p>
        </w:tc>
        <w:tc>
          <w:tcPr>
            <w:tcW w:w="90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Press release of IREN Limited announcing the closing of its Convertible Notes offering, dated May 14, 2026.</w:t>
            </w:r>
          </w:p>
        </w:tc>
        <w:tc>
          <w:tcPr>
            <w:tcW w:w="0" w:type="dxa"/>
            <w:vAlign w:val="bottom"/>
          </w:tcPr>
          <w:p>
            <w:pPr>
              <w:spacing w:after="0"/>
              <w:rPr>
                <w:sz w:val="1"/>
                <w:szCs w:val="1"/>
                <w:color w:val="auto"/>
              </w:rPr>
            </w:pPr>
          </w:p>
        </w:tc>
      </w:tr>
      <w:tr>
        <w:trPr>
          <w:trHeight w:val="237"/>
        </w:trPr>
        <w:tc>
          <w:tcPr>
            <w:tcW w:w="32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of this Current Report on Form 8-K formatted in Inline XBRL.</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800" w:firstLine="8"/>
        <w:spacing w:after="0" w:line="282" w:lineRule="auto"/>
        <w:tabs>
          <w:tab w:leader="none" w:pos="14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redacted in compliance with Item 601(a)(6) of Regulation S-K because disclosure would constitute a clearly unwarranted invasion of personal privacy. Redacted information is indicated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37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IREN Limited</w:t>
      </w:r>
    </w:p>
    <w:p>
      <w:pPr>
        <w:spacing w:after="0" w:line="229" w:lineRule="exact"/>
        <w:rPr>
          <w:sz w:val="20"/>
          <w:szCs w:val="20"/>
          <w:color w:val="auto"/>
        </w:rPr>
      </w:pPr>
    </w:p>
    <w:p>
      <w:pPr>
        <w:spacing w:after="0"/>
        <w:tabs>
          <w:tab w:leader="none" w:pos="5720" w:val="left"/>
          <w:tab w:leader="none" w:pos="6220" w:val="left"/>
        </w:tabs>
        <w:rPr>
          <w:sz w:val="20"/>
          <w:szCs w:val="20"/>
          <w:color w:val="auto"/>
        </w:rPr>
      </w:pPr>
      <w:r>
        <w:rPr>
          <w:rFonts w:ascii="Times New Roman" w:cs="Times New Roman" w:eastAsia="Times New Roman" w:hAnsi="Times New Roman"/>
          <w:sz w:val="18"/>
          <w:szCs w:val="18"/>
          <w:color w:val="auto"/>
        </w:rPr>
        <w:t>Date: May 14,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Daniel Roberts</w:t>
      </w:r>
    </w:p>
    <w:p>
      <w:pPr>
        <w:spacing w:after="0" w:line="5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Daniel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Co-Chief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 w:name="page7"/>
    <w:bookmarkEnd w:id="6"/>
    <w:p>
      <w:pPr>
        <w:ind w:left="104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4.1</w:t>
      </w:r>
    </w:p>
    <w:p>
      <w:pPr>
        <w:spacing w:after="0" w:line="24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Portions of this exhibit have been redacted in compliance with Item 601(a)(6) of Regulation S-K because disclosure would constitute a clearly unwarranted invasion of personal privacy. Redacted information is indicated by [***].</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302895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IREN LIMITED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BANK TRUST COMPANY, NATIONAL ASSOCIATION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INDENTURE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as of May 14,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 Convertible Senior Notes due 2033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557530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160" w:type="dxa"/>
            <w:vAlign w:val="bottom"/>
          </w:tcPr>
          <w:p>
            <w:pPr>
              <w:ind w:left="32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160" w:type="dxa"/>
            <w:vAlign w:val="bottom"/>
          </w:tcPr>
          <w:p>
            <w:pPr>
              <w:spacing w:after="0"/>
              <w:rPr>
                <w:sz w:val="24"/>
                <w:szCs w:val="24"/>
                <w:color w:val="auto"/>
              </w:rPr>
            </w:pPr>
          </w:p>
        </w:tc>
        <w:tc>
          <w:tcPr>
            <w:tcW w:w="72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37"/>
        </w:trPr>
        <w:tc>
          <w:tcPr>
            <w:tcW w:w="8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1.   Definitions; Rules of Construction</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18"/>
                <w:szCs w:val="18"/>
                <w:color w:val="auto"/>
              </w:rPr>
            </w:pPr>
          </w:p>
        </w:tc>
        <w:tc>
          <w:tcPr>
            <w:tcW w:w="9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1.01.</w:t>
            </w:r>
          </w:p>
        </w:tc>
        <w:tc>
          <w:tcPr>
            <w:tcW w:w="9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Definitions.</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1.02.</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Definitions.</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1.03.  Rules of Construction.</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974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2.</w:t>
            </w:r>
          </w:p>
        </w:tc>
        <w:tc>
          <w:tcPr>
            <w:tcW w:w="9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The Notes</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40" w:type="dxa"/>
            <w:vAlign w:val="bottom"/>
            <w:gridSpan w:val="3"/>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2.01.  Form, Dating and Denominations.</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Section 2.02.  Execution, Authentication and Delivery.</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2.03.  Initial Notes and Additional Notes.</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Section 2.04.  Method of Payment.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2.05.  Accrual of Interest; Defaulted Amounts; When Payment Date is Not a Business Day.</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Section 2.06.  Registrar, Paying Agent and Conversion Agent.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2.07.  Paying Agent and Conversion Agent to Hold Property in Trust.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2.08.</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Holder Lists.</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2.09.</w:t>
            </w:r>
          </w:p>
        </w:tc>
        <w:tc>
          <w:tcPr>
            <w:tcW w:w="9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Legends.</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Section 2.10.  Transfers and Exchanges; Certain Transfer Restrictions.</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540" w:type="dxa"/>
            <w:vAlign w:val="bottom"/>
            <w:gridSpan w:val="3"/>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Section 2.11.  Exchange and Cancellation of Notes to Be Converted or to Be Repurchased Pursuant to a Repurchase Upon Fundamental</w:t>
            </w:r>
          </w:p>
        </w:tc>
        <w:tc>
          <w:tcPr>
            <w:tcW w:w="700" w:type="dxa"/>
            <w:vAlign w:val="bottom"/>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 or Redemption.</w:t>
            </w:r>
          </w:p>
        </w:tc>
        <w:tc>
          <w:tcPr>
            <w:tcW w:w="3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5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Section 2.12.  Removal of Transfer Restrictions.</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2.13.</w:t>
            </w:r>
          </w:p>
        </w:tc>
        <w:tc>
          <w:tcPr>
            <w:tcW w:w="9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Replacement Notes.</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Section 2.14.  Registered Holders; Certain Rights with Respect to Global Notes.</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2.15.</w:t>
            </w:r>
          </w:p>
        </w:tc>
        <w:tc>
          <w:tcPr>
            <w:tcW w:w="9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Cancellation.</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Section 2.16.  Notes Held by the Company or its Affiliates.</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2.17.</w:t>
            </w:r>
          </w:p>
        </w:tc>
        <w:tc>
          <w:tcPr>
            <w:tcW w:w="9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Temporary Notes.</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2.18.</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Outstanding Notes.</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2.19.  Repurchases by the Company.</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5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Section 2.20.  CUSIP and ISIN Numbers.</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00" w:type="dxa"/>
            <w:vAlign w:val="bottom"/>
          </w:tcPr>
          <w:p>
            <w:pPr>
              <w:spacing w:after="0"/>
              <w:rPr>
                <w:sz w:val="17"/>
                <w:szCs w:val="17"/>
                <w:color w:val="auto"/>
              </w:rPr>
            </w:pPr>
          </w:p>
        </w:tc>
        <w:tc>
          <w:tcPr>
            <w:tcW w:w="9740" w:type="dxa"/>
            <w:vAlign w:val="bottom"/>
            <w:gridSpan w:val="2"/>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3.</w:t>
            </w:r>
          </w:p>
        </w:tc>
        <w:tc>
          <w:tcPr>
            <w:tcW w:w="9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Covenants</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40" w:type="dxa"/>
            <w:vAlign w:val="bottom"/>
            <w:gridSpan w:val="3"/>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3.01.  Payment on Notes.</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Section 3.02.  Exchange Act Reports.</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3.03.  Rule 144A Information.</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3.04.</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Additional Interest.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3.05.</w:t>
            </w:r>
          </w:p>
        </w:tc>
        <w:tc>
          <w:tcPr>
            <w:tcW w:w="9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Additional Amounts.</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Section 3.06.  Compliance and Default Certificates.</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3.07.  Stay, Extension and Usury Laws.</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5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Section 3.08.  Acquisition of Notes by the Company and its Affiliates.</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0540" w:type="dxa"/>
            <w:vAlign w:val="bottom"/>
            <w:gridSpan w:val="3"/>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4.   Repurchase and Redemption</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18"/>
                <w:szCs w:val="18"/>
                <w:color w:val="auto"/>
              </w:rPr>
            </w:pPr>
          </w:p>
        </w:tc>
        <w:tc>
          <w:tcPr>
            <w:tcW w:w="9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4.01.</w:t>
            </w:r>
          </w:p>
        </w:tc>
        <w:tc>
          <w:tcPr>
            <w:tcW w:w="9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 Sinking Fund.</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103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4.02.  Right of Holders to Require the Company to Repurchase Notes Upon a Fundamental Change.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4.03.  Right of the Company to Redeem the Notes.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032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5.   The Conversion of Notes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2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5.01.  Right to Convert.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5.02.</w:t>
            </w:r>
          </w:p>
        </w:tc>
        <w:tc>
          <w:tcPr>
            <w:tcW w:w="8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Conversion Procedures.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5.03.  Settlement Upon Conversion.</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5.04.  Status of Ordinary Shares Issued Upon Conversion.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5.05.  Adjustments to the Conversion Rate.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5.06.</w:t>
            </w:r>
          </w:p>
        </w:tc>
        <w:tc>
          <w:tcPr>
            <w:tcW w:w="8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Voluntary Adjustments.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5.07.  Adjustments to the Conversion Rate in Connection with a Make-Whole Fundamental Change.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5.08.  Exchange in Lieu of Conversion.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5.09.  Effect of Ordinary Share Change Event.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2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6.   Successors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2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6.01.  When the Company May Merge, Etc.</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6.02.  Successor Entity Substituted.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6.03.  Exclusion for Asset Transfers with Wholly Owned Subsidiaries.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2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7.   Defaults and Remedies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2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7.01.  Events of Default.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7.02.</w:t>
            </w:r>
          </w:p>
        </w:tc>
        <w:tc>
          <w:tcPr>
            <w:tcW w:w="8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Acceleration.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7.03.  Sole Remedy for a Failure to Report.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7.04.</w:t>
            </w:r>
          </w:p>
        </w:tc>
        <w:tc>
          <w:tcPr>
            <w:tcW w:w="8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Remedies.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7.05.  Waiver of Past Defaults.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7.06.  Control by Majority.</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7.07.  Limitation on Suits.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320" w:type="dxa"/>
            <w:vAlign w:val="bottom"/>
            <w:gridSpan w:val="2"/>
          </w:tcPr>
          <w:p>
            <w:pPr>
              <w:ind w:left="340"/>
              <w:spacing w:after="0" w:line="198" w:lineRule="exact"/>
              <w:rPr>
                <w:sz w:val="20"/>
                <w:szCs w:val="20"/>
                <w:color w:val="auto"/>
              </w:rPr>
            </w:pPr>
            <w:r>
              <w:rPr>
                <w:rFonts w:ascii="Times New Roman" w:cs="Times New Roman" w:eastAsia="Times New Roman" w:hAnsi="Times New Roman"/>
                <w:sz w:val="18"/>
                <w:szCs w:val="18"/>
                <w:color w:val="auto"/>
              </w:rPr>
              <w:t>Section 7.08.  Absolute Right of Holders to Institute Suit for the Enforcement of the Right to Receive Payment and Conversion</w:t>
            </w:r>
          </w:p>
        </w:tc>
        <w:tc>
          <w:tcPr>
            <w:tcW w:w="9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8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Consideration.</w:t>
            </w: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3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7.09.  Collection Suit by Trustee.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7.10.  Trustee May File Proofs of Claim.</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7.11.</w:t>
            </w:r>
          </w:p>
        </w:tc>
        <w:tc>
          <w:tcPr>
            <w:tcW w:w="8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Priorities.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7.12.  Undertaking for Costs.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032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8.   Amendments, Supplements and Waivers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2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8.01.  Without the Consent of Holders.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8.02.  With the Consent of Holders.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8.03.  Notice of Amendments, Supplements and Waivers.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8.04.  Revocation, Effect and Solicitation of Consents; Special Record Dates; Etc.</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8.05.  Notations and Exchanges.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8.06.  Trustee to Execute Supplemental Indentures.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032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9.   Satisfaction and Discharge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8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9.01.</w:t>
            </w:r>
          </w:p>
        </w:tc>
        <w:tc>
          <w:tcPr>
            <w:tcW w:w="8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Termination of Company’s Obligations.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1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9.02.</w:t>
            </w:r>
          </w:p>
        </w:tc>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 to Company.</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9.03.</w:t>
            </w:r>
          </w:p>
        </w:tc>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Reinstatement.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7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10.</w:t>
            </w:r>
          </w:p>
        </w:tc>
        <w:tc>
          <w:tcPr>
            <w:tcW w:w="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Trustee</w:t>
            </w:r>
          </w:p>
        </w:tc>
        <w:tc>
          <w:tcPr>
            <w:tcW w:w="7760" w:type="dxa"/>
            <w:vAlign w:val="bottom"/>
            <w:shd w:val="clear" w:color="auto" w:fill="CCEEFF"/>
          </w:tcPr>
          <w:p>
            <w:pPr>
              <w:spacing w:after="0"/>
              <w:rPr>
                <w:sz w:val="18"/>
                <w:szCs w:val="18"/>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3"/>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10.01. Duties of the Trustee.</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Section 10.02. Rights of the Trustee.</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10.03. Individual Rights of the Trustee.</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Section 10.04. Trustee’s Disclaimer.</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10.05. Notice of Defaults.</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Section 10.06. Compensation and Indemnity.</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10.07. Replacement of the Trustee.</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Section 10.08. Successor Trustee by Merger, Etc.</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10.09. Eligibility; Disqualification.</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8380" w:type="dxa"/>
            <w:vAlign w:val="bottom"/>
            <w:gridSpan w:val="2"/>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11.</w:t>
            </w:r>
          </w:p>
        </w:tc>
        <w:tc>
          <w:tcPr>
            <w:tcW w:w="8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Miscellaneous</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3"/>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11.01. Notices.</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Section 11.02. Delivery of Officer’s Certificate and Opinion of Counsel as to Conditions Precedent.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11.03. Statements Required in Officer’s Certificate and Opinion of Counsel.</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Section 11.04. Rules by the Trustee, the Registrar, the Paying Agent and the Conversion Agent.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11.05. No Personal Liability of Directors, Officers, Employees and Shareholders.</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Section 11.06. Governing Law; Waiver of Jury Trial.</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11.07. Submission to Jurisdiction.</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Section 11.08. No Adverse Interpretation of Other Agreements.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11.09. Successors.</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Section 11.10. Force Majeure.</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11.11. U.S.A. PATRIOT Act.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Section 11.12. Calculations.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11.13. Severability.</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Section 11.14. Counterparts; Electronic Signatures.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11.15. Table of Contents, Headings, Etc.</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Section 11.16. Withholding Taxes.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11.17. Service of Process.</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Exhibits</w:t>
            </w:r>
          </w:p>
        </w:tc>
        <w:tc>
          <w:tcPr>
            <w:tcW w:w="620" w:type="dxa"/>
            <w:vAlign w:val="bottom"/>
            <w:shd w:val="clear" w:color="auto" w:fill="CCEEFF"/>
          </w:tcPr>
          <w:p>
            <w:pPr>
              <w:spacing w:after="0"/>
              <w:rPr>
                <w:sz w:val="18"/>
                <w:szCs w:val="18"/>
                <w:color w:val="auto"/>
              </w:rPr>
            </w:pPr>
          </w:p>
        </w:tc>
        <w:tc>
          <w:tcPr>
            <w:tcW w:w="77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3"/>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A: Form of Note</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3"/>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B-1: Form of Restricted Note Legend</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B1-1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3"/>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B-2: Form of Global Note Legend</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B2-1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3"/>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B-3: Form of Non-Affiliate Legend</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B3-1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iii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 w:name="page11"/>
    <w:bookmarkEnd w:id="10"/>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dated as of May 14, 2026, between IREN Limited (ACN 629 842 799), an Australian company, as issuer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 Bank Trust Company, National Association,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party to this Indenture (as defined below) agrees as follows for the benefit of the other party and for the equal and ratable benefit of the Holders (as defined below) of the Company’s 1.00% Convertible Senior Notes due 2033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3200"/>
        <w:spacing w:after="0"/>
        <w:tabs>
          <w:tab w:leader="none" w:pos="4340" w:val="left"/>
        </w:tabs>
        <w:rPr>
          <w:sz w:val="20"/>
          <w:szCs w:val="20"/>
          <w:color w:val="auto"/>
        </w:rPr>
      </w:pPr>
      <w:r>
        <w:rPr>
          <w:rFonts w:ascii="Times New Roman" w:cs="Times New Roman" w:eastAsia="Times New Roman" w:hAnsi="Times New Roman"/>
          <w:sz w:val="18"/>
          <w:szCs w:val="18"/>
          <w:b w:val="1"/>
          <w:bCs w:val="1"/>
          <w:color w:val="auto"/>
        </w:rPr>
        <w:t>Article 1.</w:t>
      </w:r>
      <w:r>
        <w:rPr>
          <w:sz w:val="20"/>
          <w:szCs w:val="20"/>
          <w:color w:val="auto"/>
        </w:rPr>
        <w:tab/>
      </w:r>
      <w:r>
        <w:rPr>
          <w:rFonts w:ascii="Times New Roman" w:cs="Times New Roman" w:eastAsia="Times New Roman" w:hAnsi="Times New Roman"/>
          <w:sz w:val="17"/>
          <w:szCs w:val="17"/>
          <w:b w:val="1"/>
          <w:bCs w:val="1"/>
          <w:color w:val="auto"/>
        </w:rPr>
        <w:t>DEFINITIONS; RULES OF CONSTRUCTION</w:t>
      </w:r>
    </w:p>
    <w:p>
      <w:pPr>
        <w:spacing w:after="0" w:line="225"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1.01.</w:t>
        <w:tab/>
        <w:t>D</w:t>
      </w:r>
      <w:r>
        <w:rPr>
          <w:rFonts w:ascii="Times New Roman" w:cs="Times New Roman" w:eastAsia="Times New Roman" w:hAnsi="Times New Roman"/>
          <w:sz w:val="12"/>
          <w:szCs w:val="12"/>
          <w:b w:val="1"/>
          <w:bCs w:val="1"/>
          <w:color w:val="auto"/>
        </w:rPr>
        <w:t>efinitions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Interest</w:t>
      </w:r>
      <w:r>
        <w:rPr>
          <w:rFonts w:ascii="Times New Roman" w:cs="Times New Roman" w:eastAsia="Times New Roman" w:hAnsi="Times New Roman"/>
          <w:sz w:val="18"/>
          <w:szCs w:val="18"/>
          <w:color w:val="auto"/>
        </w:rPr>
        <w:t xml:space="preserve">” means any interest that accrues on any Note pursuant to </w:t>
      </w:r>
      <w:r>
        <w:rPr>
          <w:rFonts w:ascii="Times New Roman" w:cs="Times New Roman" w:eastAsia="Times New Roman" w:hAnsi="Times New Roman"/>
          <w:sz w:val="18"/>
          <w:szCs w:val="18"/>
          <w:b w:val="1"/>
          <w:bCs w:val="1"/>
          <w:color w:val="auto"/>
        </w:rPr>
        <w:t>Section 3.04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has the meaning set forth in Rule 144 as in effect on the Issue Date.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Authorized Denomination</w:t>
      </w:r>
      <w:r>
        <w:rPr>
          <w:rFonts w:ascii="Times New Roman" w:cs="Times New Roman" w:eastAsia="Times New Roman" w:hAnsi="Times New Roman"/>
          <w:sz w:val="18"/>
          <w:szCs w:val="18"/>
          <w:color w:val="auto"/>
        </w:rPr>
        <w:t>” means, with respect to a Note, a principal amount thereof equal to $1,000 or any integral multiple of $1,000 in excess thereof.</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Law</w:t>
      </w:r>
      <w:r>
        <w:rPr>
          <w:rFonts w:ascii="Times New Roman" w:cs="Times New Roman" w:eastAsia="Times New Roman" w:hAnsi="Times New Roman"/>
          <w:sz w:val="18"/>
          <w:szCs w:val="18"/>
          <w:color w:val="auto"/>
        </w:rPr>
        <w:t>” means Title 11, United States Code, or any similar U.S. federal or state or non-U.S. law for the relief of debtors.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Bid Solicitation Agent</w:t>
      </w:r>
      <w:r>
        <w:rPr>
          <w:rFonts w:ascii="Times New Roman" w:cs="Times New Roman" w:eastAsia="Times New Roman" w:hAnsi="Times New Roman"/>
          <w:sz w:val="18"/>
          <w:szCs w:val="18"/>
          <w:color w:val="auto"/>
        </w:rPr>
        <w:t xml:space="preserve">” means the Person who is required to obtain bids for the Trading Price in accordance with </w:t>
      </w:r>
      <w:r>
        <w:rPr>
          <w:rFonts w:ascii="Times New Roman" w:cs="Times New Roman" w:eastAsia="Times New Roman" w:hAnsi="Times New Roman"/>
          <w:sz w:val="18"/>
          <w:szCs w:val="18"/>
          <w:b w:val="1"/>
          <w:bCs w:val="1"/>
          <w:color w:val="auto"/>
        </w:rPr>
        <w:t>Section 5.01(C)(i)(2)</w:t>
      </w:r>
      <w:r>
        <w:rPr>
          <w:rFonts w:ascii="Times New Roman" w:cs="Times New Roman" w:eastAsia="Times New Roman" w:hAnsi="Times New Roman"/>
          <w:sz w:val="18"/>
          <w:szCs w:val="18"/>
          <w:color w:val="auto"/>
        </w:rPr>
        <w:t xml:space="preserve"> and the definition of “Trading Price.” The initial Bid Solicitation Agent on the Issue Date will be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may appoint any other Person (including any of the Company’s Subsidiaries) to be the Bid Solicitation Agent at any time after the Issue Date without prior notice.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means the board of directors of the Company or a committee of such board duly authorized to act on behalf of such board.</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a Saturday, a Sunday or any day on which the Federal Reserve Bank of New York is authorized or required by law or executive order to close or be closed.</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Stock</w:t>
      </w:r>
      <w:r>
        <w:rPr>
          <w:rFonts w:ascii="Times New Roman" w:cs="Times New Roman" w:eastAsia="Times New Roman" w:hAnsi="Times New Roman"/>
          <w:sz w:val="18"/>
          <w:szCs w:val="18"/>
          <w:color w:val="auto"/>
        </w:rPr>
        <w:t>” of any Person means any and all shares of, interests in, rights to purchase, warrants or options for, participations in, or other equivalents of, in each case however designated, the equity of such Person, but excluding any debt securities convertible into, or exchangeable for, such equity.</w:t>
      </w:r>
    </w:p>
    <w:p>
      <w:pPr>
        <w:spacing w:after="0" w:line="1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Tax Law</w:t>
      </w:r>
      <w:r>
        <w:rPr>
          <w:rFonts w:ascii="Times New Roman" w:cs="Times New Roman" w:eastAsia="Times New Roman" w:hAnsi="Times New Roman"/>
          <w:sz w:val="18"/>
          <w:szCs w:val="18"/>
          <w:color w:val="auto"/>
        </w:rPr>
        <w:t>” means any change or amendment in the laws, rules or regulations of a Relevant Taxing Jurisdiction, or any change in an official written interpretation, administration or application of such laws, rules or regulations by any legislative body, court, governmental taxing authority or regulatory or administrative authority of such Relevant Taxing Jurisdiction (including the enactment of any legislation and the publication of any judicial decision or regulatory or administrative interpretation or determination) affecting taxation, which change or amendment (A) had not been theretofore publicly announced; and (B) becomes effective (including becoming effective retrospectively) on or after May 11, 2026 (or, if the Relevant Taxing Jurisdiction was not a Relevant Taxing Jurisdiction on such date, the date on which such Relevant Taxing Jurisdiction became a Relevant Taxing Jurisdiction).</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Close of Business</w:t>
      </w:r>
      <w:r>
        <w:rPr>
          <w:rFonts w:ascii="Times New Roman" w:cs="Times New Roman" w:eastAsia="Times New Roman" w:hAnsi="Times New Roman"/>
          <w:sz w:val="18"/>
          <w:szCs w:val="18"/>
          <w:color w:val="auto"/>
        </w:rPr>
        <w:t>” means 5:00 p.m., New York City time.</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Equity</w:t>
      </w:r>
      <w:r>
        <w:rPr>
          <w:rFonts w:ascii="Times New Roman" w:cs="Times New Roman" w:eastAsia="Times New Roman" w:hAnsi="Times New Roman"/>
          <w:sz w:val="18"/>
          <w:szCs w:val="18"/>
          <w:color w:val="auto"/>
        </w:rPr>
        <w:t>” of any Person means Capital Stock of such Person that is generally entitled (A) to vote in the election of directors of such Person; or (B) if such Person is not a corporation, to vote or otherwise participate in the selection of the governing body, partners, managers or others that will control the management or policies of such Person.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means the Person named as such in the first paragraph of this Indenture and, subject to </w:t>
      </w:r>
      <w:r>
        <w:rPr>
          <w:rFonts w:ascii="Times New Roman" w:cs="Times New Roman" w:eastAsia="Times New Roman" w:hAnsi="Times New Roman"/>
          <w:sz w:val="18"/>
          <w:szCs w:val="18"/>
          <w:b w:val="1"/>
          <w:bCs w:val="1"/>
          <w:color w:val="auto"/>
        </w:rPr>
        <w:t>Article 6</w:t>
      </w:r>
      <w:r>
        <w:rPr>
          <w:rFonts w:ascii="Times New Roman" w:cs="Times New Roman" w:eastAsia="Times New Roman" w:hAnsi="Times New Roman"/>
          <w:sz w:val="18"/>
          <w:szCs w:val="18"/>
          <w:color w:val="auto"/>
        </w:rPr>
        <w:t>, its successors and assigns.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Order</w:t>
      </w:r>
      <w:r>
        <w:rPr>
          <w:rFonts w:ascii="Times New Roman" w:cs="Times New Roman" w:eastAsia="Times New Roman" w:hAnsi="Times New Roman"/>
          <w:sz w:val="18"/>
          <w:szCs w:val="18"/>
          <w:color w:val="auto"/>
        </w:rPr>
        <w:t>” means a written request or order signed on behalf of the Company by one (1) of its Officers and delivered to the Trustee.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color w:val="auto"/>
        </w:rPr>
        <w:t xml:space="preserve">” means, with respect to any Note, the conversion of such note pursuant to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xml:space="preserve"> into Conversion Consideration. The terms “Convert,” “Converted,” “Convertible,” “Converting” and similar capitalized terms have meanings correlative to the foregoing.</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Date</w:t>
      </w:r>
      <w:r>
        <w:rPr>
          <w:rFonts w:ascii="Times New Roman" w:cs="Times New Roman" w:eastAsia="Times New Roman" w:hAnsi="Times New Roman"/>
          <w:sz w:val="18"/>
          <w:szCs w:val="18"/>
          <w:color w:val="auto"/>
        </w:rPr>
        <w:t xml:space="preserve">” means, with respect to a Note, the first Business Day on which the requirements set forth in </w:t>
      </w:r>
      <w:r>
        <w:rPr>
          <w:rFonts w:ascii="Times New Roman" w:cs="Times New Roman" w:eastAsia="Times New Roman" w:hAnsi="Times New Roman"/>
          <w:sz w:val="18"/>
          <w:szCs w:val="18"/>
          <w:b w:val="1"/>
          <w:bCs w:val="1"/>
          <w:color w:val="auto"/>
        </w:rPr>
        <w:t>Section 5.02(A)</w:t>
      </w:r>
      <w:r>
        <w:rPr>
          <w:rFonts w:ascii="Times New Roman" w:cs="Times New Roman" w:eastAsia="Times New Roman" w:hAnsi="Times New Roman"/>
          <w:sz w:val="18"/>
          <w:szCs w:val="18"/>
          <w:color w:val="auto"/>
        </w:rPr>
        <w:t xml:space="preserve"> to Convert such Note are satisfied, subject to </w:t>
      </w:r>
      <w:r>
        <w:rPr>
          <w:rFonts w:ascii="Times New Roman" w:cs="Times New Roman" w:eastAsia="Times New Roman" w:hAnsi="Times New Roman"/>
          <w:sz w:val="18"/>
          <w:szCs w:val="18"/>
          <w:b w:val="1"/>
          <w:bCs w:val="1"/>
          <w:color w:val="auto"/>
        </w:rPr>
        <w:t>Section 5.03(C)</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Price</w:t>
      </w:r>
      <w:r>
        <w:rPr>
          <w:rFonts w:ascii="Times New Roman" w:cs="Times New Roman" w:eastAsia="Times New Roman" w:hAnsi="Times New Roman"/>
          <w:sz w:val="18"/>
          <w:szCs w:val="18"/>
          <w:color w:val="auto"/>
        </w:rPr>
        <w:t xml:space="preserve">” means, as of any time, an amount equal to (A) one thousand dollars ($1,000)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(B) the Conversion Rate in effect at such time.</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Rate</w:t>
      </w:r>
      <w:r>
        <w:rPr>
          <w:rFonts w:ascii="Times New Roman" w:cs="Times New Roman" w:eastAsia="Times New Roman" w:hAnsi="Times New Roman"/>
          <w:sz w:val="18"/>
          <w:szCs w:val="18"/>
          <w:color w:val="auto"/>
        </w:rPr>
        <w:t xml:space="preserve">” initially means 13.6848 Ordinary Shares per $1,000 principal amount of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Conversion Rate is subject to adjustment pursuant to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whenever this Indenture refers to the Conversion Rate as of a particular date without setting forth a particular time on such date, such reference will be deemed to be to the Conversion Rate immediately after the Close of Business on such date.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Share</w:t>
      </w:r>
      <w:r>
        <w:rPr>
          <w:rFonts w:ascii="Times New Roman" w:cs="Times New Roman" w:eastAsia="Times New Roman" w:hAnsi="Times New Roman"/>
          <w:sz w:val="18"/>
          <w:szCs w:val="18"/>
          <w:color w:val="auto"/>
        </w:rPr>
        <w:t>” means any Ordinary Share issued or issuable upon Conversion of any Note.</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Cash Amount</w:t>
      </w:r>
      <w:r>
        <w:rPr>
          <w:rFonts w:ascii="Times New Roman" w:cs="Times New Roman" w:eastAsia="Times New Roman" w:hAnsi="Times New Roman"/>
          <w:sz w:val="18"/>
          <w:szCs w:val="18"/>
          <w:color w:val="auto"/>
        </w:rPr>
        <w:t>” means, with respect to any VWAP Trading Day, the lesser of (A) the applicable Daily Maximum Cash Amount; and (B) the Daily Conversion Value for such VWAP Trading Day.</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Conversion Value</w:t>
      </w:r>
      <w:r>
        <w:rPr>
          <w:rFonts w:ascii="Times New Roman" w:cs="Times New Roman" w:eastAsia="Times New Roman" w:hAnsi="Times New Roman"/>
          <w:sz w:val="18"/>
          <w:szCs w:val="18"/>
          <w:color w:val="auto"/>
        </w:rPr>
        <w:t>” means, with respect to any VWAP Trading Day, one-thirtieth (1/30th) of the product of (A) the Conversion Rate on such VWAP Trading Day; and (B) the Daily VWAP per Ordinary Share on such VWAP Trading Day.</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Maximum Cash Amount</w:t>
      </w:r>
      <w:r>
        <w:rPr>
          <w:rFonts w:ascii="Times New Roman" w:cs="Times New Roman" w:eastAsia="Times New Roman" w:hAnsi="Times New Roman"/>
          <w:sz w:val="18"/>
          <w:szCs w:val="18"/>
          <w:color w:val="auto"/>
        </w:rPr>
        <w:t>” means, with respect to the Conversion of any Note, the quotient obtained by dividing (A) the Specified Dollar Amount applicable to such Conversion by (B) thirty (30).</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Share Amount</w:t>
      </w:r>
      <w:r>
        <w:rPr>
          <w:rFonts w:ascii="Times New Roman" w:cs="Times New Roman" w:eastAsia="Times New Roman" w:hAnsi="Times New Roman"/>
          <w:sz w:val="18"/>
          <w:szCs w:val="18"/>
          <w:color w:val="auto"/>
        </w:rPr>
        <w:t>” means, with respect to any VWAP Trading Day, the quotient obtained by dividing (A) the excess, if any, of the Daily Conversion Value for such VWAP Trading Day over the applicable Daily Maximum Cash Amount by (B) the Daily VWAP for such VWAP Trading Day. For the avoidance of doubt, the Daily Share Amount will be zero for such VWAP Trading Day if such Daily Conversion Value does not exceed such Daily Maximum Cash Amount.</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VWAP</w:t>
      </w:r>
      <w:r>
        <w:rPr>
          <w:rFonts w:ascii="Times New Roman" w:cs="Times New Roman" w:eastAsia="Times New Roman" w:hAnsi="Times New Roman"/>
          <w:sz w:val="18"/>
          <w:szCs w:val="18"/>
          <w:color w:val="auto"/>
        </w:rPr>
        <w:t>” means, for any VWAP Trading Day, the per share volume-weighted average price of the Ordinary Shares as displayed under the heading “Bloomberg VWAP” on Bloomberg page “IREN &lt;EQUITY&gt; AQR” (or, if such page is not available, its equivalent successor page) in respect of the period from the scheduled open of trading until the scheduled close of trading of the primary trading session on such VWAP Trading Day (or, if such volume-weighted average price is unavailable, the market value of one Ordinary Share on such VWAP Trading Day, determined, using a volume-weighted average price method, by a nationally recognized independent investment banking firm selected by the Company, which may be any of the Initial Purchasers). The Daily VWAP will be determined without regard to after-hours trading or any other trading outside of the regular trading session.</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De-Legending Deadline Date</w:t>
      </w:r>
      <w:r>
        <w:rPr>
          <w:rFonts w:ascii="Times New Roman" w:cs="Times New Roman" w:eastAsia="Times New Roman" w:hAnsi="Times New Roman"/>
          <w:sz w:val="18"/>
          <w:szCs w:val="18"/>
          <w:color w:val="auto"/>
        </w:rPr>
        <w:t xml:space="preserve">” means, with respect to any Note, the fifteenth (15th) day after the Free Trade Date of such Note;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De-Legending Deadline Date determined as aforesaid would be after a Regular Record Date and before the fifth (5th) Business Day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immediately after the next Interest Payment Date, then the De-Legending Deadline Date for such Note will instead be the fifth (5th) Business Day immediately after such Interest Payment Date.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means any event that is (or, after notice, passage of time or both, would be) an Event of Default.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 Settlement Method</w:t>
      </w:r>
      <w:r>
        <w:rPr>
          <w:rFonts w:ascii="Times New Roman" w:cs="Times New Roman" w:eastAsia="Times New Roman" w:hAnsi="Times New Roman"/>
          <w:sz w:val="18"/>
          <w:szCs w:val="18"/>
          <w:color w:val="auto"/>
        </w:rPr>
        <w:t xml:space="preserve">” means Combination Settlement with a Specified Dollar Amount of $1,000 per $1,000 principal amount of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(x)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5.03(A)(iii)</w:t>
      </w:r>
      <w:r>
        <w:rPr>
          <w:rFonts w:ascii="Times New Roman" w:cs="Times New Roman" w:eastAsia="Times New Roman" w:hAnsi="Times New Roman"/>
          <w:sz w:val="18"/>
          <w:szCs w:val="18"/>
          <w:color w:val="auto"/>
        </w:rPr>
        <w:t>, the Company may, from time to time, change the Default Settlement Method by sending notice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the new Default Settlement Method to the Holders, the Trustee and the Conversion Agent; and (y) the Default Settlement Method will be subject to </w:t>
      </w:r>
      <w:r>
        <w:rPr>
          <w:rFonts w:ascii="Times New Roman" w:cs="Times New Roman" w:eastAsia="Times New Roman" w:hAnsi="Times New Roman"/>
          <w:sz w:val="18"/>
          <w:szCs w:val="18"/>
          <w:b w:val="1"/>
          <w:bCs w:val="1"/>
          <w:color w:val="auto"/>
        </w:rPr>
        <w:t>Section 5.03(A)(ii)</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means The Depository Trust Company or its successor.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 Participant</w:t>
      </w:r>
      <w:r>
        <w:rPr>
          <w:rFonts w:ascii="Times New Roman" w:cs="Times New Roman" w:eastAsia="Times New Roman" w:hAnsi="Times New Roman"/>
          <w:sz w:val="18"/>
          <w:szCs w:val="18"/>
          <w:color w:val="auto"/>
        </w:rPr>
        <w:t>” means any member of, or participant in, the Depositary.</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 Procedures</w:t>
      </w:r>
      <w:r>
        <w:rPr>
          <w:rFonts w:ascii="Times New Roman" w:cs="Times New Roman" w:eastAsia="Times New Roman" w:hAnsi="Times New Roman"/>
          <w:sz w:val="18"/>
          <w:szCs w:val="18"/>
          <w:color w:val="auto"/>
        </w:rPr>
        <w:t>” means, with respect to any Conversion, transfer, exchange or other transaction involving a Global Note or any beneficial interest therein, the rules and procedures of the Depositary applicable to such Conversion, transfer, exchange or transaction.</w:t>
      </w: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in relation to a share split or share combination of Ordinary Shares, means the first date on which the Ordinary Shares trade on the relevant stock exchange, regular way, reflecting the relevant share split or share combination, as applicable.</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Ex-Dividend Date</w:t>
      </w:r>
      <w:r>
        <w:rPr>
          <w:rFonts w:ascii="Times New Roman" w:cs="Times New Roman" w:eastAsia="Times New Roman" w:hAnsi="Times New Roman"/>
          <w:sz w:val="18"/>
          <w:szCs w:val="18"/>
          <w:color w:val="auto"/>
        </w:rPr>
        <w:t>” means, with respect to an issuance, dividend or distribution on the Ordinary Shares, the first date on which Ordinary Shares trade on the applicable exchange or in the applicable market, regular way, without the right to receive such issuance, dividend or distribution (including pursuant to due bills or similar arrangements required by the relevant stock exchange). For the avoidance of doubt, any alternative trading convention on the applicable exchange or market in respect of the Ordinary Shares under a separate ticker symbol or CUSIP number will not be considered “regular way” for this purpose.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U.S. Securities Exchange Act of 1934, as amended.</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Exempted Fundamental Change</w:t>
      </w:r>
      <w:r>
        <w:rPr>
          <w:rFonts w:ascii="Times New Roman" w:cs="Times New Roman" w:eastAsia="Times New Roman" w:hAnsi="Times New Roman"/>
          <w:sz w:val="18"/>
          <w:szCs w:val="18"/>
          <w:color w:val="auto"/>
        </w:rPr>
        <w:t xml:space="preserve">” means any Fundamental Change with respect to which, in accordance with </w:t>
      </w:r>
      <w:r>
        <w:rPr>
          <w:rFonts w:ascii="Times New Roman" w:cs="Times New Roman" w:eastAsia="Times New Roman" w:hAnsi="Times New Roman"/>
          <w:sz w:val="18"/>
          <w:szCs w:val="18"/>
          <w:b w:val="1"/>
          <w:bCs w:val="1"/>
          <w:color w:val="auto"/>
        </w:rPr>
        <w:t>Section 4.02(I)</w:t>
      </w:r>
      <w:r>
        <w:rPr>
          <w:rFonts w:ascii="Times New Roman" w:cs="Times New Roman" w:eastAsia="Times New Roman" w:hAnsi="Times New Roman"/>
          <w:sz w:val="18"/>
          <w:szCs w:val="18"/>
          <w:color w:val="auto"/>
        </w:rPr>
        <w:t>, the Company does not offer to repurchase any Notes.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Free Trade Date</w:t>
      </w:r>
      <w:r>
        <w:rPr>
          <w:rFonts w:ascii="Times New Roman" w:cs="Times New Roman" w:eastAsia="Times New Roman" w:hAnsi="Times New Roman"/>
          <w:sz w:val="18"/>
          <w:szCs w:val="18"/>
          <w:color w:val="auto"/>
        </w:rPr>
        <w:t>” means, with respect to any Note, the date that is one (1) year after the Last Original Issue Date of such Note.</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Freely Tradable</w:t>
      </w:r>
      <w:r>
        <w:rPr>
          <w:rFonts w:ascii="Times New Roman" w:cs="Times New Roman" w:eastAsia="Times New Roman" w:hAnsi="Times New Roman"/>
          <w:sz w:val="18"/>
          <w:szCs w:val="18"/>
          <w:color w:val="auto"/>
        </w:rPr>
        <w:t xml:space="preserve">” means, with respect to any Note, that such Note would be eligible to be offered, sold or otherwise transferred pursuant to Rule 144 or otherwise if held by a Person that is not an Affiliate of the Company, and that has not been an Affiliate of the Company during the immediately preceding three (3) months, without any requirements as to volume, manner of sale, availability of current public information or notice under the Securities Act (except that, during the six (6) month period beginning on, and including, the date that is six (6) months after the Last Original Issue Date of such Note, any such requirement as to the availability of current public information will be disregarded if the same is satisfied at that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from and after the Free Trade Date of such Note, such Note will not be “Freely Tradable” unless such Note (x) is not identified by a “restricted” CUSIP or ISIN number; and (y) is not represented by any certificate that bears the Restricted Note Legend. For the avoidance of doubt, whether a Note is deemed to be identified by a “restricted” CUSIP or ISIN number or to bear the Restricted Note Legend is subject to </w:t>
      </w:r>
      <w:r>
        <w:rPr>
          <w:rFonts w:ascii="Times New Roman" w:cs="Times New Roman" w:eastAsia="Times New Roman" w:hAnsi="Times New Roman"/>
          <w:sz w:val="18"/>
          <w:szCs w:val="18"/>
          <w:b w:val="1"/>
          <w:bCs w:val="1"/>
          <w:color w:val="auto"/>
        </w:rPr>
        <w:t>Section 2.12</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w:t>
      </w:r>
      <w:r>
        <w:rPr>
          <w:rFonts w:ascii="Times New Roman" w:cs="Times New Roman" w:eastAsia="Times New Roman" w:hAnsi="Times New Roman"/>
          <w:sz w:val="18"/>
          <w:szCs w:val="18"/>
          <w:color w:val="auto"/>
        </w:rPr>
        <w:t>” means any of the following events:</w:t>
      </w:r>
    </w:p>
    <w:p>
      <w:pPr>
        <w:spacing w:after="0" w:line="229" w:lineRule="exact"/>
        <w:rPr>
          <w:sz w:val="20"/>
          <w:szCs w:val="20"/>
          <w:color w:val="auto"/>
        </w:rPr>
      </w:pPr>
    </w:p>
    <w:p>
      <w:pPr>
        <w:jc w:val="both"/>
        <w:ind w:firstLine="656"/>
        <w:spacing w:after="0" w:line="266" w:lineRule="auto"/>
        <w:tabs>
          <w:tab w:leader="none" w:pos="139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or “group” (within the meaning of Section 13(d)(3) of the Exchange Act), other than the Company or its Wholly Owned Subsidiaries, or their respective employee benefit plans, files any report with the SEC indicating that such person or group has become the direct or indirect “beneficial owner” (as defined below) of more than fifty percent (50%) of all of the Ordinary Shares;</w:t>
      </w:r>
    </w:p>
    <w:p>
      <w:pPr>
        <w:spacing w:after="0" w:line="346" w:lineRule="exact"/>
        <w:rPr>
          <w:rFonts w:ascii="Times New Roman" w:cs="Times New Roman" w:eastAsia="Times New Roman" w:hAnsi="Times New Roman"/>
          <w:sz w:val="18"/>
          <w:szCs w:val="18"/>
          <w:color w:val="auto"/>
        </w:rPr>
      </w:pPr>
    </w:p>
    <w:p>
      <w:pPr>
        <w:ind w:left="5580" w:hanging="76"/>
        <w:spacing w:after="0"/>
        <w:tabs>
          <w:tab w:leader="none" w:pos="5580" w:val="left"/>
        </w:tabs>
        <w:numPr>
          <w:ilvl w:val="1"/>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both"/>
        <w:ind w:firstLine="656"/>
        <w:spacing w:after="0" w:line="253" w:lineRule="auto"/>
        <w:tabs>
          <w:tab w:leader="none" w:pos="135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consummation of (i) any sale, lease or other transfer, in one transaction or a series of transactions, of all or substantially all of the assets of the Company and its Subsidiaries, taken as a whole, to any Person, other than solely to one or more of the Company’s Wholly Owned Subsidiaries; or (ii) any transaction or series of related transactions in connection with which (whether by means of merger, consolidation, share exchange, combination, reclassification, recapitalization, acquisition, liquidation or otherwise) all of the Ordinary Shares are exchanged for, converted into, acquired for, or constitute solely the right to receive, other securities, cash or other property;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any merger, consolidation, share exchange or combination of the Company pursuant to which the Persons that directly or indirectly “beneficially owned” (as defined below) all classes of the Company’s Common Equity immediately before such transaction directly or indirectly “beneficially own,” immediately after such transaction, more than fifty percent (50%) of all classes of Common Equity of the surviving, continuing or acquiring company or other transferee, as applicable, or the parent thereof, in substantially the same proportions vis-à-vis each other as immediately before such transaction will be deemed not to be a Fundamental Change pursuant to this </w:t>
      </w:r>
      <w:r>
        <w:rPr>
          <w:rFonts w:ascii="Times New Roman" w:cs="Times New Roman" w:eastAsia="Times New Roman" w:hAnsi="Times New Roman"/>
          <w:sz w:val="18"/>
          <w:szCs w:val="18"/>
          <w:b w:val="1"/>
          <w:bCs w:val="1"/>
          <w:color w:val="auto"/>
        </w:rPr>
        <w:t>clause (B)</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shareholders approve any plan or proposal for the liquidation or dissolution of the Company; or</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31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cease to be listed on any of the New York Stock Exchange, the Nasdaq Global Market or the Nasdaq Global Select Market (or any of their respective successors);</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a transaction or event described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clause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above will not constitute a Fundamental Change if at least ninety percent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(90%) of the consideration received or to be received by the holders of Ordinary Shares (excluding cash payments for fractional shares or pursuant to dissenters rights), in connection with such transaction or event, consists of shares of common stock or other corporate Common Equity interests listed (or depositary receipts representing shares of common stock or other corporate Common Equity interests, which depositary receipts are listed) on any of the New York Stock Exchange, the Nasdaq Global Market or the Nasdaq Global Select Market (or any of their respective successors), or that will be so listed when issued or exchanged in connection with such transaction or event, and such transaction or event constitutes an Ordinary Share Change Event whose Reference Property consists of such consideration.</w:t>
      </w:r>
    </w:p>
    <w:p>
      <w:pPr>
        <w:spacing w:after="0" w:line="18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For the purposes of this definition, (x) any transaction or event described in both </w:t>
      </w:r>
      <w:r>
        <w:rPr>
          <w:rFonts w:ascii="Times New Roman" w:cs="Times New Roman" w:eastAsia="Times New Roman" w:hAnsi="Times New Roman"/>
          <w:sz w:val="18"/>
          <w:szCs w:val="18"/>
          <w:b w:val="1"/>
          <w:bCs w:val="1"/>
          <w:color w:val="auto"/>
        </w:rPr>
        <w:t>clause (A)</w:t>
      </w:r>
      <w:r>
        <w:rPr>
          <w:rFonts w:ascii="Times New Roman" w:cs="Times New Roman" w:eastAsia="Times New Roman" w:hAnsi="Times New Roman"/>
          <w:sz w:val="18"/>
          <w:szCs w:val="18"/>
          <w:color w:val="auto"/>
        </w:rPr>
        <w:t xml:space="preserve"> and in </w:t>
      </w:r>
      <w:r>
        <w:rPr>
          <w:rFonts w:ascii="Times New Roman" w:cs="Times New Roman" w:eastAsia="Times New Roman" w:hAnsi="Times New Roman"/>
          <w:sz w:val="18"/>
          <w:szCs w:val="18"/>
          <w:b w:val="1"/>
          <w:bCs w:val="1"/>
          <w:color w:val="auto"/>
        </w:rPr>
        <w:t>clause (B)(i)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 xml:space="preserve"> above (without regard to the proviso in </w:t>
      </w:r>
      <w:r>
        <w:rPr>
          <w:rFonts w:ascii="Times New Roman" w:cs="Times New Roman" w:eastAsia="Times New Roman" w:hAnsi="Times New Roman"/>
          <w:sz w:val="18"/>
          <w:szCs w:val="18"/>
          <w:b w:val="1"/>
          <w:bCs w:val="1"/>
          <w:color w:val="auto"/>
        </w:rPr>
        <w:t>clause (B)</w:t>
      </w:r>
      <w:r>
        <w:rPr>
          <w:rFonts w:ascii="Times New Roman" w:cs="Times New Roman" w:eastAsia="Times New Roman" w:hAnsi="Times New Roman"/>
          <w:sz w:val="18"/>
          <w:szCs w:val="18"/>
          <w:color w:val="auto"/>
        </w:rPr>
        <w:t xml:space="preserve">) will be deemed to occur solely pursuant to </w:t>
      </w:r>
      <w:r>
        <w:rPr>
          <w:rFonts w:ascii="Times New Roman" w:cs="Times New Roman" w:eastAsia="Times New Roman" w:hAnsi="Times New Roman"/>
          <w:sz w:val="18"/>
          <w:szCs w:val="18"/>
          <w:b w:val="1"/>
          <w:bCs w:val="1"/>
          <w:color w:val="auto"/>
        </w:rPr>
        <w:t>clause (B)</w:t>
      </w:r>
      <w:r>
        <w:rPr>
          <w:rFonts w:ascii="Times New Roman" w:cs="Times New Roman" w:eastAsia="Times New Roman" w:hAnsi="Times New Roman"/>
          <w:sz w:val="18"/>
          <w:szCs w:val="18"/>
          <w:color w:val="auto"/>
        </w:rPr>
        <w:t xml:space="preserve"> above (subject to such proviso); and (y) whether a Person is a “</w:t>
      </w:r>
      <w:r>
        <w:rPr>
          <w:rFonts w:ascii="Times New Roman" w:cs="Times New Roman" w:eastAsia="Times New Roman" w:hAnsi="Times New Roman"/>
          <w:sz w:val="18"/>
          <w:szCs w:val="18"/>
          <w:b w:val="1"/>
          <w:bCs w:val="1"/>
          <w:color w:val="auto"/>
        </w:rPr>
        <w:t>beneficial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owner</w:t>
      </w:r>
      <w:r>
        <w:rPr>
          <w:rFonts w:ascii="Times New Roman" w:cs="Times New Roman" w:eastAsia="Times New Roman" w:hAnsi="Times New Roman"/>
          <w:sz w:val="18"/>
          <w:szCs w:val="18"/>
          <w:color w:val="auto"/>
        </w:rPr>
        <w:t>,” whether shares are “</w:t>
      </w:r>
      <w:r>
        <w:rPr>
          <w:rFonts w:ascii="Times New Roman" w:cs="Times New Roman" w:eastAsia="Times New Roman" w:hAnsi="Times New Roman"/>
          <w:sz w:val="18"/>
          <w:szCs w:val="18"/>
          <w:b w:val="1"/>
          <w:bCs w:val="1"/>
          <w:color w:val="auto"/>
        </w:rPr>
        <w:t>beneficially owned</w:t>
      </w:r>
      <w:r>
        <w:rPr>
          <w:rFonts w:ascii="Times New Roman" w:cs="Times New Roman" w:eastAsia="Times New Roman" w:hAnsi="Times New Roman"/>
          <w:sz w:val="18"/>
          <w:szCs w:val="18"/>
          <w:color w:val="auto"/>
        </w:rPr>
        <w:t>,” and percentage beneficial ownership, will be determined in accordance with Rule 13d-3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Act.</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Repurchase Date</w:t>
      </w:r>
      <w:r>
        <w:rPr>
          <w:rFonts w:ascii="Times New Roman" w:cs="Times New Roman" w:eastAsia="Times New Roman" w:hAnsi="Times New Roman"/>
          <w:sz w:val="18"/>
          <w:szCs w:val="18"/>
          <w:color w:val="auto"/>
        </w:rPr>
        <w:t>” means the date fixed for the repurchase of any Notes by the Company pursuant to a Repurchase Upon Fundamental Change.</w:t>
      </w:r>
    </w:p>
    <w:p>
      <w:pPr>
        <w:spacing w:after="0" w:line="15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Repurchase Notice</w:t>
      </w:r>
      <w:r>
        <w:rPr>
          <w:rFonts w:ascii="Times New Roman" w:cs="Times New Roman" w:eastAsia="Times New Roman" w:hAnsi="Times New Roman"/>
          <w:sz w:val="18"/>
          <w:szCs w:val="18"/>
          <w:color w:val="auto"/>
        </w:rPr>
        <w:t xml:space="preserve">” means a notice (including a notice substantially in the form of the “Fundamental Change Repurchase Notice” set forth in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containing the information, or otherwise complying with the requirements, set forth in </w:t>
      </w:r>
      <w:r>
        <w:rPr>
          <w:rFonts w:ascii="Times New Roman" w:cs="Times New Roman" w:eastAsia="Times New Roman" w:hAnsi="Times New Roman"/>
          <w:sz w:val="18"/>
          <w:szCs w:val="18"/>
          <w:b w:val="1"/>
          <w:bCs w:val="1"/>
          <w:color w:val="auto"/>
        </w:rPr>
        <w:t>Section 4.02(F)(i)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Section 4.02(F)(ii)</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Repurchase Price</w:t>
      </w:r>
      <w:r>
        <w:rPr>
          <w:rFonts w:ascii="Times New Roman" w:cs="Times New Roman" w:eastAsia="Times New Roman" w:hAnsi="Times New Roman"/>
          <w:sz w:val="18"/>
          <w:szCs w:val="18"/>
          <w:color w:val="auto"/>
        </w:rPr>
        <w:t xml:space="preserve">” means the cash price payable by the Company to repurchase any Note upon its Repurchase Upon Fundamental Change, calculated pursuant to </w:t>
      </w:r>
      <w:r>
        <w:rPr>
          <w:rFonts w:ascii="Times New Roman" w:cs="Times New Roman" w:eastAsia="Times New Roman" w:hAnsi="Times New Roman"/>
          <w:sz w:val="18"/>
          <w:szCs w:val="18"/>
          <w:b w:val="1"/>
          <w:bCs w:val="1"/>
          <w:color w:val="auto"/>
        </w:rPr>
        <w:t>Section 4.02(D)</w:t>
      </w:r>
      <w:r>
        <w:rPr>
          <w:rFonts w:ascii="Times New Roman" w:cs="Times New Roman" w:eastAsia="Times New Roman" w:hAnsi="Times New Roman"/>
          <w:sz w:val="18"/>
          <w:szCs w:val="18"/>
          <w:color w:val="auto"/>
        </w:rPr>
        <w:t>.</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both"/>
        <w:ind w:firstLine="648"/>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Global Note</w:t>
      </w:r>
      <w:r>
        <w:rPr>
          <w:rFonts w:ascii="Times New Roman" w:cs="Times New Roman" w:eastAsia="Times New Roman" w:hAnsi="Times New Roman"/>
          <w:sz w:val="17"/>
          <w:szCs w:val="17"/>
          <w:color w:val="auto"/>
        </w:rPr>
        <w:t xml:space="preserve">” means a Note that is represented by a certificate substantially in the form set forth in </w:t>
      </w:r>
      <w:r>
        <w:rPr>
          <w:rFonts w:ascii="Times New Roman" w:cs="Times New Roman" w:eastAsia="Times New Roman" w:hAnsi="Times New Roman"/>
          <w:sz w:val="17"/>
          <w:szCs w:val="17"/>
          <w:b w:val="1"/>
          <w:bCs w:val="1"/>
          <w:color w:val="auto"/>
        </w:rPr>
        <w:t>Exhibit A</w:t>
      </w:r>
      <w:r>
        <w:rPr>
          <w:rFonts w:ascii="Times New Roman" w:cs="Times New Roman" w:eastAsia="Times New Roman" w:hAnsi="Times New Roman"/>
          <w:sz w:val="17"/>
          <w:szCs w:val="17"/>
          <w:color w:val="auto"/>
        </w:rPr>
        <w:t>, registered in the name of the Depositary or its nominee, duly executed by the Company and authenticated by the Trustee, and deposited with the Trustee, as custodian for the Depositary.</w:t>
      </w:r>
    </w:p>
    <w:p>
      <w:pPr>
        <w:spacing w:after="0" w:line="1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Global Note Legend</w:t>
      </w:r>
      <w:r>
        <w:rPr>
          <w:rFonts w:ascii="Times New Roman" w:cs="Times New Roman" w:eastAsia="Times New Roman" w:hAnsi="Times New Roman"/>
          <w:sz w:val="18"/>
          <w:szCs w:val="18"/>
          <w:color w:val="auto"/>
        </w:rPr>
        <w:t xml:space="preserve">” means a legend substantially in the form set forth in </w:t>
      </w:r>
      <w:r>
        <w:rPr>
          <w:rFonts w:ascii="Times New Roman" w:cs="Times New Roman" w:eastAsia="Times New Roman" w:hAnsi="Times New Roman"/>
          <w:sz w:val="18"/>
          <w:szCs w:val="18"/>
          <w:b w:val="1"/>
          <w:bCs w:val="1"/>
          <w:color w:val="auto"/>
        </w:rPr>
        <w:t>Exhibit B-2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means a person in whose name a Note is registered on the Registrar’s books.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means this Indenture, as amended or supplemented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Purchasers</w:t>
      </w:r>
      <w:r>
        <w:rPr>
          <w:rFonts w:ascii="Times New Roman" w:cs="Times New Roman" w:eastAsia="Times New Roman" w:hAnsi="Times New Roman"/>
          <w:sz w:val="18"/>
          <w:szCs w:val="18"/>
          <w:color w:val="auto"/>
        </w:rPr>
        <w:t>” means the several initial purchasers listed in Schedule 1 to the Purchase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Payment Date</w:t>
      </w:r>
      <w:r>
        <w:rPr>
          <w:rFonts w:ascii="Times New Roman" w:cs="Times New Roman" w:eastAsia="Times New Roman" w:hAnsi="Times New Roman"/>
          <w:sz w:val="18"/>
          <w:szCs w:val="18"/>
          <w:color w:val="auto"/>
        </w:rPr>
        <w:t>” means, with respect to a Note, each June 1 and December 1 of each year, commencing on December 1, 2026 (or commencing on such other date specified in the certificate representing such Note). For the avoidance of doubt, the Maturity Date is an Interest Payment Date.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Internal Revenue Code</w:t>
      </w:r>
      <w:r>
        <w:rPr>
          <w:rFonts w:ascii="Times New Roman" w:cs="Times New Roman" w:eastAsia="Times New Roman" w:hAnsi="Times New Roman"/>
          <w:sz w:val="18"/>
          <w:szCs w:val="18"/>
          <w:color w:val="auto"/>
        </w:rPr>
        <w:t>” means the United States Internal Revenue Code of 1986,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Issue Date</w:t>
      </w:r>
      <w:r>
        <w:rPr>
          <w:rFonts w:ascii="Times New Roman" w:cs="Times New Roman" w:eastAsia="Times New Roman" w:hAnsi="Times New Roman"/>
          <w:sz w:val="18"/>
          <w:szCs w:val="18"/>
          <w:color w:val="auto"/>
        </w:rPr>
        <w:t>” means May 14, 2026.</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Last Original Issue Date</w:t>
      </w:r>
      <w:r>
        <w:rPr>
          <w:rFonts w:ascii="Times New Roman" w:cs="Times New Roman" w:eastAsia="Times New Roman" w:hAnsi="Times New Roman"/>
          <w:sz w:val="18"/>
          <w:szCs w:val="18"/>
          <w:color w:val="auto"/>
        </w:rPr>
        <w:t xml:space="preserve">” means (A) with respect to any Notes issued pursuant to the Purchase Agreement (including any Notes issued pursuant to the exercise of the Shoe Option by the Initial Purchasers), and any Notes issued in exchange therefor or in substitution thereof, the later of (i) the Issue Date and (ii) the last date any Notes are originally issued pursuant to the exercise of the Shoe Option; and (B) with respect to any Notes issued pursuant to </w:t>
      </w:r>
      <w:r>
        <w:rPr>
          <w:rFonts w:ascii="Times New Roman" w:cs="Times New Roman" w:eastAsia="Times New Roman" w:hAnsi="Times New Roman"/>
          <w:sz w:val="18"/>
          <w:szCs w:val="18"/>
          <w:b w:val="1"/>
          <w:bCs w:val="1"/>
          <w:color w:val="auto"/>
        </w:rPr>
        <w:t>Section 2.03(B)</w:t>
      </w:r>
      <w:r>
        <w:rPr>
          <w:rFonts w:ascii="Times New Roman" w:cs="Times New Roman" w:eastAsia="Times New Roman" w:hAnsi="Times New Roman"/>
          <w:sz w:val="18"/>
          <w:szCs w:val="18"/>
          <w:color w:val="auto"/>
        </w:rPr>
        <w:t>, and any Notes issued in exchange therefor or in substitution thereof, either (i) the later of (x) the date such Notes are originally issued and</w:t>
      </w:r>
    </w:p>
    <w:p>
      <w:pPr>
        <w:spacing w:after="0" w:line="3" w:lineRule="exact"/>
        <w:rPr>
          <w:sz w:val="20"/>
          <w:szCs w:val="20"/>
          <w:color w:val="auto"/>
        </w:rPr>
      </w:pPr>
    </w:p>
    <w:p>
      <w:pPr>
        <w:jc w:val="both"/>
        <w:ind w:firstLine="8"/>
        <w:spacing w:after="0" w:line="255" w:lineRule="auto"/>
        <w:tabs>
          <w:tab w:leader="none" w:pos="26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date any Notes are originally issued as part of the same offering pursuant to the exercise of an option granted to the initial purchaser(s) of such Notes to purchase additional Notes; or (ii) such other date as is specified in an Officer’s Certificate delivered to the Trustee before the original issuance of such Notes.</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Last Reported Sale Price</w:t>
      </w:r>
      <w:r>
        <w:rPr>
          <w:rFonts w:ascii="Times New Roman" w:cs="Times New Roman" w:eastAsia="Times New Roman" w:hAnsi="Times New Roman"/>
          <w:sz w:val="18"/>
          <w:szCs w:val="18"/>
          <w:color w:val="auto"/>
        </w:rPr>
        <w:t>” of the Ordinary Shares for any Trading Day means the closing sale price per Ordinary Share (or, if no closing sale price is reported, the average of the last bid price and the last ask price per Ordinary Share or, if more than one in either case, the average of the average last bid prices and the average last ask prices per Ordinary Share) on such Trading Day as reported in composite transactions for the principal U.S. national or regional securities exchange on which the Ordinary Shares are then listed. If the Ordinary Shares are not listed on a U.S. national or regional securities exchange on such Trading Day, then the Last Reported Sale Price will be the last quoted bid price per Ordinary Share on such Trading Day in the over-the-counter market as reported by OTC Markets Group Inc. or a similar organization. If the Ordinary Shares are not so quoted on such Trading Day, then the Last Reported Sale Price will be the average of the mid-point of the last bid price and the last ask price per Ordinary Share on such Trading Day from a nationally recognized independent investment banking firm selected by the Company, which may be any of the Initial Purchasers. Neither the Trustee nor the Conversion Agent will have any duty to determine the Last Reported Sale Price.</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Make-Whole Fundamental Change</w:t>
      </w:r>
      <w:r>
        <w:rPr>
          <w:rFonts w:ascii="Times New Roman" w:cs="Times New Roman" w:eastAsia="Times New Roman" w:hAnsi="Times New Roman"/>
          <w:sz w:val="18"/>
          <w:szCs w:val="18"/>
          <w:color w:val="auto"/>
        </w:rPr>
        <w:t xml:space="preserve">” means (A) a Fundamental Change (determined after giving effect to the proviso immediately after </w:t>
      </w:r>
      <w:r>
        <w:rPr>
          <w:rFonts w:ascii="Times New Roman" w:cs="Times New Roman" w:eastAsia="Times New Roman" w:hAnsi="Times New Roman"/>
          <w:sz w:val="18"/>
          <w:szCs w:val="18"/>
          <w:b w:val="1"/>
          <w:bCs w:val="1"/>
          <w:color w:val="auto"/>
        </w:rPr>
        <w:t>clause</w:t>
      </w:r>
    </w:p>
    <w:p>
      <w:pPr>
        <w:spacing w:after="0" w:line="31" w:lineRule="exact"/>
        <w:rPr>
          <w:sz w:val="20"/>
          <w:szCs w:val="20"/>
          <w:color w:val="auto"/>
        </w:rPr>
      </w:pPr>
    </w:p>
    <w:p>
      <w:pPr>
        <w:jc w:val="both"/>
        <w:ind w:firstLine="8"/>
        <w:spacing w:after="0" w:line="253" w:lineRule="auto"/>
        <w:tabs>
          <w:tab w:leader="none" w:pos="3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of the definition thereof, but without regard to the proviso to </w:t>
      </w:r>
      <w:r>
        <w:rPr>
          <w:rFonts w:ascii="Times New Roman" w:cs="Times New Roman" w:eastAsia="Times New Roman" w:hAnsi="Times New Roman"/>
          <w:sz w:val="18"/>
          <w:szCs w:val="18"/>
          <w:b w:val="1"/>
          <w:bCs w:val="1"/>
          <w:color w:val="auto"/>
        </w:rPr>
        <w:t>clause (B)(ii)</w:t>
      </w:r>
      <w:r>
        <w:rPr>
          <w:rFonts w:ascii="Times New Roman" w:cs="Times New Roman" w:eastAsia="Times New Roman" w:hAnsi="Times New Roman"/>
          <w:sz w:val="18"/>
          <w:szCs w:val="18"/>
          <w:color w:val="auto"/>
        </w:rPr>
        <w:t xml:space="preserve"> of such definition); or (B) the sending of a Redemption Notice pursuant to </w:t>
      </w:r>
      <w:r>
        <w:rPr>
          <w:rFonts w:ascii="Times New Roman" w:cs="Times New Roman" w:eastAsia="Times New Roman" w:hAnsi="Times New Roman"/>
          <w:sz w:val="18"/>
          <w:szCs w:val="18"/>
          <w:b w:val="1"/>
          <w:bCs w:val="1"/>
          <w:color w:val="auto"/>
        </w:rPr>
        <w:t>Section 4.03(G)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subject to</w:t>
      </w:r>
      <w:r>
        <w:rPr>
          <w:rFonts w:ascii="Times New Roman" w:cs="Times New Roman" w:eastAsia="Times New Roman" w:hAnsi="Times New Roman"/>
          <w:sz w:val="18"/>
          <w:szCs w:val="18"/>
          <w:b w:val="1"/>
          <w:bCs w:val="1"/>
          <w:color w:val="auto"/>
        </w:rPr>
        <w:t xml:space="preserve"> Section 4.03(K)</w:t>
      </w:r>
      <w:r>
        <w:rPr>
          <w:rFonts w:ascii="Times New Roman" w:cs="Times New Roman" w:eastAsia="Times New Roman" w:hAnsi="Times New Roman"/>
          <w:sz w:val="18"/>
          <w:szCs w:val="18"/>
          <w:color w:val="auto"/>
        </w:rPr>
        <w:t>, the sending of a Redemption Notice for a Provisional Redemption will constitute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Make-Whole Fundamental Change only with respect to the Notes called for a Provisional Redemption pursuant to such Redemption Notice and not with respect to any other Notes.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Make-Whole Fundamental Change Conversion Period</w:t>
      </w:r>
      <w:r>
        <w:rPr>
          <w:rFonts w:ascii="Times New Roman" w:cs="Times New Roman" w:eastAsia="Times New Roman" w:hAnsi="Times New Roman"/>
          <w:sz w:val="18"/>
          <w:szCs w:val="18"/>
          <w:color w:val="auto"/>
        </w:rPr>
        <w:t>” has the following meaning:</w:t>
      </w:r>
    </w:p>
    <w:p>
      <w:pPr>
        <w:spacing w:after="0" w:line="225" w:lineRule="exact"/>
        <w:rPr>
          <w:sz w:val="20"/>
          <w:szCs w:val="20"/>
          <w:color w:val="auto"/>
        </w:rPr>
      </w:pPr>
    </w:p>
    <w:p>
      <w:pPr>
        <w:jc w:val="both"/>
        <w:ind w:firstLine="656"/>
        <w:spacing w:after="0" w:line="262" w:lineRule="auto"/>
        <w:tabs>
          <w:tab w:leader="none" w:pos="133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Make-Whole Fundamental Change pursuant to </w:t>
      </w:r>
      <w:r>
        <w:rPr>
          <w:rFonts w:ascii="Times New Roman" w:cs="Times New Roman" w:eastAsia="Times New Roman" w:hAnsi="Times New Roman"/>
          <w:sz w:val="18"/>
          <w:szCs w:val="18"/>
          <w:b w:val="1"/>
          <w:bCs w:val="1"/>
          <w:color w:val="auto"/>
        </w:rPr>
        <w:t>clause (A)</w:t>
      </w:r>
      <w:r>
        <w:rPr>
          <w:rFonts w:ascii="Times New Roman" w:cs="Times New Roman" w:eastAsia="Times New Roman" w:hAnsi="Times New Roman"/>
          <w:sz w:val="18"/>
          <w:szCs w:val="18"/>
          <w:color w:val="auto"/>
        </w:rPr>
        <w:t xml:space="preserve"> of the definition thereof, the period from, and including, the Make-Whole Fundamental Change Effective Date of such Make-Whole Fundamental Change to, and including, the thirty fifth (35th) Trading Day after such Make-Whole Fundamental Change Effective Date (or, if such Make-Whole Fundamental Change also constitutes a Fundamental Change (other than an Exempted Fundamental Change), to, but excluding, the related Fundamental Change Repurchase Date); and</w:t>
      </w:r>
    </w:p>
    <w:p>
      <w:pPr>
        <w:spacing w:after="0" w:line="176" w:lineRule="exact"/>
        <w:rPr>
          <w:rFonts w:ascii="Times New Roman" w:cs="Times New Roman" w:eastAsia="Times New Roman" w:hAnsi="Times New Roman"/>
          <w:sz w:val="18"/>
          <w:szCs w:val="18"/>
          <w:color w:val="auto"/>
        </w:rPr>
      </w:pPr>
    </w:p>
    <w:p>
      <w:pPr>
        <w:ind w:firstLine="656"/>
        <w:spacing w:after="0" w:line="286" w:lineRule="auto"/>
        <w:tabs>
          <w:tab w:leader="none" w:pos="132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Make-Whole Fundamental Change pursuant to </w:t>
      </w:r>
      <w:r>
        <w:rPr>
          <w:rFonts w:ascii="Times New Roman" w:cs="Times New Roman" w:eastAsia="Times New Roman" w:hAnsi="Times New Roman"/>
          <w:sz w:val="18"/>
          <w:szCs w:val="18"/>
          <w:b w:val="1"/>
          <w:bCs w:val="1"/>
          <w:color w:val="auto"/>
        </w:rPr>
        <w:t>clause (B)</w:t>
      </w:r>
      <w:r>
        <w:rPr>
          <w:rFonts w:ascii="Times New Roman" w:cs="Times New Roman" w:eastAsia="Times New Roman" w:hAnsi="Times New Roman"/>
          <w:sz w:val="18"/>
          <w:szCs w:val="18"/>
          <w:color w:val="auto"/>
        </w:rPr>
        <w:t xml:space="preserve"> of the definition thereof, the period from, and including, the Redemption Notice Date for the related Redemption to, and including, the second (2nd) Business Day immediately before the related Redemption Date;</w:t>
      </w:r>
    </w:p>
    <w:p>
      <w:pPr>
        <w:spacing w:after="0" w:line="1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if the Conversion Date for the Conversion of a Note that has been called for Redemption occurs during the Make-Whole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Fundamental Change Conversion Period for both a Make-Whole Fundamental Change occurring pursuant to </w:t>
      </w:r>
      <w:r>
        <w:rPr>
          <w:rFonts w:ascii="Times New Roman" w:cs="Times New Roman" w:eastAsia="Times New Roman" w:hAnsi="Times New Roman"/>
          <w:sz w:val="18"/>
          <w:szCs w:val="18"/>
          <w:b w:val="1"/>
          <w:bCs w:val="1"/>
          <w:color w:val="auto"/>
        </w:rPr>
        <w:t>clause (A)</w:t>
      </w:r>
      <w:r>
        <w:rPr>
          <w:rFonts w:ascii="Times New Roman" w:cs="Times New Roman" w:eastAsia="Times New Roman" w:hAnsi="Times New Roman"/>
          <w:sz w:val="18"/>
          <w:szCs w:val="18"/>
          <w:color w:val="auto"/>
        </w:rPr>
        <w:t xml:space="preserve"> of the definition of “Make-Whole Fundamental Change” and a Make-Whole Fundamental Change resulting from such Redemption pursuant to </w:t>
      </w:r>
      <w:r>
        <w:rPr>
          <w:rFonts w:ascii="Times New Roman" w:cs="Times New Roman" w:eastAsia="Times New Roman" w:hAnsi="Times New Roman"/>
          <w:sz w:val="18"/>
          <w:szCs w:val="18"/>
          <w:b w:val="1"/>
          <w:bCs w:val="1"/>
          <w:color w:val="auto"/>
        </w:rPr>
        <w:t>clause (B)</w:t>
      </w:r>
      <w:r>
        <w:rPr>
          <w:rFonts w:ascii="Times New Roman" w:cs="Times New Roman" w:eastAsia="Times New Roman" w:hAnsi="Times New Roman"/>
          <w:sz w:val="18"/>
          <w:szCs w:val="18"/>
          <w:color w:val="auto"/>
        </w:rPr>
        <w:t xml:space="preserve"> of such definition, then, notwithstanding anything to the contrary in </w:t>
      </w:r>
      <w:r>
        <w:rPr>
          <w:rFonts w:ascii="Times New Roman" w:cs="Times New Roman" w:eastAsia="Times New Roman" w:hAnsi="Times New Roman"/>
          <w:sz w:val="18"/>
          <w:szCs w:val="18"/>
          <w:b w:val="1"/>
          <w:bCs w:val="1"/>
          <w:color w:val="auto"/>
        </w:rPr>
        <w:t>Section 5.07</w:t>
      </w:r>
      <w:r>
        <w:rPr>
          <w:rFonts w:ascii="Times New Roman" w:cs="Times New Roman" w:eastAsia="Times New Roman" w:hAnsi="Times New Roman"/>
          <w:sz w:val="18"/>
          <w:szCs w:val="18"/>
          <w:color w:val="auto"/>
        </w:rPr>
        <w:t>, solely for purposes of such Conversion, (x) such Conversion Date will be deemed to occur solely during the Make-Whole Fundamental Change Conversion Period for the Make-Whole Fundamental Change with the earlier Make-Whole Fundamental Change Effective Date; and (y) the Make-Whole Fundamental Change with the later Make-Whole Fundamental Change Effective Date will be deemed not to have occurred.</w:t>
      </w:r>
    </w:p>
    <w:p>
      <w:pPr>
        <w:spacing w:after="0" w:line="18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Make-Whole Fundamental Change Effective Date</w:t>
      </w:r>
      <w:r>
        <w:rPr>
          <w:rFonts w:ascii="Times New Roman" w:cs="Times New Roman" w:eastAsia="Times New Roman" w:hAnsi="Times New Roman"/>
          <w:sz w:val="18"/>
          <w:szCs w:val="18"/>
          <w:color w:val="auto"/>
        </w:rPr>
        <w:t xml:space="preserve">” means (A) with respect to a Make-Whole Fundamental Change pursuant to </w:t>
      </w:r>
      <w:r>
        <w:rPr>
          <w:rFonts w:ascii="Times New Roman" w:cs="Times New Roman" w:eastAsia="Times New Roman" w:hAnsi="Times New Roman"/>
          <w:sz w:val="18"/>
          <w:szCs w:val="18"/>
          <w:b w:val="1"/>
          <w:bCs w:val="1"/>
          <w:color w:val="auto"/>
        </w:rPr>
        <w:t>clause (A)</w:t>
      </w:r>
      <w:r>
        <w:rPr>
          <w:rFonts w:ascii="Times New Roman" w:cs="Times New Roman" w:eastAsia="Times New Roman" w:hAnsi="Times New Roman"/>
          <w:sz w:val="18"/>
          <w:szCs w:val="18"/>
          <w:color w:val="auto"/>
        </w:rPr>
        <w:t xml:space="preserve"> of the definition thereof, the date on which such Make-Whole Fundamental Change occurs or becomes effective; and (B) with respect to a Make-Whole Fundamental Change pursuant to </w:t>
      </w:r>
      <w:r>
        <w:rPr>
          <w:rFonts w:ascii="Times New Roman" w:cs="Times New Roman" w:eastAsia="Times New Roman" w:hAnsi="Times New Roman"/>
          <w:sz w:val="18"/>
          <w:szCs w:val="18"/>
          <w:b w:val="1"/>
          <w:bCs w:val="1"/>
          <w:color w:val="auto"/>
        </w:rPr>
        <w:t>clause (B)</w:t>
      </w:r>
      <w:r>
        <w:rPr>
          <w:rFonts w:ascii="Times New Roman" w:cs="Times New Roman" w:eastAsia="Times New Roman" w:hAnsi="Times New Roman"/>
          <w:sz w:val="18"/>
          <w:szCs w:val="18"/>
          <w:color w:val="auto"/>
        </w:rPr>
        <w:t xml:space="preserve"> of the definition thereof, the applicable Redemption Notice Date.</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Market Disruption Event</w:t>
      </w:r>
      <w:r>
        <w:rPr>
          <w:rFonts w:ascii="Times New Roman" w:cs="Times New Roman" w:eastAsia="Times New Roman" w:hAnsi="Times New Roman"/>
          <w:sz w:val="18"/>
          <w:szCs w:val="18"/>
          <w:color w:val="auto"/>
        </w:rPr>
        <w:t>” means, with respect to any date, the occurrence or existence, during the one-half hour period ending at the scheduled close of trading on such date on the principal U.S. national or regional securities exchange or other market on which the Ordinary Shares are listed for trading or trade, of any material suspension or limitation imposed on trading (by reason of movements in price exceeding limits permitted by the relevant exchange or otherwise) in the Ordinary Shares or in any options contracts or futures contracts relating to the Ordinary Shares.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means December 1, 2033.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Non-Affiliate Legend</w:t>
      </w:r>
      <w:r>
        <w:rPr>
          <w:rFonts w:ascii="Times New Roman" w:cs="Times New Roman" w:eastAsia="Times New Roman" w:hAnsi="Times New Roman"/>
          <w:sz w:val="18"/>
          <w:szCs w:val="18"/>
          <w:color w:val="auto"/>
        </w:rPr>
        <w:t xml:space="preserve">” means a legend substantially in the form set forth in </w:t>
      </w:r>
      <w:r>
        <w:rPr>
          <w:rFonts w:ascii="Times New Roman" w:cs="Times New Roman" w:eastAsia="Times New Roman" w:hAnsi="Times New Roman"/>
          <w:sz w:val="18"/>
          <w:szCs w:val="18"/>
          <w:b w:val="1"/>
          <w:bCs w:val="1"/>
          <w:color w:val="auto"/>
        </w:rPr>
        <w:t>Exhibit B-3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 Agent</w:t>
      </w:r>
      <w:r>
        <w:rPr>
          <w:rFonts w:ascii="Times New Roman" w:cs="Times New Roman" w:eastAsia="Times New Roman" w:hAnsi="Times New Roman"/>
          <w:sz w:val="18"/>
          <w:szCs w:val="18"/>
          <w:color w:val="auto"/>
        </w:rPr>
        <w:t>” means any Registrar, Paying Agent or Conversion Agent.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means the 1.00% Convertible Senior Notes due 2033 issued by the Company pursuant to this Indenture.</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Observation Period</w:t>
      </w:r>
      <w:r>
        <w:rPr>
          <w:rFonts w:ascii="Times New Roman" w:cs="Times New Roman" w:eastAsia="Times New Roman" w:hAnsi="Times New Roman"/>
          <w:sz w:val="18"/>
          <w:szCs w:val="18"/>
          <w:color w:val="auto"/>
        </w:rPr>
        <w:t xml:space="preserve">” means, with respect to any Note to be Converted, (A) subject to </w:t>
      </w:r>
      <w:r>
        <w:rPr>
          <w:rFonts w:ascii="Times New Roman" w:cs="Times New Roman" w:eastAsia="Times New Roman" w:hAnsi="Times New Roman"/>
          <w:sz w:val="18"/>
          <w:szCs w:val="18"/>
          <w:b w:val="1"/>
          <w:bCs w:val="1"/>
          <w:color w:val="auto"/>
        </w:rPr>
        <w:t>clause (B)</w:t>
      </w:r>
      <w:r>
        <w:rPr>
          <w:rFonts w:ascii="Times New Roman" w:cs="Times New Roman" w:eastAsia="Times New Roman" w:hAnsi="Times New Roman"/>
          <w:sz w:val="18"/>
          <w:szCs w:val="18"/>
          <w:color w:val="auto"/>
        </w:rPr>
        <w:t xml:space="preserve"> below, if the Conversion Date for such Note occurs before September 1, 2033, the thirty (30) consecutive VWAP Trading Days beginning on, and including, the second (2nd) VWAP Trading Day immediately after such Conversion Date; (B) if such Conversion Date occurs on or after the date the Company has sent a Redemption Notice calling all or any Notes for Redemption pursuant to </w:t>
      </w:r>
      <w:r>
        <w:rPr>
          <w:rFonts w:ascii="Times New Roman" w:cs="Times New Roman" w:eastAsia="Times New Roman" w:hAnsi="Times New Roman"/>
          <w:sz w:val="18"/>
          <w:szCs w:val="18"/>
          <w:b w:val="1"/>
          <w:bCs w:val="1"/>
          <w:color w:val="auto"/>
        </w:rPr>
        <w:t>Section 4.03(G)</w:t>
      </w:r>
      <w:r>
        <w:rPr>
          <w:rFonts w:ascii="Times New Roman" w:cs="Times New Roman" w:eastAsia="Times New Roman" w:hAnsi="Times New Roman"/>
          <w:sz w:val="18"/>
          <w:szCs w:val="18"/>
          <w:color w:val="auto"/>
        </w:rPr>
        <w:t xml:space="preserve"> and on or before the second (2nd) Business Day before the related Redemption Date, the thirty (30) consecutive VWAP Trading Days beginning on, and including, the thirty first (31st) Scheduled Trading Day immediately before such Redemption Date; and (C) subject to </w:t>
      </w:r>
      <w:r>
        <w:rPr>
          <w:rFonts w:ascii="Times New Roman" w:cs="Times New Roman" w:eastAsia="Times New Roman" w:hAnsi="Times New Roman"/>
          <w:sz w:val="18"/>
          <w:szCs w:val="18"/>
          <w:b w:val="1"/>
          <w:bCs w:val="1"/>
          <w:color w:val="auto"/>
        </w:rPr>
        <w:t>clause (B)</w:t>
      </w:r>
      <w:r>
        <w:rPr>
          <w:rFonts w:ascii="Times New Roman" w:cs="Times New Roman" w:eastAsia="Times New Roman" w:hAnsi="Times New Roman"/>
          <w:sz w:val="18"/>
          <w:szCs w:val="18"/>
          <w:color w:val="auto"/>
        </w:rPr>
        <w:t xml:space="preserve"> above, if such Conversion Date occurs on or after September 1, 2033, the thirty (30) consecutive VWAP Trading Days beginning on, and including, the thirty first (31st) Scheduled Trading Day immediately before the Maturity Date.</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means the Chairman of the Board of Directors, the Chief Executive Officer, the President, the Chief Operating Officer, the Chief Financial Officer, the Treasurer, any Assistant Treasurer, the Controller, any Director, the Secretary or any Vice-President of the Company.</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Officer’s Certificate</w:t>
      </w:r>
      <w:r>
        <w:rPr>
          <w:rFonts w:ascii="Times New Roman" w:cs="Times New Roman" w:eastAsia="Times New Roman" w:hAnsi="Times New Roman"/>
          <w:sz w:val="18"/>
          <w:szCs w:val="18"/>
          <w:color w:val="auto"/>
        </w:rPr>
        <w:t xml:space="preserve">” means a certificate that is signed on behalf of the Company by one (1) of its Officers and that meets the requirements of </w:t>
      </w:r>
      <w:r>
        <w:rPr>
          <w:rFonts w:ascii="Times New Roman" w:cs="Times New Roman" w:eastAsia="Times New Roman" w:hAnsi="Times New Roman"/>
          <w:sz w:val="18"/>
          <w:szCs w:val="18"/>
          <w:b w:val="1"/>
          <w:bCs w:val="1"/>
          <w:color w:val="auto"/>
        </w:rPr>
        <w:t>Section 11.03</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Open of Business</w:t>
      </w:r>
      <w:r>
        <w:rPr>
          <w:rFonts w:ascii="Times New Roman" w:cs="Times New Roman" w:eastAsia="Times New Roman" w:hAnsi="Times New Roman"/>
          <w:sz w:val="18"/>
          <w:szCs w:val="18"/>
          <w:color w:val="auto"/>
        </w:rPr>
        <w:t>” means 9:00 a.m., New York City time.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Opinion of Counsel</w:t>
      </w:r>
      <w:r>
        <w:rPr>
          <w:rFonts w:ascii="Times New Roman" w:cs="Times New Roman" w:eastAsia="Times New Roman" w:hAnsi="Times New Roman"/>
          <w:sz w:val="18"/>
          <w:szCs w:val="18"/>
          <w:color w:val="auto"/>
        </w:rPr>
        <w:t xml:space="preserve">” means an opinion, from legal counsel (including an employee of, or counsel to, the Company or any of its Subsidiaries) reasonably acceptable to the Trustee, that meets the requirements of </w:t>
      </w:r>
      <w:r>
        <w:rPr>
          <w:rFonts w:ascii="Times New Roman" w:cs="Times New Roman" w:eastAsia="Times New Roman" w:hAnsi="Times New Roman"/>
          <w:sz w:val="18"/>
          <w:szCs w:val="18"/>
          <w:b w:val="1"/>
          <w:bCs w:val="1"/>
          <w:color w:val="auto"/>
        </w:rPr>
        <w:t>Section 11.03</w:t>
      </w:r>
      <w:r>
        <w:rPr>
          <w:rFonts w:ascii="Times New Roman" w:cs="Times New Roman" w:eastAsia="Times New Roman" w:hAnsi="Times New Roman"/>
          <w:sz w:val="18"/>
          <w:szCs w:val="18"/>
          <w:color w:val="auto"/>
        </w:rPr>
        <w:t>, subject to customary qualifications and exclusions.</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xml:space="preserve">” means the Ordinary shares, no par value per share, of the Company only and, for the avoidance of doubt, not the B Class shares of the Company, subject to </w:t>
      </w:r>
      <w:r>
        <w:rPr>
          <w:rFonts w:ascii="Times New Roman" w:cs="Times New Roman" w:eastAsia="Times New Roman" w:hAnsi="Times New Roman"/>
          <w:sz w:val="18"/>
          <w:szCs w:val="18"/>
          <w:b w:val="1"/>
          <w:bCs w:val="1"/>
          <w:color w:val="auto"/>
        </w:rPr>
        <w:t>Section 5.09</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corporation, partnership, limited liability company, joint venture, association, joint-stock company, trust, unincorporated organization or government or other agency or political subdivision thereof. Any division or series of a limited liability company, limited partnership or trust will constitute a separate “person” under this Indenture.</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Physical Note</w:t>
      </w:r>
      <w:r>
        <w:rPr>
          <w:rFonts w:ascii="Times New Roman" w:cs="Times New Roman" w:eastAsia="Times New Roman" w:hAnsi="Times New Roman"/>
          <w:sz w:val="18"/>
          <w:szCs w:val="18"/>
          <w:color w:val="auto"/>
        </w:rPr>
        <w:t xml:space="preserve">” means a Note (other than a Global Note) that is represented by a certificate substantially in the form set forth in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registered in the name of the Holder of such Note and duly executed by the Company and authenticated by the Trustee.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Provisional Redemption</w:t>
      </w:r>
      <w:r>
        <w:rPr>
          <w:rFonts w:ascii="Times New Roman" w:cs="Times New Roman" w:eastAsia="Times New Roman" w:hAnsi="Times New Roman"/>
          <w:sz w:val="18"/>
          <w:szCs w:val="18"/>
          <w:color w:val="auto"/>
        </w:rPr>
        <w:t xml:space="preserve">” means the repurchase of any Note by the Company pursuant to </w:t>
      </w:r>
      <w:r>
        <w:rPr>
          <w:rFonts w:ascii="Times New Roman" w:cs="Times New Roman" w:eastAsia="Times New Roman" w:hAnsi="Times New Roman"/>
          <w:sz w:val="18"/>
          <w:szCs w:val="18"/>
          <w:b w:val="1"/>
          <w:bCs w:val="1"/>
          <w:color w:val="auto"/>
        </w:rPr>
        <w:t>Section 4.03(B)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means that certain Purchase Agreement, dated May 11, 2026 between the Company and the representatives of the Initial Purchasers.</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Qualified Successor Entity</w:t>
      </w:r>
      <w:r>
        <w:rPr>
          <w:rFonts w:ascii="Times New Roman" w:cs="Times New Roman" w:eastAsia="Times New Roman" w:hAnsi="Times New Roman"/>
          <w:sz w:val="18"/>
          <w:szCs w:val="18"/>
          <w:color w:val="auto"/>
        </w:rPr>
        <w:t xml:space="preserve">” means, with respect to a Business Combination Event, a public company limited by shares or a corporation;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a limited liability company, limited partnership or other similar entity will also constitute a Qualified Successor Entity with respect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such Business Combination Event if either (A) such Business Combination Event is an Exempted Fundamental Change; or (B) both of the following conditions are satisfied: (i) either (x) such limited liability company, limited partnership or other similar entity, as applicable, is treated as a corporation or is a direct or indirect, Wholly Owned Subsidiary of, and disregarded as an entity separate from, a corporation, in each case for U.S. federal income tax purposes; or (y) the Company has received an opinion of a nationally recognized tax counsel to the effect that such Business Combination Event will not be treated as an exchange under Section 1001 of the Internal Revenue Code of 1986, as amended, for Holders or beneficial owners of the Notes; and (ii) such Business Combination Event constitutes an Ordinary Share Change Event whose Reference Property consists solely of any combination of cash in U.S. dollars and shares of common stock or other corporate Common Equity interests of an entity that is (x) treated as a corporation for U.S. federal income tax purposes; (y) duly organized or incorporated and existing under the laws of Australia, the United States of America, any State thereof or the District of Columbia; and (z) the direct or indirect parent of such limited liability company, limited partnership or other similar entity.</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w:t>
      </w:r>
      <w:r>
        <w:rPr>
          <w:rFonts w:ascii="Times New Roman" w:cs="Times New Roman" w:eastAsia="Times New Roman" w:hAnsi="Times New Roman"/>
          <w:sz w:val="18"/>
          <w:szCs w:val="18"/>
          <w:color w:val="auto"/>
        </w:rPr>
        <w:t>” means a Provisional Redemption or a Tax Redemption.</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Date</w:t>
      </w:r>
      <w:r>
        <w:rPr>
          <w:rFonts w:ascii="Times New Roman" w:cs="Times New Roman" w:eastAsia="Times New Roman" w:hAnsi="Times New Roman"/>
          <w:sz w:val="18"/>
          <w:szCs w:val="18"/>
          <w:color w:val="auto"/>
        </w:rPr>
        <w:t xml:space="preserve">” means the date fixed, pursuant to </w:t>
      </w:r>
      <w:r>
        <w:rPr>
          <w:rFonts w:ascii="Times New Roman" w:cs="Times New Roman" w:eastAsia="Times New Roman" w:hAnsi="Times New Roman"/>
          <w:sz w:val="18"/>
          <w:szCs w:val="18"/>
          <w:b w:val="1"/>
          <w:bCs w:val="1"/>
          <w:color w:val="auto"/>
        </w:rPr>
        <w:t>Section 4.03(E)</w:t>
      </w:r>
      <w:r>
        <w:rPr>
          <w:rFonts w:ascii="Times New Roman" w:cs="Times New Roman" w:eastAsia="Times New Roman" w:hAnsi="Times New Roman"/>
          <w:sz w:val="18"/>
          <w:szCs w:val="18"/>
          <w:color w:val="auto"/>
        </w:rPr>
        <w:t>, for the settlement of the repurchase of any Notes by the Company pursuant to a Redemption.</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Notice Date</w:t>
      </w:r>
      <w:r>
        <w:rPr>
          <w:rFonts w:ascii="Times New Roman" w:cs="Times New Roman" w:eastAsia="Times New Roman" w:hAnsi="Times New Roman"/>
          <w:sz w:val="18"/>
          <w:szCs w:val="18"/>
          <w:color w:val="auto"/>
        </w:rPr>
        <w:t xml:space="preserve">” means, with respect to a Redemption, the date on which the Company sends the Redemption Notice for such Redemption pursuant to </w:t>
      </w:r>
      <w:r>
        <w:rPr>
          <w:rFonts w:ascii="Times New Roman" w:cs="Times New Roman" w:eastAsia="Times New Roman" w:hAnsi="Times New Roman"/>
          <w:sz w:val="18"/>
          <w:szCs w:val="18"/>
          <w:b w:val="1"/>
          <w:bCs w:val="1"/>
          <w:color w:val="auto"/>
        </w:rPr>
        <w:t>Section 4.03(G)</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 xml:space="preserve">” means the cash price payable by the Company to redeem any Note upon its Redemption, calculated pursuant to </w:t>
      </w:r>
      <w:r>
        <w:rPr>
          <w:rFonts w:ascii="Times New Roman" w:cs="Times New Roman" w:eastAsia="Times New Roman" w:hAnsi="Times New Roman"/>
          <w:sz w:val="18"/>
          <w:szCs w:val="18"/>
          <w:b w:val="1"/>
          <w:bCs w:val="1"/>
          <w:color w:val="auto"/>
        </w:rPr>
        <w:t>Section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4.03(F)</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Regular Record Date</w:t>
      </w:r>
      <w:r>
        <w:rPr>
          <w:rFonts w:ascii="Times New Roman" w:cs="Times New Roman" w:eastAsia="Times New Roman" w:hAnsi="Times New Roman"/>
          <w:sz w:val="18"/>
          <w:szCs w:val="18"/>
          <w:color w:val="auto"/>
        </w:rPr>
        <w:t>” has the following meaning with respect to an Interest Payment Date: (A) if such Interest Payment Date occurs on June 1, the immediately preceding May 15 (whether or not a Business Day); and (B) if such Interest Payment Date occurs on December 1, the immediately preceding November 15 (whether or not a Business Day).</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Repurchase Upon Fundamental Change</w:t>
      </w:r>
      <w:r>
        <w:rPr>
          <w:rFonts w:ascii="Times New Roman" w:cs="Times New Roman" w:eastAsia="Times New Roman" w:hAnsi="Times New Roman"/>
          <w:sz w:val="18"/>
          <w:szCs w:val="18"/>
          <w:color w:val="auto"/>
        </w:rPr>
        <w:t xml:space="preserve">” means the repurchase of any Note by the Company pursuant to </w:t>
      </w:r>
      <w:r>
        <w:rPr>
          <w:rFonts w:ascii="Times New Roman" w:cs="Times New Roman" w:eastAsia="Times New Roman" w:hAnsi="Times New Roman"/>
          <w:sz w:val="18"/>
          <w:szCs w:val="18"/>
          <w:b w:val="1"/>
          <w:bCs w:val="1"/>
          <w:color w:val="auto"/>
        </w:rPr>
        <w:t>Section 4.02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Responsible Officer</w:t>
      </w:r>
      <w:r>
        <w:rPr>
          <w:rFonts w:ascii="Times New Roman" w:cs="Times New Roman" w:eastAsia="Times New Roman" w:hAnsi="Times New Roman"/>
          <w:sz w:val="18"/>
          <w:szCs w:val="18"/>
          <w:color w:val="auto"/>
        </w:rPr>
        <w:t>” means (A) any officer within the corporate trust group of the Trustee (or any successor group of the Trustee) or any other officer of the Trustee customarily performing functions similar to those performed by any of such officers; and (B) with respect to a particular corporate trust matter relating to this Indenture, any other officer to whom such matter is referred because of his or her knowledge of, and familiarity with, the particular subject, and who, in each case, has direct responsibility for the administration of this Indenture.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Note Legend</w:t>
      </w:r>
      <w:r>
        <w:rPr>
          <w:rFonts w:ascii="Times New Roman" w:cs="Times New Roman" w:eastAsia="Times New Roman" w:hAnsi="Times New Roman"/>
          <w:sz w:val="18"/>
          <w:szCs w:val="18"/>
          <w:color w:val="auto"/>
        </w:rPr>
        <w:t xml:space="preserve">” means a legend substantially in the form set forth in </w:t>
      </w:r>
      <w:r>
        <w:rPr>
          <w:rFonts w:ascii="Times New Roman" w:cs="Times New Roman" w:eastAsia="Times New Roman" w:hAnsi="Times New Roman"/>
          <w:sz w:val="18"/>
          <w:szCs w:val="18"/>
          <w:b w:val="1"/>
          <w:bCs w:val="1"/>
          <w:color w:val="auto"/>
        </w:rPr>
        <w:t>Exhibit B-1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Share Legend</w:t>
      </w:r>
      <w:r>
        <w:rPr>
          <w:rFonts w:ascii="Times New Roman" w:cs="Times New Roman" w:eastAsia="Times New Roman" w:hAnsi="Times New Roman"/>
          <w:sz w:val="18"/>
          <w:szCs w:val="18"/>
          <w:color w:val="auto"/>
        </w:rPr>
        <w:t>” means, with respect to any Conversion Share, a legend substantially to the effect that the offer and sale of such Conversion Share have not been registered under the Securities Act and that such Conversion Share cannot be sold or otherwise transferred except pursuant to a transaction that is registered under the Securities Act or that is exempt from, or not subject to, the registration requirements of the Securities Act.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12b-25</w:t>
      </w:r>
      <w:r>
        <w:rPr>
          <w:rFonts w:ascii="Times New Roman" w:cs="Times New Roman" w:eastAsia="Times New Roman" w:hAnsi="Times New Roman"/>
          <w:sz w:val="18"/>
          <w:szCs w:val="18"/>
          <w:color w:val="auto"/>
        </w:rPr>
        <w:t>” means Rule 12b-25 under the Exchange Act (or any successor rule thereto), as the same may be amended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means Rule 144 under the Securities Act (or any successor rule thereto), as the same may be amended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144A</w:t>
      </w:r>
      <w:r>
        <w:rPr>
          <w:rFonts w:ascii="Times New Roman" w:cs="Times New Roman" w:eastAsia="Times New Roman" w:hAnsi="Times New Roman"/>
          <w:sz w:val="18"/>
          <w:szCs w:val="18"/>
          <w:color w:val="auto"/>
        </w:rPr>
        <w:t>” means Rule 144A under the Securities Act (or any successor rule thereto), as the same may be amended from time to time.</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Scheduled Trading Day</w:t>
      </w:r>
      <w:r>
        <w:rPr>
          <w:rFonts w:ascii="Times New Roman" w:cs="Times New Roman" w:eastAsia="Times New Roman" w:hAnsi="Times New Roman"/>
          <w:sz w:val="18"/>
          <w:szCs w:val="18"/>
          <w:color w:val="auto"/>
        </w:rPr>
        <w:t>” means any day that is scheduled to be a Trading Day on the principal U.S. national or regional securities exchange on which the Ordinary Shares are then listed or, if the Ordinary Shares are not then listed on a U.S. national or regional securities exchange, on the principal other market on which the Ordinary Shares are then traded. If the Ordinary Shares are not so listed or traded, then “Scheduled Trading Day” means a Business Day.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U.S. Securities Act of 1933,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means any Note or Conversion Share.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 Method</w:t>
      </w:r>
      <w:r>
        <w:rPr>
          <w:rFonts w:ascii="Times New Roman" w:cs="Times New Roman" w:eastAsia="Times New Roman" w:hAnsi="Times New Roman"/>
          <w:sz w:val="18"/>
          <w:szCs w:val="18"/>
          <w:color w:val="auto"/>
        </w:rPr>
        <w:t>” means Cash Settlement, Physical Settlement or Combination Settlement.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 Price</w:t>
      </w:r>
      <w:r>
        <w:rPr>
          <w:rFonts w:ascii="Times New Roman" w:cs="Times New Roman" w:eastAsia="Times New Roman" w:hAnsi="Times New Roman"/>
          <w:sz w:val="18"/>
          <w:szCs w:val="18"/>
          <w:color w:val="auto"/>
        </w:rPr>
        <w:t xml:space="preserve">” has the following meaning for any Make-Whole Fundamental Change: (A) if the holders of Ordinary Shares receive only cash in consideration for their Ordinary Shares in such Make-Whole Fundamental Change and such Make-Whole Fundamental Change is pursuant to </w:t>
      </w:r>
      <w:r>
        <w:rPr>
          <w:rFonts w:ascii="Times New Roman" w:cs="Times New Roman" w:eastAsia="Times New Roman" w:hAnsi="Times New Roman"/>
          <w:sz w:val="18"/>
          <w:szCs w:val="18"/>
          <w:b w:val="1"/>
          <w:bCs w:val="1"/>
          <w:color w:val="auto"/>
        </w:rPr>
        <w:t>clause (B)</w:t>
      </w:r>
      <w:r>
        <w:rPr>
          <w:rFonts w:ascii="Times New Roman" w:cs="Times New Roman" w:eastAsia="Times New Roman" w:hAnsi="Times New Roman"/>
          <w:sz w:val="18"/>
          <w:szCs w:val="18"/>
          <w:color w:val="auto"/>
        </w:rPr>
        <w:t xml:space="preserve"> of the definition of “Fundamental Change,” then the Share Price is the amount of cash paid per Ordinary Share in such Make-Whole Fundamental Change; and (B) in all other cases, the Share Price is the average of the Last Reported Sale Prices per Ordinary Share for the five (5) consecutive Trading Days ending on, and including, the Trading Day immediately before the Make-Whole Fundamental Change Effective Date of such Make-Whole Fundamental Change.</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Shoe Option</w:t>
      </w:r>
      <w:r>
        <w:rPr>
          <w:rFonts w:ascii="Times New Roman" w:cs="Times New Roman" w:eastAsia="Times New Roman" w:hAnsi="Times New Roman"/>
          <w:sz w:val="18"/>
          <w:szCs w:val="18"/>
          <w:color w:val="auto"/>
        </w:rPr>
        <w:t>” means the Initial Purchasers’ option to purchase up to four hundred million dollars ($400,000,000) aggregate principal amount of additional Notes as provided for in the Purchase Agreement.</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Significant Subsidiary</w:t>
      </w:r>
      <w:r>
        <w:rPr>
          <w:rFonts w:ascii="Times New Roman" w:cs="Times New Roman" w:eastAsia="Times New Roman" w:hAnsi="Times New Roman"/>
          <w:sz w:val="18"/>
          <w:szCs w:val="18"/>
          <w:color w:val="auto"/>
        </w:rPr>
        <w:t xml:space="preserve">” means, with respect to any Person, any Subsidiary of such Person that constitutes a “significant subsidiary” (as defined in Rule 1-02(w) of Regulation S-X under the Exchange Act) of such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 Subsidiary meets the criteria of clause (1)(iii), but not clause (1)(i) or (1)(ii), of the definition of “significant subsidiary” in Rule 1-02(w) (or, if applicable, the respective successor clauses to the aforementioned clauses), then such Subsidiary will be deemed not to be a Significant Subsidiary unless such Subsidiary’s income from continuing operations before income taxes, exclusive of amounts attributable to any non-controlling interests, for the last completed fiscal year before the date of determination exceeds fifty million dollars ($50,000,000).</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Special Interest</w:t>
      </w:r>
      <w:r>
        <w:rPr>
          <w:rFonts w:ascii="Times New Roman" w:cs="Times New Roman" w:eastAsia="Times New Roman" w:hAnsi="Times New Roman"/>
          <w:sz w:val="18"/>
          <w:szCs w:val="18"/>
          <w:color w:val="auto"/>
        </w:rPr>
        <w:t xml:space="preserve">” means any interest that accrues on any Note pursuant to </w:t>
      </w:r>
      <w:r>
        <w:rPr>
          <w:rFonts w:ascii="Times New Roman" w:cs="Times New Roman" w:eastAsia="Times New Roman" w:hAnsi="Times New Roman"/>
          <w:sz w:val="18"/>
          <w:szCs w:val="18"/>
          <w:b w:val="1"/>
          <w:bCs w:val="1"/>
          <w:color w:val="auto"/>
        </w:rPr>
        <w:t>Section 7.03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Dollar Amount</w:t>
      </w:r>
      <w:r>
        <w:rPr>
          <w:rFonts w:ascii="Times New Roman" w:cs="Times New Roman" w:eastAsia="Times New Roman" w:hAnsi="Times New Roman"/>
          <w:sz w:val="18"/>
          <w:szCs w:val="18"/>
          <w:color w:val="auto"/>
        </w:rPr>
        <w:t>” means, with respect to the Conversion of a Note to which Combination Settlement applies, the maximum cash amount per $1,000 principal amount of such Note deliverable upon such Conversion (excluding cash in lieu of any fractional Ordinary Share).</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any Person, (A) any corporation, association or other business entity (other than a partnership or limited liability company) of which more than fifty percent (50%) of the total voting power of the Capital Stock entitled (without regard to the occurrence of any contingency, but after giving effect to any voting agreement or shareholders’ agreement that effectively transfers voting power) to vote in the election of directors, managers or trustees, as applicable, of such corporation, association or other business entity is owned or controlled, directly or indirectly, by such Person or one or more of the other Subsidiaries of such Person; and (B) any partnership or limited liability company where (i) more than fifty percent (50%) of the capital accounts, distribution rights, equity and voting interests, or of the general and limited partnership interests, as applicable, of such partnership or limited liability company are owned or controlled, directly or indirectly, by such Person or one or more of the other Subsidiaries of such Person, whether in the form of membership, general, special or limited partnership or limited liability company interests or otherwise; and (ii) such Person or any one or more of the other Subsidiaries of such Person is a controlling general partner of, or otherwise controls, such partnership or limited liability company.</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w:t>
      </w:r>
      <w:r>
        <w:rPr>
          <w:rFonts w:ascii="Times New Roman" w:cs="Times New Roman" w:eastAsia="Times New Roman" w:hAnsi="Times New Roman"/>
          <w:sz w:val="18"/>
          <w:szCs w:val="18"/>
          <w:color w:val="auto"/>
        </w:rPr>
        <w:t>” means any tax, duty, levy, impost, assessment or other governmental charge (including penalties and interest and other similar liabilities related thereto). For the avoidance of doubt, any withholding or deduction made for or on account of FATCA shall be deemed to be a “Tax.”</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Redemption</w:t>
      </w:r>
      <w:r>
        <w:rPr>
          <w:rFonts w:ascii="Times New Roman" w:cs="Times New Roman" w:eastAsia="Times New Roman" w:hAnsi="Times New Roman"/>
          <w:sz w:val="18"/>
          <w:szCs w:val="18"/>
          <w:color w:val="auto"/>
        </w:rPr>
        <w:t xml:space="preserve">” means the repurchase of any Note pursuant to </w:t>
      </w:r>
      <w:r>
        <w:rPr>
          <w:rFonts w:ascii="Times New Roman" w:cs="Times New Roman" w:eastAsia="Times New Roman" w:hAnsi="Times New Roman"/>
          <w:sz w:val="18"/>
          <w:szCs w:val="18"/>
          <w:b w:val="1"/>
          <w:bCs w:val="1"/>
          <w:color w:val="auto"/>
        </w:rPr>
        <w:t>Section 4.03(C)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any day on which (A) trading in the Ordinary Shares generally occurs on the principal U.S. national or regional securities exchange on which the Ordinary Shares are then listed or, if the Ordinary Shares are not then listed on a U.S. national or regional securities exchange, on the principal other market on which the Ordinary Shares are then traded; and (B) there is no Market Disruption Event. If the Ordinary Shares are not so listed or traded, then “Trading Day” means a Business Day.</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Price</w:t>
      </w:r>
      <w:r>
        <w:rPr>
          <w:rFonts w:ascii="Times New Roman" w:cs="Times New Roman" w:eastAsia="Times New Roman" w:hAnsi="Times New Roman"/>
          <w:sz w:val="18"/>
          <w:szCs w:val="18"/>
          <w:color w:val="auto"/>
        </w:rPr>
        <w:t xml:space="preserve">” of the Notes on any Trading Day means the average of the secondary market bid quotations, expressed as a cash amount per $1,000 principal amount of Notes, obtained by the Bid Solicitation Agent for one million dollars ($1,000,000) (or such lesser amount as may then be outstanding) in principal amount of Notes at approximately 3:30 p.m., New York City time, on such Trading Day from three (3) nationally recognized independent securities dealers selected by the Company, which may include any of the Initial Purchasers;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three (3) such bids cannot reasonably be obtained by the Bid Solicitation Agent but two (2) such bids are obtained, then the average of the two (2) bids will be used, and if only one (1) such bid can reasonably be obtained by the Bid Solicitation Agent, then that one (1) bid will be used. If, on any Trading Day, (A) the Bid Solicitation Agent cannot reasonably obtain at least one (1) bid for one million dollars ($1,000,000) (or such lesser amount as may then be outstanding) in principal amount of Notes from a nationally recognized independent securities dealer; (B) the Company is not acting as the Bid Solicitation Agent and the Company fails to instruct the Bid Solicitation Agent to obtain bids when required; or (C) the Bid Solicitation Agent fails to solicit bids when required, then, in each case, the Trading Price per $1,000 principal amount of Notes on such Trading Day will be deemed to be less than ninety eight percent (98%) of the product of the Last Reported Sale Price per Ordinary Share on such Trading Day and the Conversion Rate on such Trading Day.</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Transfer-Restricted Security</w:t>
      </w:r>
      <w:r>
        <w:rPr>
          <w:rFonts w:ascii="Times New Roman" w:cs="Times New Roman" w:eastAsia="Times New Roman" w:hAnsi="Times New Roman"/>
          <w:sz w:val="18"/>
          <w:szCs w:val="18"/>
          <w:color w:val="auto"/>
        </w:rPr>
        <w:t xml:space="preserve">” means any Security that constitutes a “restricted security” (as defined in Rule 144);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will cease to be a Transfer-Restricted Security upon the earliest to occur of the following events:</w:t>
      </w:r>
    </w:p>
    <w:p>
      <w:pPr>
        <w:spacing w:after="0" w:line="207" w:lineRule="exact"/>
        <w:rPr>
          <w:sz w:val="20"/>
          <w:szCs w:val="20"/>
          <w:color w:val="auto"/>
        </w:rPr>
      </w:pPr>
    </w:p>
    <w:p>
      <w:pPr>
        <w:ind w:right="20" w:firstLine="656"/>
        <w:spacing w:after="0" w:line="282" w:lineRule="auto"/>
        <w:tabs>
          <w:tab w:leader="none" w:pos="150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Security is sold or otherwise transferred to a Person (other than the Company or an Affiliate of the Company) pursuant to a registration statement that was effective under the Securities Act at the time of such sale or transfer;</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4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Security is sold or otherwise transferred to a Person (other than the Company or an Affiliate of the Company) pursuant to an available exemption (including Rule 144) from the registration and prospectus-delivery requirements of, or in a transaction not subject to, the Securities Act and, immediately after such sale or transfer, such Security ceases to constitute a “restricted security” (as defined in Rule 144); and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Security is eligible for resale, by a Person that is not an Affiliate of the Company and that has not been an Affiliate of the Company during the immediately preceding three (3) months, pursuant to Rule 144 without any limitations thereunder as to volume, manner of sale, availability of current public information or notice.</w:t>
      </w:r>
    </w:p>
    <w:p>
      <w:pPr>
        <w:spacing w:after="0" w:line="346"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Trustee is under no obligation to determine whether any Security is a Transfer-Restricted Security and may conclusively rely on an Officer’s Certificate with respect thereto.</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 Indenture Act</w:t>
      </w:r>
      <w:r>
        <w:rPr>
          <w:rFonts w:ascii="Times New Roman" w:cs="Times New Roman" w:eastAsia="Times New Roman" w:hAnsi="Times New Roman"/>
          <w:sz w:val="18"/>
          <w:szCs w:val="18"/>
          <w:color w:val="auto"/>
        </w:rPr>
        <w:t>” means the U.S. Trust Indenture Act of 1939, as amended.</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means the Person named as such in the first paragraph of this Indenture until a successor replaces it in accordance with the provisions of this Indenture and, thereafter, means such successor.</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 Market Disruption Event</w:t>
      </w:r>
      <w:r>
        <w:rPr>
          <w:rFonts w:ascii="Times New Roman" w:cs="Times New Roman" w:eastAsia="Times New Roman" w:hAnsi="Times New Roman"/>
          <w:sz w:val="18"/>
          <w:szCs w:val="18"/>
          <w:color w:val="auto"/>
        </w:rPr>
        <w:t>” means, with respect to any date, (A) the failure by the principal U.S. national or regional securities exchange on which the Ordinary Shares are then listed, or, if the Ordinary Shares are not then listed on a U.S. national or regional securities exchange, the principal other market on which the Ordinary Shares are then traded, to open for trading during its regular trading session on such date; or (B) the occurrence or existence, for more than one half hour period in the aggregate, of any suspension or limitation imposed on trading (by reason of movements in price exceeding limits permitted by the relevant exchange or otherwise) in the Ordinary Shares or in any options contracts or futures contracts relating to the Ordinary Shares, and such suspension or limitation occurs or exists at any time before 1:00 p.m., New York City time, on such date.</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 Trading Day</w:t>
      </w:r>
      <w:r>
        <w:rPr>
          <w:rFonts w:ascii="Times New Roman" w:cs="Times New Roman" w:eastAsia="Times New Roman" w:hAnsi="Times New Roman"/>
          <w:sz w:val="18"/>
          <w:szCs w:val="18"/>
          <w:color w:val="auto"/>
        </w:rPr>
        <w:t>” means a day on which (A) there is no VWAP Market Disruption Event; and (B) trading in the Ordinary Shares generally occurs on the principal U.S. national or regional securities exchange on which the Ordinary Shares are then listed or, if the Ordinary Shares are not then listed on a U.S. national or regional securities exchange, on the principal other market on which the Ordinary Shares are then traded. If the Ordinary Shares are not so listed or traded, then “VWAP Trading Day” means a Business Day.</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Wholly Owned Subsidiary</w:t>
      </w:r>
      <w:r>
        <w:rPr>
          <w:rFonts w:ascii="Times New Roman" w:cs="Times New Roman" w:eastAsia="Times New Roman" w:hAnsi="Times New Roman"/>
          <w:sz w:val="18"/>
          <w:szCs w:val="18"/>
          <w:color w:val="auto"/>
        </w:rPr>
        <w:t>” of a Person means any Subsidiary of such Person all of the outstanding Capital Stock or other ownership interests of which (other than directors’ qualifying shares) are owned by such Person or one or more Wholly Owned Subsidiaries of such Person.</w:t>
      </w:r>
    </w:p>
    <w:p>
      <w:pPr>
        <w:spacing w:after="0" w:line="15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1.02.</w:t>
        <w:tab/>
        <w:t>O</w:t>
      </w:r>
      <w:r>
        <w:rPr>
          <w:rFonts w:ascii="Times New Roman" w:cs="Times New Roman" w:eastAsia="Times New Roman" w:hAnsi="Times New Roman"/>
          <w:sz w:val="12"/>
          <w:szCs w:val="12"/>
          <w:b w:val="1"/>
          <w:bCs w:val="1"/>
          <w:color w:val="auto"/>
        </w:rPr>
        <w:t>ther</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efinitions</w:t>
      </w:r>
      <w:r>
        <w:rPr>
          <w:rFonts w:ascii="Times New Roman" w:cs="Times New Roman" w:eastAsia="Times New Roman" w:hAnsi="Times New Roman"/>
          <w:sz w:val="18"/>
          <w:szCs w:val="18"/>
          <w:b w:val="1"/>
          <w:bCs w:val="1"/>
          <w:color w:val="auto"/>
        </w:rPr>
        <w: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16"/>
        </w:trPr>
        <w:tc>
          <w:tcPr>
            <w:tcW w:w="9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Defined in</w:t>
            </w:r>
          </w:p>
        </w:tc>
      </w:tr>
      <w:tr>
        <w:trPr>
          <w:trHeight w:val="234"/>
        </w:trPr>
        <w:tc>
          <w:tcPr>
            <w:tcW w:w="9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w:t>
            </w:r>
          </w:p>
        </w:tc>
        <w:tc>
          <w:tcPr>
            <w:tcW w:w="16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Section</w:t>
            </w:r>
          </w:p>
        </w:tc>
      </w:tr>
      <w:tr>
        <w:trPr>
          <w:trHeight w:val="210"/>
        </w:trPr>
        <w:tc>
          <w:tcPr>
            <w:tcW w:w="9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Amounts</w:t>
            </w: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3.05(A)</w:t>
            </w:r>
          </w:p>
        </w:tc>
      </w:tr>
      <w:tr>
        <w:trPr>
          <w:trHeight w:val="216"/>
        </w:trPr>
        <w:tc>
          <w:tcPr>
            <w:tcW w:w="9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Shares</w:t>
            </w: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5.07(A)</w:t>
            </w:r>
          </w:p>
        </w:tc>
      </w:tr>
      <w:tr>
        <w:trPr>
          <w:trHeight w:val="216"/>
        </w:trPr>
        <w:tc>
          <w:tcPr>
            <w:tcW w:w="9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 Event</w:t>
            </w: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6.01(A)</w:t>
            </w:r>
          </w:p>
        </w:tc>
      </w:tr>
      <w:tr>
        <w:trPr>
          <w:trHeight w:val="216"/>
        </w:trPr>
        <w:tc>
          <w:tcPr>
            <w:tcW w:w="9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Settlement</w:t>
            </w: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5.03(A)</w:t>
            </w:r>
          </w:p>
        </w:tc>
      </w:tr>
      <w:tr>
        <w:trPr>
          <w:trHeight w:val="216"/>
        </w:trPr>
        <w:tc>
          <w:tcPr>
            <w:tcW w:w="9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Combination Settlement</w:t>
            </w: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5.03(A)</w:t>
            </w:r>
          </w:p>
        </w:tc>
      </w:tr>
      <w:tr>
        <w:trPr>
          <w:trHeight w:val="216"/>
        </w:trPr>
        <w:tc>
          <w:tcPr>
            <w:tcW w:w="9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Agent</w:t>
            </w: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2.06(A)</w:t>
            </w:r>
          </w:p>
        </w:tc>
      </w:tr>
      <w:tr>
        <w:trPr>
          <w:trHeight w:val="216"/>
        </w:trPr>
        <w:tc>
          <w:tcPr>
            <w:tcW w:w="9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Consideration</w:t>
            </w: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5.03(B)</w:t>
            </w:r>
          </w:p>
        </w:tc>
      </w:tr>
      <w:tr>
        <w:trPr>
          <w:trHeight w:val="216"/>
        </w:trPr>
        <w:tc>
          <w:tcPr>
            <w:tcW w:w="9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 Interest</w:t>
            </w: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2.05(B)</w:t>
            </w:r>
          </w:p>
        </w:tc>
      </w:tr>
      <w:tr>
        <w:trPr>
          <w:trHeight w:val="216"/>
        </w:trPr>
        <w:tc>
          <w:tcPr>
            <w:tcW w:w="9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Defaulted Amount</w:t>
            </w: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2.05(B)</w:t>
            </w:r>
          </w:p>
        </w:tc>
      </w:tr>
      <w:tr>
        <w:trPr>
          <w:trHeight w:val="216"/>
        </w:trPr>
        <w:tc>
          <w:tcPr>
            <w:tcW w:w="9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Deferred Additional Interest</w:t>
            </w: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3.04(C)(i)</w:t>
            </w:r>
          </w:p>
        </w:tc>
      </w:tr>
      <w:tr>
        <w:trPr>
          <w:trHeight w:val="216"/>
        </w:trPr>
        <w:tc>
          <w:tcPr>
            <w:tcW w:w="9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Deferred Additional Interest Demand Request</w:t>
            </w: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3.04(C)(i)</w:t>
            </w:r>
          </w:p>
        </w:tc>
      </w:tr>
      <w:tr>
        <w:trPr>
          <w:trHeight w:val="216"/>
        </w:trPr>
        <w:tc>
          <w:tcPr>
            <w:tcW w:w="9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7.01(A)</w:t>
            </w:r>
          </w:p>
        </w:tc>
      </w:tr>
      <w:tr>
        <w:trPr>
          <w:trHeight w:val="216"/>
        </w:trPr>
        <w:tc>
          <w:tcPr>
            <w:tcW w:w="9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5.05(A)(v)</w:t>
            </w:r>
          </w:p>
        </w:tc>
      </w:tr>
      <w:tr>
        <w:trPr>
          <w:trHeight w:val="216"/>
        </w:trPr>
        <w:tc>
          <w:tcPr>
            <w:tcW w:w="9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Expiration Time</w:t>
            </w: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5.05(A)(v)</w:t>
            </w:r>
          </w:p>
        </w:tc>
      </w:tr>
      <w:tr>
        <w:trPr>
          <w:trHeight w:val="216"/>
        </w:trPr>
        <w:tc>
          <w:tcPr>
            <w:tcW w:w="9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FATCA</w:t>
            </w: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3.05(A)(iv)</w:t>
            </w:r>
          </w:p>
        </w:tc>
      </w:tr>
      <w:tr>
        <w:trPr>
          <w:trHeight w:val="216"/>
        </w:trPr>
        <w:tc>
          <w:tcPr>
            <w:tcW w:w="9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Notice</w:t>
            </w: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4.02(E)</w:t>
            </w:r>
          </w:p>
        </w:tc>
      </w:tr>
      <w:tr>
        <w:trPr>
          <w:trHeight w:val="216"/>
        </w:trPr>
        <w:tc>
          <w:tcPr>
            <w:tcW w:w="9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Repurchase Right</w:t>
            </w: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4.02(A)</w:t>
            </w:r>
          </w:p>
        </w:tc>
      </w:tr>
      <w:tr>
        <w:trPr>
          <w:trHeight w:val="216"/>
        </w:trPr>
        <w:tc>
          <w:tcPr>
            <w:tcW w:w="9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Notes</w:t>
            </w: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2.03(A)</w:t>
            </w:r>
          </w:p>
        </w:tc>
      </w:tr>
      <w:tr>
        <w:trPr>
          <w:trHeight w:val="216"/>
        </w:trPr>
        <w:tc>
          <w:tcPr>
            <w:tcW w:w="9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Measurement Period</w:t>
            </w: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5.01(C)(i)(2)</w:t>
            </w:r>
          </w:p>
        </w:tc>
      </w:tr>
      <w:tr>
        <w:trPr>
          <w:trHeight w:val="216"/>
        </w:trPr>
        <w:tc>
          <w:tcPr>
            <w:tcW w:w="9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Election to Pay Deferred Additional Interest</w:t>
            </w: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3.04(C)(i)</w:t>
            </w:r>
          </w:p>
        </w:tc>
      </w:tr>
      <w:tr>
        <w:trPr>
          <w:trHeight w:val="216"/>
        </w:trPr>
        <w:tc>
          <w:tcPr>
            <w:tcW w:w="9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Ordinary Share Change Event</w:t>
            </w: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5.09(A)</w:t>
            </w:r>
          </w:p>
        </w:tc>
      </w:tr>
      <w:tr>
        <w:trPr>
          <w:trHeight w:val="216"/>
        </w:trPr>
        <w:tc>
          <w:tcPr>
            <w:tcW w:w="9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Paying Agent</w:t>
            </w: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2.06(A)</w:t>
            </w:r>
          </w:p>
        </w:tc>
      </w:tr>
      <w:tr>
        <w:trPr>
          <w:trHeight w:val="216"/>
        </w:trPr>
        <w:tc>
          <w:tcPr>
            <w:tcW w:w="9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Physical Settlement</w:t>
            </w: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5.03(A)</w:t>
            </w:r>
          </w:p>
        </w:tc>
      </w:tr>
      <w:tr>
        <w:trPr>
          <w:trHeight w:val="216"/>
        </w:trPr>
        <w:tc>
          <w:tcPr>
            <w:tcW w:w="9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Notice</w:t>
            </w: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4.03(G)</w:t>
            </w:r>
          </w:p>
        </w:tc>
      </w:tr>
      <w:tr>
        <w:trPr>
          <w:trHeight w:val="216"/>
        </w:trPr>
        <w:tc>
          <w:tcPr>
            <w:tcW w:w="9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Property</w:t>
            </w: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5.09(A)</w:t>
            </w:r>
          </w:p>
        </w:tc>
      </w:tr>
      <w:tr>
        <w:trPr>
          <w:trHeight w:val="216"/>
        </w:trPr>
        <w:tc>
          <w:tcPr>
            <w:tcW w:w="9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Property Unit</w:t>
            </w: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5.09(A)</w:t>
            </w:r>
          </w:p>
        </w:tc>
      </w:tr>
      <w:tr>
        <w:trPr>
          <w:trHeight w:val="216"/>
        </w:trPr>
        <w:tc>
          <w:tcPr>
            <w:tcW w:w="9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2.06(B)</w:t>
            </w:r>
          </w:p>
        </w:tc>
      </w:tr>
      <w:tr>
        <w:trPr>
          <w:trHeight w:val="216"/>
        </w:trPr>
        <w:tc>
          <w:tcPr>
            <w:tcW w:w="9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Registrar</w:t>
            </w: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2.06(A)</w:t>
            </w:r>
          </w:p>
        </w:tc>
      </w:tr>
      <w:tr>
        <w:trPr>
          <w:trHeight w:val="216"/>
        </w:trPr>
        <w:tc>
          <w:tcPr>
            <w:tcW w:w="9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Taxing Jurisdiction</w:t>
            </w: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3.05(A)</w:t>
            </w:r>
          </w:p>
        </w:tc>
      </w:tr>
      <w:tr>
        <w:trPr>
          <w:trHeight w:val="216"/>
        </w:trPr>
        <w:tc>
          <w:tcPr>
            <w:tcW w:w="9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Reporting Event of Default</w:t>
            </w: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7.03(A)</w:t>
            </w:r>
          </w:p>
        </w:tc>
      </w:tr>
      <w:tr>
        <w:trPr>
          <w:trHeight w:val="216"/>
        </w:trPr>
        <w:tc>
          <w:tcPr>
            <w:tcW w:w="9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Courts</w:t>
            </w: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11.07</w:t>
            </w:r>
          </w:p>
        </w:tc>
      </w:tr>
      <w:tr>
        <w:trPr>
          <w:trHeight w:val="216"/>
        </w:trPr>
        <w:tc>
          <w:tcPr>
            <w:tcW w:w="9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Spin-Off</w:t>
            </w: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5.05(A)(iii)(2)</w:t>
            </w:r>
          </w:p>
        </w:tc>
      </w:tr>
      <w:tr>
        <w:trPr>
          <w:trHeight w:val="216"/>
        </w:trPr>
        <w:tc>
          <w:tcPr>
            <w:tcW w:w="9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Spin-Off Valuation Period</w:t>
            </w: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5.05(A)(iii)(2)</w:t>
            </w:r>
          </w:p>
        </w:tc>
      </w:tr>
      <w:tr>
        <w:trPr>
          <w:trHeight w:val="216"/>
        </w:trPr>
        <w:tc>
          <w:tcPr>
            <w:tcW w:w="9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Stated Interest</w:t>
            </w: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2.05(A)</w:t>
            </w:r>
          </w:p>
        </w:tc>
      </w:tr>
      <w:tr>
        <w:trPr>
          <w:trHeight w:val="216"/>
        </w:trPr>
        <w:tc>
          <w:tcPr>
            <w:tcW w:w="9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 Entity</w:t>
            </w: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6.01(A)</w:t>
            </w:r>
          </w:p>
        </w:tc>
      </w:tr>
      <w:tr>
        <w:trPr>
          <w:trHeight w:val="216"/>
        </w:trPr>
        <w:tc>
          <w:tcPr>
            <w:tcW w:w="9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 Person</w:t>
            </w: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5.09(A)</w:t>
            </w:r>
          </w:p>
        </w:tc>
      </w:tr>
      <w:tr>
        <w:trPr>
          <w:trHeight w:val="216"/>
        </w:trPr>
        <w:tc>
          <w:tcPr>
            <w:tcW w:w="9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Redemption Opt-Out Election</w:t>
            </w: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4.03(C)(ii)</w:t>
            </w:r>
          </w:p>
        </w:tc>
      </w:tr>
      <w:tr>
        <w:trPr>
          <w:trHeight w:val="216"/>
        </w:trPr>
        <w:tc>
          <w:tcPr>
            <w:tcW w:w="9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Redemption Opt-Out Election Notice</w:t>
            </w: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4.03(C)(ii)(1)</w:t>
            </w:r>
          </w:p>
        </w:tc>
      </w:tr>
      <w:tr>
        <w:trPr>
          <w:trHeight w:val="216"/>
        </w:trPr>
        <w:tc>
          <w:tcPr>
            <w:tcW w:w="9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Tender/Exchange Offer Valuation Period</w:t>
            </w: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5.05(A)(v)</w:t>
            </w:r>
          </w:p>
        </w:tc>
      </w:tr>
      <w:tr>
        <w:trPr>
          <w:trHeight w:val="238"/>
        </w:trPr>
        <w:tc>
          <w:tcPr>
            <w:tcW w:w="9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Price Condition</w:t>
            </w: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5.01(C)(i)(2)</w:t>
            </w:r>
          </w:p>
        </w:tc>
      </w:tr>
    </w:tbl>
    <w:p>
      <w:pPr>
        <w:spacing w:after="0" w:line="171"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1.03.</w:t>
        <w:tab/>
        <w:t>R</w:t>
      </w:r>
      <w:r>
        <w:rPr>
          <w:rFonts w:ascii="Times New Roman" w:cs="Times New Roman" w:eastAsia="Times New Roman" w:hAnsi="Times New Roman"/>
          <w:sz w:val="12"/>
          <w:szCs w:val="12"/>
          <w:b w:val="1"/>
          <w:bCs w:val="1"/>
          <w:color w:val="auto"/>
        </w:rPr>
        <w:t>ules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onstruction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this Indenture:</w:t>
      </w:r>
    </w:p>
    <w:p>
      <w:pPr>
        <w:spacing w:after="0" w:line="225" w:lineRule="exact"/>
        <w:rPr>
          <w:sz w:val="20"/>
          <w:szCs w:val="20"/>
          <w:color w:val="auto"/>
        </w:rPr>
      </w:pPr>
    </w:p>
    <w:p>
      <w:pPr>
        <w:ind w:left="1320" w:hanging="664"/>
        <w:spacing w:after="0"/>
        <w:tabs>
          <w:tab w:leader="none" w:pos="1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is not exclusive;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means “including without limitation”;</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expresses a command;</w:t>
      </w:r>
    </w:p>
    <w:p>
      <w:pPr>
        <w:spacing w:after="0" w:line="22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of a set of numerical values refers to the arithmetic average of such numerical values;</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41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involving, or a transfer of assets by, a limited liability company, limited partnership or trust will be deemed to include any division of or by, or an allocation of assets to a series of, such limited liability company, limited partnership or trust, or any unwinding of any such division or allocation;</w:t>
      </w:r>
    </w:p>
    <w:p>
      <w:pPr>
        <w:spacing w:after="0" w:line="346"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ind w:left="1320" w:hanging="664"/>
        <w:spacing w:after="0"/>
        <w:tabs>
          <w:tab w:leader="none" w:pos="1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in the singular include the plural and in the plural include the singular, unless the context requires otherwise;</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33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“herein,” “hereof” and other words of similar import refer to this Indenture as a whole and not to any particular Article, Section or other subdivision of this Indenture, unless the context requires otherwise;</w:t>
      </w:r>
    </w:p>
    <w:p>
      <w:pPr>
        <w:spacing w:after="0" w:line="161"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currency mean the lawful currency of the United States of America, unless the context requires otherwise;</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schedules and other attachments to this Indenture are deemed to form part of this Indenture; and</w:t>
      </w:r>
    </w:p>
    <w:p>
      <w:pPr>
        <w:spacing w:after="0" w:line="221" w:lineRule="exact"/>
        <w:rPr>
          <w:rFonts w:ascii="Times New Roman" w:cs="Times New Roman" w:eastAsia="Times New Roman" w:hAnsi="Times New Roman"/>
          <w:sz w:val="18"/>
          <w:szCs w:val="18"/>
          <w:color w:val="auto"/>
        </w:rPr>
      </w:pPr>
    </w:p>
    <w:p>
      <w:pPr>
        <w:ind w:firstLine="656"/>
        <w:spacing w:after="0" w:line="286" w:lineRule="auto"/>
        <w:tabs>
          <w:tab w:leader="none" w:pos="151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interest</w:t>
      </w:r>
      <w:r>
        <w:rPr>
          <w:rFonts w:ascii="Times New Roman" w:cs="Times New Roman" w:eastAsia="Times New Roman" w:hAnsi="Times New Roman"/>
          <w:sz w:val="18"/>
          <w:szCs w:val="18"/>
          <w:color w:val="auto"/>
        </w:rPr>
        <w:t>,” when used with respect to a Note, includes any Default Interest, Additional Interest (including, if applicable, Deferred Additional Interest and interest on such Deferred Additional Interest) and Special Interest, unless the context requires otherwise.</w:t>
      </w:r>
    </w:p>
    <w:p>
      <w:pPr>
        <w:spacing w:after="0" w:line="155" w:lineRule="exact"/>
        <w:rPr>
          <w:sz w:val="20"/>
          <w:szCs w:val="20"/>
          <w:color w:val="auto"/>
        </w:rPr>
      </w:pPr>
    </w:p>
    <w:p>
      <w:pPr>
        <w:ind w:left="4520"/>
        <w:spacing w:after="0"/>
        <w:tabs>
          <w:tab w:leader="none" w:pos="5660" w:val="left"/>
        </w:tabs>
        <w:rPr>
          <w:sz w:val="20"/>
          <w:szCs w:val="20"/>
          <w:color w:val="auto"/>
        </w:rPr>
      </w:pPr>
      <w:r>
        <w:rPr>
          <w:rFonts w:ascii="Times New Roman" w:cs="Times New Roman" w:eastAsia="Times New Roman" w:hAnsi="Times New Roman"/>
          <w:sz w:val="18"/>
          <w:szCs w:val="18"/>
          <w:b w:val="1"/>
          <w:bCs w:val="1"/>
          <w:color w:val="auto"/>
        </w:rPr>
        <w:t>Article 2.</w:t>
      </w:r>
      <w:r>
        <w:rPr>
          <w:sz w:val="20"/>
          <w:szCs w:val="20"/>
          <w:color w:val="auto"/>
        </w:rPr>
        <w:tab/>
      </w:r>
      <w:r>
        <w:rPr>
          <w:rFonts w:ascii="Times New Roman" w:cs="Times New Roman" w:eastAsia="Times New Roman" w:hAnsi="Times New Roman"/>
          <w:sz w:val="18"/>
          <w:szCs w:val="18"/>
          <w:b w:val="1"/>
          <w:bCs w:val="1"/>
          <w:color w:val="auto"/>
        </w:rPr>
        <w:t>THE NOTES</w:t>
      </w:r>
    </w:p>
    <w:p>
      <w:pPr>
        <w:spacing w:after="0" w:line="22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2.01.</w:t>
        <w:tab/>
        <w:t>F</w:t>
      </w:r>
      <w:r>
        <w:rPr>
          <w:rFonts w:ascii="Times New Roman" w:cs="Times New Roman" w:eastAsia="Times New Roman" w:hAnsi="Times New Roman"/>
          <w:sz w:val="12"/>
          <w:szCs w:val="12"/>
          <w:b w:val="1"/>
          <w:bCs w:val="1"/>
          <w:color w:val="auto"/>
        </w:rPr>
        <w:t>orm</w:t>
      </w:r>
      <w:r>
        <w:rPr>
          <w:rFonts w:ascii="Times New Roman" w:cs="Times New Roman" w:eastAsia="Times New Roman" w:hAnsi="Times New Roman"/>
          <w:sz w:val="18"/>
          <w:szCs w:val="18"/>
          <w:b w:val="1"/>
          <w:bCs w:val="1"/>
          <w:color w:val="auto"/>
        </w:rPr>
        <w:t>, D</w:t>
      </w:r>
      <w:r>
        <w:rPr>
          <w:rFonts w:ascii="Times New Roman" w:cs="Times New Roman" w:eastAsia="Times New Roman" w:hAnsi="Times New Roman"/>
          <w:sz w:val="12"/>
          <w:szCs w:val="12"/>
          <w:b w:val="1"/>
          <w:bCs w:val="1"/>
          <w:color w:val="auto"/>
        </w:rPr>
        <w:t>ating and</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enominations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The Notes and the Trustee’s certificate of authentication will be substantially in the form set forth in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The Notes will bear the legends required by </w:t>
      </w:r>
      <w:r>
        <w:rPr>
          <w:rFonts w:ascii="Times New Roman" w:cs="Times New Roman" w:eastAsia="Times New Roman" w:hAnsi="Times New Roman"/>
          <w:sz w:val="18"/>
          <w:szCs w:val="18"/>
          <w:b w:val="1"/>
          <w:bCs w:val="1"/>
          <w:color w:val="auto"/>
        </w:rPr>
        <w:t>Section 2.09</w:t>
      </w:r>
      <w:r>
        <w:rPr>
          <w:rFonts w:ascii="Times New Roman" w:cs="Times New Roman" w:eastAsia="Times New Roman" w:hAnsi="Times New Roman"/>
          <w:sz w:val="18"/>
          <w:szCs w:val="18"/>
          <w:color w:val="auto"/>
        </w:rPr>
        <w:t xml:space="preserve"> and may bear notations, legends or endorsements required by law, stock exchange rule or usage or the Depositary. Each Note will be dated as of the date of its authentication.</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Except to the extent otherwise provided in a Company Order delivered to the Trustee in connection with the issuance and authentication thereof, the Notes will be issued initially in the form of one or more Global Notes. Global Notes may be exchanged for Physical Notes, and Physical Notes may be exchanged for Global Notes, only as provided in </w:t>
      </w:r>
      <w:r>
        <w:rPr>
          <w:rFonts w:ascii="Times New Roman" w:cs="Times New Roman" w:eastAsia="Times New Roman" w:hAnsi="Times New Roman"/>
          <w:sz w:val="18"/>
          <w:szCs w:val="18"/>
          <w:b w:val="1"/>
          <w:bCs w:val="1"/>
          <w:color w:val="auto"/>
        </w:rPr>
        <w:t>Section 2.10</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Notes will be issuable only in registered form without interest coupons and only in Authorized Denominations.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Each certificate representing a Note will bear a unique registration number that is not affixed to any other certificate representing another outstanding Note.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terms contained in the Notes constitute part of this Indenture, and, to the extent applicable, the Company and the Trustee, by their execution and delivery of this Indenture, agree to such terms and to be bound thereby;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to the extent that any provision of any Note conflicts with the provisions of this Indenture, the provisions of this Indenture will control for purposes of this Indenture and such Note.</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2.02.</w:t>
        <w:tab/>
        <w:t>E</w:t>
      </w:r>
      <w:r>
        <w:rPr>
          <w:rFonts w:ascii="Times New Roman" w:cs="Times New Roman" w:eastAsia="Times New Roman" w:hAnsi="Times New Roman"/>
          <w:sz w:val="12"/>
          <w:szCs w:val="12"/>
          <w:b w:val="1"/>
          <w:bCs w:val="1"/>
          <w:color w:val="auto"/>
        </w:rPr>
        <w:t>xecution</w:t>
      </w:r>
      <w:r>
        <w:rPr>
          <w:rFonts w:ascii="Times New Roman" w:cs="Times New Roman" w:eastAsia="Times New Roman" w:hAnsi="Times New Roman"/>
          <w:sz w:val="18"/>
          <w:szCs w:val="18"/>
          <w:b w:val="1"/>
          <w:bCs w:val="1"/>
          <w:color w:val="auto"/>
        </w:rPr>
        <w:t>, A</w:t>
      </w:r>
      <w:r>
        <w:rPr>
          <w:rFonts w:ascii="Times New Roman" w:cs="Times New Roman" w:eastAsia="Times New Roman" w:hAnsi="Times New Roman"/>
          <w:sz w:val="12"/>
          <w:szCs w:val="12"/>
          <w:b w:val="1"/>
          <w:bCs w:val="1"/>
          <w:color w:val="auto"/>
        </w:rPr>
        <w:t>uthentication and</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elivery</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jc w:val="both"/>
        <w:ind w:firstLine="656"/>
        <w:spacing w:after="0" w:line="267" w:lineRule="auto"/>
        <w:tabs>
          <w:tab w:leader="none" w:pos="136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Due Execution by the Company</w:t>
      </w:r>
      <w:r>
        <w:rPr>
          <w:rFonts w:ascii="Times New Roman" w:cs="Times New Roman" w:eastAsia="Times New Roman" w:hAnsi="Times New Roman"/>
          <w:sz w:val="18"/>
          <w:szCs w:val="18"/>
          <w:color w:val="auto"/>
        </w:rPr>
        <w:t>. At least one (1) duly authorized Officer will sign the Notes on behalf of the Company by manual,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electronic or facsimile signature. A Note’s validity will not be affected by the failure of any Officer whose signature is on any Note to hold, at the time such Note is authenticated, the same or any other office at the Company.</w:t>
      </w:r>
    </w:p>
    <w:p>
      <w:pPr>
        <w:spacing w:after="0" w:line="17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Authentication by the Trustee and Delivery</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660" w:firstLine="644"/>
        <w:spacing w:after="0" w:line="282" w:lineRule="auto"/>
        <w:tabs>
          <w:tab w:leader="none" w:pos="197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Note will be valid until it is authenticated by the Trustee. A Note will be deemed to be duly authenticated only when an authorized signatory of the Trustee (or a duly appointed authenticating agent) manually signs the certificate of authentication of such Note.</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99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will cause an authorized signatory of the Trustee (or a duly appointed authenticating agent) to manually sign the certificate of authentication of a Note only if (1) the Company delivers such Note to the Trustee; (2) such Note is executed by the Company in accordance with </w:t>
      </w:r>
      <w:r>
        <w:rPr>
          <w:rFonts w:ascii="Times New Roman" w:cs="Times New Roman" w:eastAsia="Times New Roman" w:hAnsi="Times New Roman"/>
          <w:sz w:val="18"/>
          <w:szCs w:val="18"/>
          <w:b w:val="1"/>
          <w:bCs w:val="1"/>
          <w:color w:val="auto"/>
        </w:rPr>
        <w:t>Section 2.02(A)</w:t>
      </w:r>
      <w:r>
        <w:rPr>
          <w:rFonts w:ascii="Times New Roman" w:cs="Times New Roman" w:eastAsia="Times New Roman" w:hAnsi="Times New Roman"/>
          <w:sz w:val="18"/>
          <w:szCs w:val="18"/>
          <w:color w:val="auto"/>
        </w:rPr>
        <w:t>; and (3) the Company delivers a Company Order to the Trustee that (a) requests the Trustee to authenticate such Note; and (b) sets forth the name of the Holder of such Note and the date as of which such Note is to be authenticated. If such Company Order also requests the Trustee to deliver such Note to any Holder or to the Depositary, then the Trustee will promptly deliver such Note in accordance with such Company Order.</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223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appoint an authenticating agent acceptable to the Company to authenticate Notes. A duly appointed authenticating agent may authenticate Notes whenever the Trustee may do so under this Indenture, and a Note authenticated as provided in this Indenture by such an agent will be deemed, for purposes of this Indenture, to be authenticated by the Trustee. Each duly appointed authenticating agent will have the same rights to deal with the Company as the Trustee would have if it were performing the duties that the authenticating agent was validly appointed to undertake.</w:t>
      </w:r>
    </w:p>
    <w:p>
      <w:pPr>
        <w:spacing w:after="0" w:line="17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2.03.</w:t>
        <w:tab/>
        <w:t>I</w:t>
      </w:r>
      <w:r>
        <w:rPr>
          <w:rFonts w:ascii="Times New Roman" w:cs="Times New Roman" w:eastAsia="Times New Roman" w:hAnsi="Times New Roman"/>
          <w:sz w:val="12"/>
          <w:szCs w:val="12"/>
          <w:b w:val="1"/>
          <w:bCs w:val="1"/>
          <w:color w:val="auto"/>
        </w:rPr>
        <w:t>nitial</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otes and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dditional</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otes</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jc w:val="both"/>
        <w:ind w:firstLine="656"/>
        <w:spacing w:after="0" w:line="267" w:lineRule="auto"/>
        <w:tabs>
          <w:tab w:leader="none" w:pos="125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Initial Notes</w:t>
      </w:r>
      <w:r>
        <w:rPr>
          <w:rFonts w:ascii="Times New Roman" w:cs="Times New Roman" w:eastAsia="Times New Roman" w:hAnsi="Times New Roman"/>
          <w:sz w:val="18"/>
          <w:szCs w:val="18"/>
          <w:color w:val="auto"/>
        </w:rPr>
        <w:t>. On the Issue Date, there will be originally issued three billion dollars ($3,000,000,000) aggregate principal amount of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subject to the provisions of this Indenture (including </w:t>
      </w:r>
      <w:r>
        <w:rPr>
          <w:rFonts w:ascii="Times New Roman" w:cs="Times New Roman" w:eastAsia="Times New Roman" w:hAnsi="Times New Roman"/>
          <w:sz w:val="18"/>
          <w:szCs w:val="18"/>
          <w:b w:val="1"/>
          <w:bCs w:val="1"/>
          <w:color w:val="auto"/>
        </w:rPr>
        <w:t>Section 2.02</w:t>
      </w:r>
      <w:r>
        <w:rPr>
          <w:rFonts w:ascii="Times New Roman" w:cs="Times New Roman" w:eastAsia="Times New Roman" w:hAnsi="Times New Roman"/>
          <w:sz w:val="18"/>
          <w:szCs w:val="18"/>
          <w:color w:val="auto"/>
        </w:rPr>
        <w:t xml:space="preserve">). Notes issued pursuant to this </w:t>
      </w:r>
      <w:r>
        <w:rPr>
          <w:rFonts w:ascii="Times New Roman" w:cs="Times New Roman" w:eastAsia="Times New Roman" w:hAnsi="Times New Roman"/>
          <w:sz w:val="18"/>
          <w:szCs w:val="18"/>
          <w:b w:val="1"/>
          <w:bCs w:val="1"/>
          <w:color w:val="auto"/>
        </w:rPr>
        <w:t>Section 2.03(A)</w:t>
      </w:r>
      <w:r>
        <w:rPr>
          <w:rFonts w:ascii="Times New Roman" w:cs="Times New Roman" w:eastAsia="Times New Roman" w:hAnsi="Times New Roman"/>
          <w:sz w:val="18"/>
          <w:szCs w:val="18"/>
          <w:color w:val="auto"/>
        </w:rPr>
        <w:t>, and any Notes issued in exchange therefor or in substitution thereof, are referred to in this Indenture as the “</w:t>
      </w:r>
      <w:r>
        <w:rPr>
          <w:rFonts w:ascii="Times New Roman" w:cs="Times New Roman" w:eastAsia="Times New Roman" w:hAnsi="Times New Roman"/>
          <w:sz w:val="18"/>
          <w:szCs w:val="18"/>
          <w:b w:val="1"/>
          <w:bCs w:val="1"/>
          <w:color w:val="auto"/>
        </w:rPr>
        <w:t>Initial Notes</w:t>
      </w:r>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jc w:val="both"/>
        <w:ind w:firstLine="656"/>
        <w:spacing w:after="0" w:line="255" w:lineRule="auto"/>
        <w:tabs>
          <w:tab w:leader="none" w:pos="134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Additional Notes</w:t>
      </w:r>
      <w:r>
        <w:rPr>
          <w:rFonts w:ascii="Times New Roman" w:cs="Times New Roman" w:eastAsia="Times New Roman" w:hAnsi="Times New Roman"/>
          <w:sz w:val="18"/>
          <w:szCs w:val="18"/>
          <w:color w:val="auto"/>
        </w:rPr>
        <w:t>. Without the consent of any Holder, the Company may, subject to the provisions of this Indenture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2.02</w:t>
      </w:r>
      <w:r>
        <w:rPr>
          <w:rFonts w:ascii="Times New Roman" w:cs="Times New Roman" w:eastAsia="Times New Roman" w:hAnsi="Times New Roman"/>
          <w:sz w:val="18"/>
          <w:szCs w:val="18"/>
          <w:color w:val="auto"/>
        </w:rPr>
        <w:t>), originally issue additional Notes with the same terms as the Initial Notes (except, to the extent applicable, with respect to the date as of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interest begins to accrue on such additional Notes and the first Interest Payment Date for, and the Last Original Issue Date of, such additional Notes), which additional Notes will, subject to the foregoing, be considered to be part of the same series of, and rank equally and ratably with all other, Notes issued under this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any such additional Notes (and any Notes that are resold after such Notes have been purchased or otherwise acquired by the Company or its Subsidiaries) are not fungible with other Notes issued under this Indenture for purposes of federal income tax or federal securities laws or, if applicable, the Depositary Procedures, then such additional or resold Notes will be identified by a separate CUSIP number or by no CUSIP number.</w:t>
      </w:r>
    </w:p>
    <w:p>
      <w:pPr>
        <w:spacing w:after="0" w:line="359"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2.04.</w:t>
        <w:tab/>
        <w:t>M</w:t>
      </w:r>
      <w:r>
        <w:rPr>
          <w:rFonts w:ascii="Times New Roman" w:cs="Times New Roman" w:eastAsia="Times New Roman" w:hAnsi="Times New Roman"/>
          <w:sz w:val="12"/>
          <w:szCs w:val="12"/>
          <w:b w:val="1"/>
          <w:bCs w:val="1"/>
          <w:color w:val="auto"/>
        </w:rPr>
        <w:t>ethod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ayment</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jc w:val="both"/>
        <w:ind w:firstLine="656"/>
        <w:spacing w:after="0" w:line="261" w:lineRule="auto"/>
        <w:tabs>
          <w:tab w:leader="none" w:pos="129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Global Notes</w:t>
      </w:r>
      <w:r>
        <w:rPr>
          <w:rFonts w:ascii="Times New Roman" w:cs="Times New Roman" w:eastAsia="Times New Roman" w:hAnsi="Times New Roman"/>
          <w:sz w:val="18"/>
          <w:szCs w:val="18"/>
          <w:color w:val="auto"/>
        </w:rPr>
        <w:t>. The Company will pay, or cause the Paying Agent to pay, the principal (whether due upon maturity on the Maturity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Redemption on a Redemption Date or repurchase on a Fundamental Change Repurchase Date or otherwise) of, interest on, and any cash Conversion Consideration for, any Global Note to the Depositary by wire transfer of immediately available funds no later than the time the same is due as provided in this Indenture.</w:t>
      </w:r>
    </w:p>
    <w:p>
      <w:pPr>
        <w:spacing w:after="0" w:line="179" w:lineRule="exact"/>
        <w:rPr>
          <w:rFonts w:ascii="Times New Roman" w:cs="Times New Roman" w:eastAsia="Times New Roman" w:hAnsi="Times New Roman"/>
          <w:sz w:val="18"/>
          <w:szCs w:val="18"/>
          <w:color w:val="auto"/>
        </w:rPr>
      </w:pPr>
    </w:p>
    <w:p>
      <w:pPr>
        <w:jc w:val="both"/>
        <w:ind w:firstLine="656"/>
        <w:spacing w:after="0" w:line="253" w:lineRule="auto"/>
        <w:tabs>
          <w:tab w:leader="none" w:pos="129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Physical Notes</w:t>
      </w:r>
      <w:r>
        <w:rPr>
          <w:rFonts w:ascii="Times New Roman" w:cs="Times New Roman" w:eastAsia="Times New Roman" w:hAnsi="Times New Roman"/>
          <w:sz w:val="18"/>
          <w:szCs w:val="18"/>
          <w:color w:val="auto"/>
        </w:rPr>
        <w:t>. The Company will pay, or cause the Paying Agent to pay, the principal (whether due upon maturity on the Maturity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Redemption on a Redemption Date or repurchase on a Fundamental Change Repurchase Date or otherwise) of, interest on, and any cash Conversion Consideration for, any Physical Note no later than the time the same is due as provided in this Indenture as follows: (i) if the principal amount of such Physical Note is at least five million dollars ($5,000,000) (or such lower amount as the Company may choose in its sole and absolute discretion) and the Holder of such Physical Note entitled to such payment has delivered to the Paying Agent or the Trustee, no later than the time set forth in the immediately following sentence, a written request that the Company make such payment by wire transfer to an account of such Holder within the United States, by wire transfer of immediately available funds to such account; and (ii) in all other cases, by check mailed to the address of the Holder of such Physical Note entitled to such payment as set forth in the Register. To be timely, such written request must be so delivered no later than the Close of Business on the following date: (x) with respect to the payment of any interest due on an Interest Payment Date, the immediately preceding Regular Record Date; (y) with respect to any cash Conversion Consideration, the relevant Conversion Date; and (z) with respect to any other payment, the date that is fifteen (15) calendar days immediately before the date such payment is due.</w:t>
      </w:r>
    </w:p>
    <w:p>
      <w:pPr>
        <w:spacing w:after="0" w:line="190"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2.05.</w:t>
        <w:tab/>
        <w:t>A</w:t>
      </w:r>
      <w:r>
        <w:rPr>
          <w:rFonts w:ascii="Times New Roman" w:cs="Times New Roman" w:eastAsia="Times New Roman" w:hAnsi="Times New Roman"/>
          <w:sz w:val="12"/>
          <w:szCs w:val="12"/>
          <w:b w:val="1"/>
          <w:bCs w:val="1"/>
          <w:color w:val="auto"/>
        </w:rPr>
        <w:t>ccrual of</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nterest</w:t>
      </w:r>
      <w:r>
        <w:rPr>
          <w:rFonts w:ascii="Times New Roman" w:cs="Times New Roman" w:eastAsia="Times New Roman" w:hAnsi="Times New Roman"/>
          <w:sz w:val="18"/>
          <w:szCs w:val="18"/>
          <w:b w:val="1"/>
          <w:bCs w:val="1"/>
          <w:color w:val="auto"/>
        </w:rPr>
        <w:t>; D</w:t>
      </w:r>
      <w:r>
        <w:rPr>
          <w:rFonts w:ascii="Times New Roman" w:cs="Times New Roman" w:eastAsia="Times New Roman" w:hAnsi="Times New Roman"/>
          <w:sz w:val="12"/>
          <w:szCs w:val="12"/>
          <w:b w:val="1"/>
          <w:bCs w:val="1"/>
          <w:color w:val="auto"/>
        </w:rPr>
        <w:t>efaulted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mounts</w:t>
      </w:r>
      <w:r>
        <w:rPr>
          <w:rFonts w:ascii="Times New Roman" w:cs="Times New Roman" w:eastAsia="Times New Roman" w:hAnsi="Times New Roman"/>
          <w:sz w:val="18"/>
          <w:szCs w:val="18"/>
          <w:b w:val="1"/>
          <w:bCs w:val="1"/>
          <w:color w:val="auto"/>
        </w:rPr>
        <w:t>; W</w:t>
      </w:r>
      <w:r>
        <w:rPr>
          <w:rFonts w:ascii="Times New Roman" w:cs="Times New Roman" w:eastAsia="Times New Roman" w:hAnsi="Times New Roman"/>
          <w:sz w:val="12"/>
          <w:szCs w:val="12"/>
          <w:b w:val="1"/>
          <w:bCs w:val="1"/>
          <w:color w:val="auto"/>
        </w:rPr>
        <w:t>hen</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ayment</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ate is</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ot a</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usiness</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ay</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656"/>
        <w:spacing w:after="0" w:line="254" w:lineRule="auto"/>
        <w:tabs>
          <w:tab w:leader="none" w:pos="128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Accrual of Interest. </w:t>
      </w:r>
      <w:r>
        <w:rPr>
          <w:rFonts w:ascii="Times New Roman" w:cs="Times New Roman" w:eastAsia="Times New Roman" w:hAnsi="Times New Roman"/>
          <w:sz w:val="18"/>
          <w:szCs w:val="18"/>
          <w:color w:val="auto"/>
        </w:rPr>
        <w:t>Each Note will accrue interest at a rate per annum equal to 1.00% (the “</w:t>
      </w:r>
      <w:r>
        <w:rPr>
          <w:rFonts w:ascii="Times New Roman" w:cs="Times New Roman" w:eastAsia="Times New Roman" w:hAnsi="Times New Roman"/>
          <w:sz w:val="18"/>
          <w:szCs w:val="18"/>
          <w:b w:val="1"/>
          <w:bCs w:val="1"/>
          <w:color w:val="auto"/>
        </w:rPr>
        <w:t>Stated Interest</w:t>
      </w:r>
      <w:r>
        <w:rPr>
          <w:rFonts w:ascii="Times New Roman" w:cs="Times New Roman" w:eastAsia="Times New Roman" w:hAnsi="Times New Roman"/>
          <w:sz w:val="18"/>
          <w:szCs w:val="18"/>
          <w:color w:val="auto"/>
        </w:rPr>
        <w:t>”), plus any Default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Additional Interest and Special Interest that may accrue pursuant to </w:t>
      </w:r>
      <w:r>
        <w:rPr>
          <w:rFonts w:ascii="Times New Roman" w:cs="Times New Roman" w:eastAsia="Times New Roman" w:hAnsi="Times New Roman"/>
          <w:sz w:val="18"/>
          <w:szCs w:val="18"/>
          <w:b w:val="1"/>
          <w:bCs w:val="1"/>
          <w:color w:val="auto"/>
        </w:rPr>
        <w:t>Sections 2.05(B)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3.04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7.03</w:t>
      </w:r>
      <w:r>
        <w:rPr>
          <w:rFonts w:ascii="Times New Roman" w:cs="Times New Roman" w:eastAsia="Times New Roman" w:hAnsi="Times New Roman"/>
          <w:sz w:val="18"/>
          <w:szCs w:val="18"/>
          <w:color w:val="auto"/>
        </w:rPr>
        <w:t xml:space="preserve">, respectively. Stated Interest on each Note will (i) accrue from, and including, the most recent date to which Stated Interest has been paid or duly provided for (or, if no Stated Interest has theretofore been paid or duly provided for, the date set forth in the certificate representing such Note as the date from, and including, which Stated Interest will begin to accrue in such circumstance) to, but excluding, the date of payment of such Stated Interest; and (ii) be, subject to </w:t>
      </w:r>
      <w:r>
        <w:rPr>
          <w:rFonts w:ascii="Times New Roman" w:cs="Times New Roman" w:eastAsia="Times New Roman" w:hAnsi="Times New Roman"/>
          <w:sz w:val="18"/>
          <w:szCs w:val="18"/>
          <w:b w:val="1"/>
          <w:bCs w:val="1"/>
          <w:color w:val="auto"/>
        </w:rPr>
        <w:t>Sections 4.02(D)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4.03(F)</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5.02(D)</w:t>
      </w:r>
      <w:r>
        <w:rPr>
          <w:rFonts w:ascii="Times New Roman" w:cs="Times New Roman" w:eastAsia="Times New Roman" w:hAnsi="Times New Roman"/>
          <w:sz w:val="18"/>
          <w:szCs w:val="18"/>
          <w:color w:val="auto"/>
        </w:rPr>
        <w:t xml:space="preserve"> (but without duplication of any payment of interest), payable semi-annually in arrears on each Interest Payment Date, beginning on the first Interest Payment Date set forth in the certificate representing such Note, to the Holder of such Note as of the Close of Business on the immediately preceding Regular Record Date. Stated Interest, and, if applicable, Additional Interest and Special Interest, on the Notes will be computed on the basis of a 360-day year comprised of twelve 30-day months.</w:t>
      </w:r>
    </w:p>
    <w:p>
      <w:pPr>
        <w:spacing w:after="0" w:line="363"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jc w:val="both"/>
        <w:ind w:firstLine="656"/>
        <w:spacing w:after="0" w:line="253" w:lineRule="auto"/>
        <w:tabs>
          <w:tab w:leader="none" w:pos="139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Defaulted Amounts</w:t>
      </w:r>
      <w:r>
        <w:rPr>
          <w:rFonts w:ascii="Times New Roman" w:cs="Times New Roman" w:eastAsia="Times New Roman" w:hAnsi="Times New Roman"/>
          <w:sz w:val="18"/>
          <w:szCs w:val="18"/>
          <w:color w:val="auto"/>
        </w:rPr>
        <w:t>. If the Company fails to pay any amount (a “</w:t>
      </w:r>
      <w:r>
        <w:rPr>
          <w:rFonts w:ascii="Times New Roman" w:cs="Times New Roman" w:eastAsia="Times New Roman" w:hAnsi="Times New Roman"/>
          <w:sz w:val="18"/>
          <w:szCs w:val="18"/>
          <w:b w:val="1"/>
          <w:bCs w:val="1"/>
          <w:color w:val="auto"/>
        </w:rPr>
        <w:t>Defaulted Amount</w:t>
      </w:r>
      <w:r>
        <w:rPr>
          <w:rFonts w:ascii="Times New Roman" w:cs="Times New Roman" w:eastAsia="Times New Roman" w:hAnsi="Times New Roman"/>
          <w:sz w:val="18"/>
          <w:szCs w:val="18"/>
          <w:color w:val="auto"/>
        </w:rPr>
        <w:t>”) payable on a Note on or before the due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therefor as provided in this Indenture, then, regardless of whether such failure constitutes an Event of Default, (i) such Defaulted Amount will forthwith cease to be payable to the Holder of such Note otherwise entitled to such payment; (ii) to the extent lawful, interest (“</w:t>
      </w:r>
      <w:r>
        <w:rPr>
          <w:rFonts w:ascii="Times New Roman" w:cs="Times New Roman" w:eastAsia="Times New Roman" w:hAnsi="Times New Roman"/>
          <w:sz w:val="18"/>
          <w:szCs w:val="18"/>
          <w:b w:val="1"/>
          <w:bCs w:val="1"/>
          <w:color w:val="auto"/>
        </w:rPr>
        <w:t>Default Interest</w:t>
      </w:r>
      <w:r>
        <w:rPr>
          <w:rFonts w:ascii="Times New Roman" w:cs="Times New Roman" w:eastAsia="Times New Roman" w:hAnsi="Times New Roman"/>
          <w:sz w:val="18"/>
          <w:szCs w:val="18"/>
          <w:color w:val="auto"/>
        </w:rPr>
        <w:t xml:space="preserve">”) will accrue on such Defaulted Amount at a rate per annum equal to the rate per annum at which Stated Interest accrues, from, and including, such due date to, but excluding, the date of payment of such Defaulted Amount and Default Interest; (iii) such Defaulted Amount and Default Interest will be paid on a payment date selected by the Company to the Holder of such Note as of the Close of Business on a special record date selected by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special record date must be no more than fifteen (15), nor less than ten (10), calendar days before such payment date; and (iv) at least fifteen (15) calendar days before such special record date, the Company will send notice to the Trustee and the Holders that states such special record date, such payment date and the amount of such Defaulted Amount and Default Interest to be paid on such payment date. For the avoidance of doubt, if any Defaulted Amounts, together with any required Default Interest, are paid to Holders in accordance with the terms of this Indenture prior to (x) the expiration of any applicable grace period with respect to the Default in the relevant payment set forth in </w:t>
      </w:r>
      <w:r>
        <w:rPr>
          <w:rFonts w:ascii="Times New Roman" w:cs="Times New Roman" w:eastAsia="Times New Roman" w:hAnsi="Times New Roman"/>
          <w:sz w:val="18"/>
          <w:szCs w:val="18"/>
          <w:b w:val="1"/>
          <w:bCs w:val="1"/>
          <w:color w:val="auto"/>
        </w:rPr>
        <w:t>Section 7.01(A)</w:t>
      </w:r>
      <w:r>
        <w:rPr>
          <w:rFonts w:ascii="Times New Roman" w:cs="Times New Roman" w:eastAsia="Times New Roman" w:hAnsi="Times New Roman"/>
          <w:sz w:val="18"/>
          <w:szCs w:val="18"/>
          <w:color w:val="auto"/>
        </w:rPr>
        <w:t xml:space="preserve">; or (y) if later, the delivery of any notice of acceleration pursuant to Section </w:t>
      </w:r>
      <w:r>
        <w:rPr>
          <w:rFonts w:ascii="Times New Roman" w:cs="Times New Roman" w:eastAsia="Times New Roman" w:hAnsi="Times New Roman"/>
          <w:sz w:val="18"/>
          <w:szCs w:val="18"/>
          <w:b w:val="1"/>
          <w:bCs w:val="1"/>
          <w:color w:val="auto"/>
        </w:rPr>
        <w:t>7.02(B)</w:t>
      </w:r>
      <w:r>
        <w:rPr>
          <w:rFonts w:ascii="Times New Roman" w:cs="Times New Roman" w:eastAsia="Times New Roman" w:hAnsi="Times New Roman"/>
          <w:sz w:val="18"/>
          <w:szCs w:val="18"/>
          <w:color w:val="auto"/>
        </w:rPr>
        <w:t xml:space="preserve"> with respect to the Event of Default relating to such Default in the relevant payment, such payment Default or Event of Default shall be deemed cured and the Notes shall not be subject to acceleration on account of such payment Default or Event of Default.</w:t>
      </w:r>
    </w:p>
    <w:p>
      <w:pPr>
        <w:spacing w:after="0" w:line="189" w:lineRule="exact"/>
        <w:rPr>
          <w:rFonts w:ascii="Times New Roman" w:cs="Times New Roman" w:eastAsia="Times New Roman" w:hAnsi="Times New Roman"/>
          <w:sz w:val="18"/>
          <w:szCs w:val="18"/>
          <w:color w:val="auto"/>
        </w:rPr>
      </w:pPr>
    </w:p>
    <w:p>
      <w:pPr>
        <w:jc w:val="both"/>
        <w:ind w:firstLine="656"/>
        <w:spacing w:after="0" w:line="258" w:lineRule="auto"/>
        <w:tabs>
          <w:tab w:leader="none" w:pos="129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Delay of Payment When Payment Date is Not a Business Day</w:t>
      </w:r>
      <w:r>
        <w:rPr>
          <w:rFonts w:ascii="Times New Roman" w:cs="Times New Roman" w:eastAsia="Times New Roman" w:hAnsi="Times New Roman"/>
          <w:sz w:val="18"/>
          <w:szCs w:val="18"/>
          <w:color w:val="auto"/>
        </w:rPr>
        <w:t>. If the due date for a payment on a Note as provided in this Indenture is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Business Day, then, notwithstanding anything to the contrary in this Indenture or the Notes, such payment may be made on the immediately following Business Day with the same force and effect as if such payment were made on such due date (and, for the avoidance of doubt, no interest will accrue on such payment as a result of the related delay). Solely for purposes of the immediately preceding sentence, a day on which the applicable place of payment is authorized or required by law or executive order to close or be closed will be deemed not to be a “Business Day.”</w:t>
      </w:r>
    </w:p>
    <w:p>
      <w:pPr>
        <w:spacing w:after="0" w:line="181"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2.06.</w:t>
        <w:tab/>
        <w:t>R</w:t>
      </w:r>
      <w:r>
        <w:rPr>
          <w:rFonts w:ascii="Times New Roman" w:cs="Times New Roman" w:eastAsia="Times New Roman" w:hAnsi="Times New Roman"/>
          <w:sz w:val="12"/>
          <w:szCs w:val="12"/>
          <w:b w:val="1"/>
          <w:bCs w:val="1"/>
          <w:color w:val="auto"/>
        </w:rPr>
        <w:t>egistrar</w:t>
      </w:r>
      <w:r>
        <w:rPr>
          <w:rFonts w:ascii="Times New Roman" w:cs="Times New Roman" w:eastAsia="Times New Roman" w:hAnsi="Times New Roman"/>
          <w:sz w:val="18"/>
          <w:szCs w:val="18"/>
          <w:b w:val="1"/>
          <w:bCs w:val="1"/>
          <w:color w:val="auto"/>
        </w:rPr>
        <w:t>, P</w:t>
      </w:r>
      <w:r>
        <w:rPr>
          <w:rFonts w:ascii="Times New Roman" w:cs="Times New Roman" w:eastAsia="Times New Roman" w:hAnsi="Times New Roman"/>
          <w:sz w:val="12"/>
          <w:szCs w:val="12"/>
          <w:b w:val="1"/>
          <w:bCs w:val="1"/>
          <w:color w:val="auto"/>
        </w:rPr>
        <w:t>aying</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gent and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onversion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gent</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jc w:val="both"/>
        <w:ind w:firstLine="656"/>
        <w:spacing w:after="0" w:line="255" w:lineRule="auto"/>
        <w:tabs>
          <w:tab w:leader="none" w:pos="140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The Company will maintain (i) an office or agency in the continental United States where Notes may be presented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of transfer or for exchange (the “</w:t>
      </w:r>
      <w:r>
        <w:rPr>
          <w:rFonts w:ascii="Times New Roman" w:cs="Times New Roman" w:eastAsia="Times New Roman" w:hAnsi="Times New Roman"/>
          <w:sz w:val="18"/>
          <w:szCs w:val="18"/>
          <w:b w:val="1"/>
          <w:bCs w:val="1"/>
          <w:color w:val="auto"/>
        </w:rPr>
        <w:t>Registrar</w:t>
      </w:r>
      <w:r>
        <w:rPr>
          <w:rFonts w:ascii="Times New Roman" w:cs="Times New Roman" w:eastAsia="Times New Roman" w:hAnsi="Times New Roman"/>
          <w:sz w:val="18"/>
          <w:szCs w:val="18"/>
          <w:color w:val="auto"/>
        </w:rPr>
        <w:t>”); (ii) an office or agency in the continental United States where Notes may be presented for payment (the “</w:t>
      </w:r>
      <w:r>
        <w:rPr>
          <w:rFonts w:ascii="Times New Roman" w:cs="Times New Roman" w:eastAsia="Times New Roman" w:hAnsi="Times New Roman"/>
          <w:sz w:val="18"/>
          <w:szCs w:val="18"/>
          <w:b w:val="1"/>
          <w:bCs w:val="1"/>
          <w:color w:val="auto"/>
        </w:rPr>
        <w:t>Paying Agent</w:t>
      </w:r>
      <w:r>
        <w:rPr>
          <w:rFonts w:ascii="Times New Roman" w:cs="Times New Roman" w:eastAsia="Times New Roman" w:hAnsi="Times New Roman"/>
          <w:sz w:val="18"/>
          <w:szCs w:val="18"/>
          <w:color w:val="auto"/>
        </w:rPr>
        <w:t>”); and (iii) an office or agency in the continental United States where Notes may be presented for Conversion (the “</w:t>
      </w:r>
      <w:r>
        <w:rPr>
          <w:rFonts w:ascii="Times New Roman" w:cs="Times New Roman" w:eastAsia="Times New Roman" w:hAnsi="Times New Roman"/>
          <w:sz w:val="18"/>
          <w:szCs w:val="18"/>
          <w:b w:val="1"/>
          <w:bCs w:val="1"/>
          <w:color w:val="auto"/>
        </w:rPr>
        <w:t>Conversion Agent</w:t>
      </w:r>
      <w:r>
        <w:rPr>
          <w:rFonts w:ascii="Times New Roman" w:cs="Times New Roman" w:eastAsia="Times New Roman" w:hAnsi="Times New Roman"/>
          <w:sz w:val="18"/>
          <w:szCs w:val="18"/>
          <w:color w:val="auto"/>
        </w:rPr>
        <w:t xml:space="preserve">”). If the Company fails to maintain a Registrar, Paying Agent or Conversion Agent, then the Trustee will act as such and will receive compensation therefor in accordance with this Indenture and any other agreement between the Trustee and the Company. For the avoidance of doubt, the Company or any of its Subsidiaries may act as Registrar, Paying Agent or Conversion Agent. Notwithstanding anything to the contrary in this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2.06(A)</w:t>
      </w:r>
      <w:r>
        <w:rPr>
          <w:rFonts w:ascii="Times New Roman" w:cs="Times New Roman" w:eastAsia="Times New Roman" w:hAnsi="Times New Roman"/>
          <w:sz w:val="18"/>
          <w:szCs w:val="18"/>
          <w:color w:val="auto"/>
        </w:rPr>
        <w:t>, each of the Registrar, Paying Agent and Conversion Agent with respect to any Global Note must at all times be a Person that is eligible to act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capacity under the Depositary Procedures.</w:t>
      </w:r>
    </w:p>
    <w:p>
      <w:pPr>
        <w:spacing w:after="0" w:line="357"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jc w:val="both"/>
        <w:ind w:firstLine="656"/>
        <w:spacing w:after="0" w:line="262"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Duties of the Registrar</w:t>
      </w:r>
      <w:r>
        <w:rPr>
          <w:rFonts w:ascii="Times New Roman" w:cs="Times New Roman" w:eastAsia="Times New Roman" w:hAnsi="Times New Roman"/>
          <w:sz w:val="18"/>
          <w:szCs w:val="18"/>
          <w:color w:val="auto"/>
        </w:rPr>
        <w:t>. The Registrar will keep a record (the “</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of the names and addresses of the Holders, the Notes held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Holder and the transfer, exchange, repurchase, Redemption and Conversion of Notes. Absent manifest error, the entries in the Register will be conclusive and the Company and the Trustee may treat each Person whose name is recorded as a Holder in the Register as a Holder for all purposes. The Register will be in written form or in any form capable of being converted into written form reasonably promptly.</w:t>
      </w:r>
    </w:p>
    <w:p>
      <w:pPr>
        <w:spacing w:after="0" w:line="178" w:lineRule="exact"/>
        <w:rPr>
          <w:rFonts w:ascii="Times New Roman" w:cs="Times New Roman" w:eastAsia="Times New Roman" w:hAnsi="Times New Roman"/>
          <w:sz w:val="18"/>
          <w:szCs w:val="18"/>
          <w:color w:val="auto"/>
        </w:rPr>
      </w:pPr>
    </w:p>
    <w:p>
      <w:pPr>
        <w:jc w:val="both"/>
        <w:ind w:firstLine="656"/>
        <w:spacing w:after="0" w:line="257" w:lineRule="auto"/>
        <w:tabs>
          <w:tab w:leader="none" w:pos="121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Co-Agents; Company’s Right to Appoint Successor Registrars, Paying Agents and Conversion Agents</w:t>
      </w:r>
      <w:r>
        <w:rPr>
          <w:rFonts w:ascii="Times New Roman" w:cs="Times New Roman" w:eastAsia="Times New Roman" w:hAnsi="Times New Roman"/>
          <w:sz w:val="18"/>
          <w:szCs w:val="18"/>
          <w:color w:val="auto"/>
        </w:rPr>
        <w:t>. The Company may appoint one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more co-Registrars, co-Paying Agents and co-Conversion Agents, each of whom will be deemed to be a Registrar, Paying Agent or Conversion Agent, as applicable, under this Indenture. Subject to </w:t>
      </w:r>
      <w:r>
        <w:rPr>
          <w:rFonts w:ascii="Times New Roman" w:cs="Times New Roman" w:eastAsia="Times New Roman" w:hAnsi="Times New Roman"/>
          <w:sz w:val="18"/>
          <w:szCs w:val="18"/>
          <w:b w:val="1"/>
          <w:bCs w:val="1"/>
          <w:color w:val="auto"/>
        </w:rPr>
        <w:t>Section 2.06(A)</w:t>
      </w:r>
      <w:r>
        <w:rPr>
          <w:rFonts w:ascii="Times New Roman" w:cs="Times New Roman" w:eastAsia="Times New Roman" w:hAnsi="Times New Roman"/>
          <w:sz w:val="18"/>
          <w:szCs w:val="18"/>
          <w:color w:val="auto"/>
        </w:rPr>
        <w:t>, the Company may change any Registrar, Paying Agent or Conversion Agent (including appointing itself or any of its Subsidiaries to act in such capacity) without notice to any Holder. The Company will notify the Trustee (and, upon request, any Holder) of the name and address of each Note Agent, if any, not a party to this Indenture and will enter into an appropriate agency agreement with each such Note Agent, which agreement will implement the provisions of this Indenture that relate to such Note Agent.</w:t>
      </w:r>
    </w:p>
    <w:p>
      <w:pPr>
        <w:spacing w:after="0" w:line="182" w:lineRule="exact"/>
        <w:rPr>
          <w:rFonts w:ascii="Times New Roman" w:cs="Times New Roman" w:eastAsia="Times New Roman" w:hAnsi="Times New Roman"/>
          <w:sz w:val="18"/>
          <w:szCs w:val="18"/>
          <w:color w:val="auto"/>
        </w:rPr>
      </w:pPr>
    </w:p>
    <w:p>
      <w:pPr>
        <w:ind w:right="20" w:firstLine="656"/>
        <w:spacing w:after="0" w:line="284" w:lineRule="auto"/>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Initial Appointments</w:t>
      </w:r>
      <w:r>
        <w:rPr>
          <w:rFonts w:ascii="Times New Roman" w:cs="Times New Roman" w:eastAsia="Times New Roman" w:hAnsi="Times New Roman"/>
          <w:sz w:val="18"/>
          <w:szCs w:val="18"/>
          <w:color w:val="auto"/>
        </w:rPr>
        <w:t>. The Company appoints the Trustee as, and designates its corporate trust office identified in Section 11.01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continental United States as the office for, the initial Paying Agent, the initial Registrar and the initial Conversion Agent.</w:t>
      </w:r>
    </w:p>
    <w:p>
      <w:pPr>
        <w:spacing w:after="0" w:line="156"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2.07.</w:t>
        <w:tab/>
        <w:t>P</w:t>
      </w:r>
      <w:r>
        <w:rPr>
          <w:rFonts w:ascii="Times New Roman" w:cs="Times New Roman" w:eastAsia="Times New Roman" w:hAnsi="Times New Roman"/>
          <w:sz w:val="12"/>
          <w:szCs w:val="12"/>
          <w:b w:val="1"/>
          <w:bCs w:val="1"/>
          <w:color w:val="auto"/>
        </w:rPr>
        <w:t>aying</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gent and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onversion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gent to</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2"/>
          <w:szCs w:val="12"/>
          <w:b w:val="1"/>
          <w:bCs w:val="1"/>
          <w:color w:val="auto"/>
        </w:rPr>
        <w:t>old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roperty in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rust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Company will require each Paying Agent or Conversion Agent that is not the Trustee to agree in writing that such Note Agent will (A) hold in trust for the benefit of Holders or the Trustee all money and other property held by such Note Agent for payment or delivery due on the Notes; and (B) notify the Trustee of any default by the Company in making any such payment or delivery. The Company, at any time, may, and the Trustee, while any Default continues, may, require a Paying Agent or Conversion Agent to pay or deliver, as applicable, all money and other property held by it to the Trustee, after which payment or delivery, as applicable, such Note Agent (if not the Company or any of its Subsidiaries) will have no further liability for such money or property. If the Company or any of its Subsidiaries acts as Paying Agent or Conversion Agent, then (A) it will segregate and hold in a separate trust fund for the benefit of the Holders or the Trustee all money and other property held by it as Paying Agent or Conversion Agent; and (B) references in this Indenture or the Notes to the Paying Agent or Conversion Agent holding cash or other property, or to the delivery of cash or other property to the Paying Agent or Conversion Agent, in each case for payment or delivery to any Holders or the Trustee or with respect to the Notes, will be deemed to refer to cash or other property so segregated and held separately, or to the segregation and separate holding of such cash or other property, respectively. Upon the occurrence of any event pursuant to </w:t>
      </w:r>
      <w:r>
        <w:rPr>
          <w:rFonts w:ascii="Times New Roman" w:cs="Times New Roman" w:eastAsia="Times New Roman" w:hAnsi="Times New Roman"/>
          <w:sz w:val="18"/>
          <w:szCs w:val="18"/>
          <w:b w:val="1"/>
          <w:bCs w:val="1"/>
          <w:color w:val="auto"/>
        </w:rPr>
        <w:t>clause (viii)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(ix)</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Section 7.01(A)</w:t>
      </w:r>
      <w:r>
        <w:rPr>
          <w:rFonts w:ascii="Times New Roman" w:cs="Times New Roman" w:eastAsia="Times New Roman" w:hAnsi="Times New Roman"/>
          <w:sz w:val="18"/>
          <w:szCs w:val="18"/>
          <w:color w:val="auto"/>
        </w:rPr>
        <w:t xml:space="preserve"> with respect to the Company (or with respect to any Subsidiary of the Company acting as Paying Agent or Conversion Agent), the Trustee will serve as the Paying Agent or Conversion Agent, as applicable, for the Notes.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2.08.</w:t>
        <w:tab/>
        <w:t>H</w:t>
      </w:r>
      <w:r>
        <w:rPr>
          <w:rFonts w:ascii="Times New Roman" w:cs="Times New Roman" w:eastAsia="Times New Roman" w:hAnsi="Times New Roman"/>
          <w:sz w:val="12"/>
          <w:szCs w:val="12"/>
          <w:b w:val="1"/>
          <w:bCs w:val="1"/>
          <w:color w:val="auto"/>
        </w:rPr>
        <w:t>older</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ists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Trustee is not the Registrar, then the Company will furnish to the Trustee, no later than seven (7) Business Days before each Interest Payment Date, and at such other times as the Trustee may request, a list, in such form and as of such date or time as the Trustee may reasonably require, of the names and addresses of the Holders.</w:t>
      </w:r>
    </w:p>
    <w:p>
      <w:pPr>
        <w:spacing w:after="0" w:line="172"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2.09.</w:t>
        <w:tab/>
        <w:t>L</w:t>
      </w:r>
      <w:r>
        <w:rPr>
          <w:rFonts w:ascii="Times New Roman" w:cs="Times New Roman" w:eastAsia="Times New Roman" w:hAnsi="Times New Roman"/>
          <w:sz w:val="12"/>
          <w:szCs w:val="12"/>
          <w:b w:val="1"/>
          <w:bCs w:val="1"/>
          <w:color w:val="auto"/>
        </w:rPr>
        <w:t>egends</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ind w:right="20" w:firstLine="656"/>
        <w:spacing w:after="0" w:line="284" w:lineRule="auto"/>
        <w:tabs>
          <w:tab w:leader="none" w:pos="135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Global Note Legend</w:t>
      </w:r>
      <w:r>
        <w:rPr>
          <w:rFonts w:ascii="Times New Roman" w:cs="Times New Roman" w:eastAsia="Times New Roman" w:hAnsi="Times New Roman"/>
          <w:sz w:val="18"/>
          <w:szCs w:val="18"/>
          <w:color w:val="auto"/>
        </w:rPr>
        <w:t>. Each Global Note will bear the Global Note Legend (or any similar legend, not inconsistent with this Indenture,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by the Depositary for such Global Note).</w:t>
      </w:r>
    </w:p>
    <w:p>
      <w:pPr>
        <w:spacing w:after="0" w:line="15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Non-Affiliate Legend</w:t>
      </w:r>
      <w:r>
        <w:rPr>
          <w:rFonts w:ascii="Times New Roman" w:cs="Times New Roman" w:eastAsia="Times New Roman" w:hAnsi="Times New Roman"/>
          <w:sz w:val="18"/>
          <w:szCs w:val="18"/>
          <w:color w:val="auto"/>
        </w:rPr>
        <w:t>. Each Note will bear the Non-Affiliate Legend.</w:t>
      </w:r>
    </w:p>
    <w:p>
      <w:pPr>
        <w:spacing w:after="0" w:line="22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Restricted Note Legend</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2.12</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Note that is a Transfer-Restricted Security will bear the Restricted Note Legend; and</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20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Note is issued in exchange for, in substitution of, or to effect a partial Conversion of, another Note (such other Note being referred to as the “old Note” for purposes of this </w:t>
      </w:r>
      <w:r>
        <w:rPr>
          <w:rFonts w:ascii="Times New Roman" w:cs="Times New Roman" w:eastAsia="Times New Roman" w:hAnsi="Times New Roman"/>
          <w:sz w:val="18"/>
          <w:szCs w:val="18"/>
          <w:b w:val="1"/>
          <w:bCs w:val="1"/>
          <w:color w:val="auto"/>
        </w:rPr>
        <w:t>Section 2.09(C)(ii)</w:t>
      </w:r>
      <w:r>
        <w:rPr>
          <w:rFonts w:ascii="Times New Roman" w:cs="Times New Roman" w:eastAsia="Times New Roman" w:hAnsi="Times New Roman"/>
          <w:sz w:val="18"/>
          <w:szCs w:val="18"/>
          <w:color w:val="auto"/>
        </w:rPr>
        <w:t xml:space="preserve">), including pursuant to </w:t>
      </w:r>
      <w:r>
        <w:rPr>
          <w:rFonts w:ascii="Times New Roman" w:cs="Times New Roman" w:eastAsia="Times New Roman" w:hAnsi="Times New Roman"/>
          <w:sz w:val="18"/>
          <w:szCs w:val="18"/>
          <w:b w:val="1"/>
          <w:bCs w:val="1"/>
          <w:color w:val="auto"/>
        </w:rPr>
        <w:t>Section 2.10(B)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2.10(C)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2.11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2.13</w:t>
      </w:r>
      <w:r>
        <w:rPr>
          <w:rFonts w:ascii="Times New Roman" w:cs="Times New Roman" w:eastAsia="Times New Roman" w:hAnsi="Times New Roman"/>
          <w:sz w:val="18"/>
          <w:szCs w:val="18"/>
          <w:color w:val="auto"/>
        </w:rPr>
        <w:t xml:space="preserve">, then such Note will bear the Restricted Note Legend if such old Note bore the Restricted Note Legend at the time of such exchange or substitution, or on the related Conversion Date with respect to such Conversion,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Note need not bear the Restricted Note Legend if such Note does not constitute a Transfer-Restricted Security immediately after such exchange or substitution, or as of such Conversion Date, as applicable.</w:t>
      </w:r>
    </w:p>
    <w:p>
      <w:pPr>
        <w:spacing w:after="0" w:line="185" w:lineRule="exact"/>
        <w:rPr>
          <w:rFonts w:ascii="Times New Roman" w:cs="Times New Roman" w:eastAsia="Times New Roman" w:hAnsi="Times New Roman"/>
          <w:sz w:val="18"/>
          <w:szCs w:val="18"/>
          <w:color w:val="auto"/>
        </w:rPr>
      </w:pPr>
    </w:p>
    <w:p>
      <w:pPr>
        <w:ind w:firstLine="656"/>
        <w:spacing w:after="0" w:line="284" w:lineRule="auto"/>
        <w:tabs>
          <w:tab w:leader="none" w:pos="122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Legends</w:t>
      </w:r>
      <w:r>
        <w:rPr>
          <w:rFonts w:ascii="Times New Roman" w:cs="Times New Roman" w:eastAsia="Times New Roman" w:hAnsi="Times New Roman"/>
          <w:sz w:val="18"/>
          <w:szCs w:val="18"/>
          <w:color w:val="auto"/>
        </w:rPr>
        <w:t>. A Note may bear any other legend or text, not inconsistent with this Indenture, as may be required by applicable law or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securities exchange or automated quotation system on which such Note is traded or quoted.</w:t>
      </w:r>
    </w:p>
    <w:p>
      <w:pPr>
        <w:spacing w:after="0" w:line="156" w:lineRule="exact"/>
        <w:rPr>
          <w:rFonts w:ascii="Times New Roman" w:cs="Times New Roman" w:eastAsia="Times New Roman" w:hAnsi="Times New Roman"/>
          <w:sz w:val="18"/>
          <w:szCs w:val="18"/>
          <w:color w:val="auto"/>
        </w:rPr>
      </w:pPr>
    </w:p>
    <w:p>
      <w:pPr>
        <w:ind w:firstLine="656"/>
        <w:spacing w:after="0" w:line="286" w:lineRule="auto"/>
        <w:tabs>
          <w:tab w:leader="none" w:pos="123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Acknowledgment and Agreement by the Holders</w:t>
      </w:r>
      <w:r>
        <w:rPr>
          <w:rFonts w:ascii="Times New Roman" w:cs="Times New Roman" w:eastAsia="Times New Roman" w:hAnsi="Times New Roman"/>
          <w:sz w:val="18"/>
          <w:szCs w:val="18"/>
          <w:color w:val="auto"/>
        </w:rPr>
        <w:t>. A Holder’s acceptance of any Note bearing any legend required by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2.09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constitute such Holder’s acknowledgment of, and agreement to comply with, the restrictions set forth in such legend.</w:t>
      </w:r>
    </w:p>
    <w:p>
      <w:pPr>
        <w:spacing w:after="0" w:line="156"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Restricted Share Legend</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93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Conversion Share will bear the Restricted Share Legend if the Note upon the Conversion of which such Conversion Share was issued was (or would have been had it not been Converted) a Transfer-Restricted Security at the time such Conversion Share was issued;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such Conversion Share need not bear the Restricted Share Legend if the Company determines, in its reasonable discretion,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such Conversion Share need not bear the Restricted Share Legend.</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2" w:lineRule="auto"/>
        <w:tabs>
          <w:tab w:leader="none" w:pos="187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b w:val="1"/>
          <w:bCs w:val="1"/>
          <w:color w:val="auto"/>
        </w:rPr>
        <w:t>Section 2.09(F)</w:t>
      </w:r>
      <w:r>
        <w:rPr>
          <w:rFonts w:ascii="Times New Roman" w:cs="Times New Roman" w:eastAsia="Times New Roman" w:hAnsi="Times New Roman"/>
          <w:sz w:val="18"/>
          <w:szCs w:val="18"/>
          <w:color w:val="auto"/>
        </w:rPr>
        <w:t xml:space="preserve">, a Conversion Share need not bear a Restricted Share Legend if such Conversion Share is issued in an uncertificated form that does not permit affixing legends thereto,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the Company takes measures (including the assignment thereto of a “restricted” CUSIP number) that it reasonably deems appropriate to enforce the transfer restrictions referred to in the Restricted Share Legend.</w:t>
      </w:r>
    </w:p>
    <w:p>
      <w:pPr>
        <w:spacing w:after="0" w:line="351"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2"/>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2.10.</w:t>
        <w:tab/>
        <w:t>T</w:t>
      </w:r>
      <w:r>
        <w:rPr>
          <w:rFonts w:ascii="Times New Roman" w:cs="Times New Roman" w:eastAsia="Times New Roman" w:hAnsi="Times New Roman"/>
          <w:sz w:val="12"/>
          <w:szCs w:val="12"/>
          <w:b w:val="1"/>
          <w:bCs w:val="1"/>
          <w:color w:val="auto"/>
        </w:rPr>
        <w:t>ransfers and</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xchanges</w:t>
      </w:r>
      <w:r>
        <w:rPr>
          <w:rFonts w:ascii="Times New Roman" w:cs="Times New Roman" w:eastAsia="Times New Roman" w:hAnsi="Times New Roman"/>
          <w:sz w:val="18"/>
          <w:szCs w:val="18"/>
          <w:b w:val="1"/>
          <w:bCs w:val="1"/>
          <w:color w:val="auto"/>
        </w:rPr>
        <w:t>; C</w:t>
      </w:r>
      <w:r>
        <w:rPr>
          <w:rFonts w:ascii="Times New Roman" w:cs="Times New Roman" w:eastAsia="Times New Roman" w:hAnsi="Times New Roman"/>
          <w:sz w:val="12"/>
          <w:szCs w:val="12"/>
          <w:b w:val="1"/>
          <w:bCs w:val="1"/>
          <w:color w:val="auto"/>
        </w:rPr>
        <w:t>ertain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ransfer</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estrictions</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ind w:left="1320" w:hanging="664"/>
        <w:spacing w:after="0"/>
        <w:tabs>
          <w:tab w:leader="none" w:pos="1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Provisions Applicable to All Transfers and Exchanges</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ind w:left="660" w:firstLine="644"/>
        <w:spacing w:after="0" w:line="286" w:lineRule="auto"/>
        <w:tabs>
          <w:tab w:leader="none" w:pos="194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Subject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2.10</w:t>
      </w:r>
      <w:r>
        <w:rPr>
          <w:rFonts w:ascii="Times New Roman" w:cs="Times New Roman" w:eastAsia="Times New Roman" w:hAnsi="Times New Roman"/>
          <w:sz w:val="18"/>
          <w:szCs w:val="18"/>
          <w:color w:val="auto"/>
        </w:rPr>
        <w:t>, Physical Notes and beneficial interests in Global Notes may be transferred or exchanged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time to time and the Registrar will record each such transfer or exchange in the Register.</w:t>
      </w:r>
    </w:p>
    <w:p>
      <w:pPr>
        <w:spacing w:after="0" w:line="156"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933"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Transferred and Exchanged Notes Remain Valid Obligations of the Company</w:t>
      </w:r>
      <w:r>
        <w:rPr>
          <w:rFonts w:ascii="Times New Roman" w:cs="Times New Roman" w:eastAsia="Times New Roman" w:hAnsi="Times New Roman"/>
          <w:sz w:val="18"/>
          <w:szCs w:val="18"/>
          <w:color w:val="auto"/>
        </w:rPr>
        <w:t>. Each Note issued upon transfer or exchange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other Note (such other Note being referred to as the “old Note” for purposes of this </w:t>
      </w:r>
      <w:r>
        <w:rPr>
          <w:rFonts w:ascii="Times New Roman" w:cs="Times New Roman" w:eastAsia="Times New Roman" w:hAnsi="Times New Roman"/>
          <w:sz w:val="18"/>
          <w:szCs w:val="18"/>
          <w:b w:val="1"/>
          <w:bCs w:val="1"/>
          <w:color w:val="auto"/>
        </w:rPr>
        <w:t>Section 2.10(A)(ii)</w:t>
      </w:r>
      <w:r>
        <w:rPr>
          <w:rFonts w:ascii="Times New Roman" w:cs="Times New Roman" w:eastAsia="Times New Roman" w:hAnsi="Times New Roman"/>
          <w:sz w:val="18"/>
          <w:szCs w:val="18"/>
          <w:color w:val="auto"/>
        </w:rPr>
        <w:t>) or portion thereof in accordance with this Indenture will be the valid obligation of the Company, evidencing the same indebtedness, and entitled to the same benefits under this Indenture, as such old Note or portion thereof, as applicable.</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96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Services Charge; Transfer Taxes</w:t>
      </w:r>
      <w:r>
        <w:rPr>
          <w:rFonts w:ascii="Times New Roman" w:cs="Times New Roman" w:eastAsia="Times New Roman" w:hAnsi="Times New Roman"/>
          <w:sz w:val="18"/>
          <w:szCs w:val="18"/>
          <w:color w:val="auto"/>
        </w:rPr>
        <w:t>. The Company, the Trustee and the Note Agents will not impose any service charge on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Holder for any transfer, exchange or Conversion of Notes, but the Company, the Trustee, the Registrar and the Conversion Agent may require payment of a sum sufficient to cover any transfer tax or similar governmental charge that may be imposed in connection with any transfer, exchange or Conversion of Notes, other than exchanges pursuant to </w:t>
      </w:r>
      <w:r>
        <w:rPr>
          <w:rFonts w:ascii="Times New Roman" w:cs="Times New Roman" w:eastAsia="Times New Roman" w:hAnsi="Times New Roman"/>
          <w:sz w:val="18"/>
          <w:szCs w:val="18"/>
          <w:b w:val="1"/>
          <w:bCs w:val="1"/>
          <w:color w:val="auto"/>
        </w:rPr>
        <w:t>Section 2.11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2.17</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8.05</w:t>
      </w:r>
      <w:r>
        <w:rPr>
          <w:rFonts w:ascii="Times New Roman" w:cs="Times New Roman" w:eastAsia="Times New Roman" w:hAnsi="Times New Roman"/>
          <w:sz w:val="18"/>
          <w:szCs w:val="18"/>
          <w:color w:val="auto"/>
        </w:rPr>
        <w:t xml:space="preserve"> not involving any transfer.</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7" w:lineRule="auto"/>
        <w:tabs>
          <w:tab w:leader="none" w:pos="195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Transfers and Exchanges Must Be in Authorized Denominations</w:t>
      </w:r>
      <w:r>
        <w:rPr>
          <w:rFonts w:ascii="Times New Roman" w:cs="Times New Roman" w:eastAsia="Times New Roman" w:hAnsi="Times New Roman"/>
          <w:sz w:val="18"/>
          <w:szCs w:val="18"/>
          <w:color w:val="auto"/>
        </w:rPr>
        <w:t>. Notwithstanding anything to the contrary in this Indenture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Notes, a Note may not be transferred or exchanged in part unless the portion to be so transferred or exchanged is in an Authorized Denomination.</w:t>
      </w:r>
    </w:p>
    <w:p>
      <w:pPr>
        <w:spacing w:after="0" w:line="173"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9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Trustee’s Disclaimer</w:t>
      </w:r>
      <w:r>
        <w:rPr>
          <w:rFonts w:ascii="Times New Roman" w:cs="Times New Roman" w:eastAsia="Times New Roman" w:hAnsi="Times New Roman"/>
          <w:sz w:val="18"/>
          <w:szCs w:val="18"/>
          <w:color w:val="auto"/>
        </w:rPr>
        <w:t>. The Trustee will have no obligation or duty to monitor, determine or inquire as to compliance with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 restrictions imposed under this Indenture or applicable law with respect to any Security, other than to require the delivery of such certificates or other documentation or evidence as expressly required by this Indenture and to examine the same to determine substantial compliance as to form with the requirements of this Indenture.</w:t>
      </w:r>
    </w:p>
    <w:p>
      <w:pPr>
        <w:spacing w:after="0" w:line="177"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Legends</w:t>
      </w:r>
      <w:r>
        <w:rPr>
          <w:rFonts w:ascii="Times New Roman" w:cs="Times New Roman" w:eastAsia="Times New Roman" w:hAnsi="Times New Roman"/>
          <w:sz w:val="18"/>
          <w:szCs w:val="18"/>
          <w:color w:val="auto"/>
        </w:rPr>
        <w:t>. Each Note issued upon transfer of, or in exchange for, another Note will bear each legend, if any, required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w:t>
      </w:r>
    </w:p>
    <w:p>
      <w:pPr>
        <w:spacing w:after="0" w:line="3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2.09</w:t>
      </w:r>
      <w:r>
        <w:rPr>
          <w:rFonts w:ascii="Times New Roman" w:cs="Times New Roman" w:eastAsia="Times New Roman" w:hAnsi="Times New Roman"/>
          <w:sz w:val="18"/>
          <w:szCs w:val="18"/>
          <w:color w:val="auto"/>
        </w:rPr>
        <w:t>.</w:t>
      </w:r>
    </w:p>
    <w:p>
      <w:pPr>
        <w:spacing w:after="0" w:line="204" w:lineRule="exact"/>
        <w:rPr>
          <w:rFonts w:ascii="Times New Roman" w:cs="Times New Roman" w:eastAsia="Times New Roman" w:hAnsi="Times New Roman"/>
          <w:sz w:val="18"/>
          <w:szCs w:val="18"/>
          <w:color w:val="auto"/>
        </w:rPr>
      </w:pPr>
    </w:p>
    <w:p>
      <w:pPr>
        <w:jc w:val="both"/>
        <w:ind w:left="660" w:firstLine="644"/>
        <w:spacing w:after="0" w:line="267" w:lineRule="auto"/>
        <w:tabs>
          <w:tab w:leader="none" w:pos="193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Settlement of Transfers and Exchanges</w:t>
      </w:r>
      <w:r>
        <w:rPr>
          <w:rFonts w:ascii="Times New Roman" w:cs="Times New Roman" w:eastAsia="Times New Roman" w:hAnsi="Times New Roman"/>
          <w:sz w:val="18"/>
          <w:szCs w:val="18"/>
          <w:color w:val="auto"/>
        </w:rPr>
        <w:t>. Upon satisfaction of the requirements of this Indenture to effect a transfer or exchange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Note, the Company will cause such transfer or exchange to be effected as soon as reasonably practicable but in no event later than the second (2nd) Business Day after the date of such satisfaction.</w:t>
      </w:r>
    </w:p>
    <w:p>
      <w:pPr>
        <w:spacing w:after="0" w:line="346"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2"/>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jc w:val="both"/>
        <w:ind w:left="4" w:firstLine="644"/>
        <w:spacing w:after="0" w:line="262" w:lineRule="auto"/>
        <w:tabs>
          <w:tab w:leader="none" w:pos="128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Interpretation</w:t>
      </w:r>
      <w:r>
        <w:rPr>
          <w:rFonts w:ascii="Times New Roman" w:cs="Times New Roman" w:eastAsia="Times New Roman" w:hAnsi="Times New Roman"/>
          <w:sz w:val="18"/>
          <w:szCs w:val="18"/>
          <w:color w:val="auto"/>
        </w:rPr>
        <w:t>. For the avoidance of doubt, and subject to the terms of this Indenture, as used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2.10</w:t>
      </w:r>
      <w:r>
        <w:rPr>
          <w:rFonts w:ascii="Times New Roman" w:cs="Times New Roman" w:eastAsia="Times New Roman" w:hAnsi="Times New Roman"/>
          <w:sz w:val="18"/>
          <w:szCs w:val="18"/>
          <w:color w:val="auto"/>
        </w:rPr>
        <w:t>, an “exchange”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 Global Note or a Physical Note includes (x) an exchange effected for the sole purpose of removing any Restricted Note Legend affixed to such Global Note or Physical Note; and (y) if such Global Note or Physical Note is identified by a “restricted” CUSIP number, an exchange effected for the sole purpose of causing such Global Note or Physical Note to be identified by an “unrestricted” CUSIP number.</w:t>
      </w:r>
    </w:p>
    <w:p>
      <w:pPr>
        <w:spacing w:after="0" w:line="178"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Transfers and Exchanges of Global Notes.</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58" w:lineRule="auto"/>
        <w:tabs>
          <w:tab w:leader="none" w:pos="132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Restrictions</w:t>
      </w:r>
      <w:r>
        <w:rPr>
          <w:rFonts w:ascii="Times New Roman" w:cs="Times New Roman" w:eastAsia="Times New Roman" w:hAnsi="Times New Roman"/>
          <w:sz w:val="18"/>
          <w:szCs w:val="18"/>
          <w:color w:val="auto"/>
        </w:rPr>
        <w:t>. Subject to the immediately following sentence, no Global Note may be transferred or exchanged in whole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except (x) by the Depositary to a nominee of the Depositary; (y) by a nominee of the Depositary to the Depositary or to another nominee of the Depositary; or (z) by the Depositary or any such nominee to a successor Depositary or a nominee of such successor Depositary. No Global Note (or any portion thereof) may be transferred to, or exchanged for, a Physical Note;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Global Note will be exchanged, pursuant to customary procedures, for one or more Physical Notes if:</w:t>
      </w:r>
    </w:p>
    <w:p>
      <w:pPr>
        <w:spacing w:after="0" w:line="185" w:lineRule="exact"/>
        <w:rPr>
          <w:rFonts w:ascii="Times New Roman" w:cs="Times New Roman" w:eastAsia="Times New Roman" w:hAnsi="Times New Roman"/>
          <w:sz w:val="18"/>
          <w:szCs w:val="18"/>
          <w:color w:val="auto"/>
        </w:rPr>
      </w:pPr>
    </w:p>
    <w:p>
      <w:pPr>
        <w:jc w:val="both"/>
        <w:ind w:left="644" w:firstLine="652"/>
        <w:spacing w:after="0" w:line="266" w:lineRule="auto"/>
        <w:tabs>
          <w:tab w:leader="none" w:pos="2167"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the Depositary notifies the Company or the Trustee that the Depositary is unwilling or unable to continue as depositary for such Global Note or (y) the Depositary ceases to be a “clearing agency” registered under Section 17A of the Exchange Act and, in each case, the Company fails to appoint a successor Depositary within ninety (90) days of such notice or cessation;</w:t>
      </w:r>
    </w:p>
    <w:p>
      <w:pPr>
        <w:spacing w:after="0" w:line="175" w:lineRule="exact"/>
        <w:rPr>
          <w:rFonts w:ascii="Times New Roman" w:cs="Times New Roman" w:eastAsia="Times New Roman" w:hAnsi="Times New Roman"/>
          <w:sz w:val="18"/>
          <w:szCs w:val="18"/>
          <w:color w:val="auto"/>
        </w:rPr>
      </w:pPr>
    </w:p>
    <w:p>
      <w:pPr>
        <w:jc w:val="both"/>
        <w:ind w:left="644" w:firstLine="652"/>
        <w:spacing w:after="0" w:line="266" w:lineRule="auto"/>
        <w:tabs>
          <w:tab w:leader="none" w:pos="1906"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has occurred and is continuing and the Company, the Trustee or the Registrar has received a written request from the Depositary, or from a holder of a beneficial interest in such Global Note, to exchange such Global Note or beneficial interest, as applicable, for one or more Physical Notes; or</w:t>
      </w:r>
    </w:p>
    <w:p>
      <w:pPr>
        <w:spacing w:after="0" w:line="175" w:lineRule="exact"/>
        <w:rPr>
          <w:rFonts w:ascii="Times New Roman" w:cs="Times New Roman" w:eastAsia="Times New Roman" w:hAnsi="Times New Roman"/>
          <w:sz w:val="18"/>
          <w:szCs w:val="18"/>
          <w:color w:val="auto"/>
        </w:rPr>
      </w:pPr>
    </w:p>
    <w:p>
      <w:pPr>
        <w:ind w:left="644" w:firstLine="652"/>
        <w:spacing w:after="0" w:line="282" w:lineRule="auto"/>
        <w:tabs>
          <w:tab w:leader="none" w:pos="192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in its sole discretion, permits the exchange of any beneficial interest in such Global Note for one or more Physical Notes at the request of the owner of such beneficial interest.</w:t>
      </w:r>
    </w:p>
    <w:p>
      <w:pPr>
        <w:spacing w:after="0" w:line="159" w:lineRule="exact"/>
        <w:rPr>
          <w:rFonts w:ascii="Times New Roman" w:cs="Times New Roman" w:eastAsia="Times New Roman" w:hAnsi="Times New Roman"/>
          <w:sz w:val="18"/>
          <w:szCs w:val="18"/>
          <w:color w:val="auto"/>
        </w:rPr>
      </w:pPr>
    </w:p>
    <w:p>
      <w:pPr>
        <w:ind w:left="4" w:right="20" w:firstLine="644"/>
        <w:spacing w:after="0" w:line="284" w:lineRule="auto"/>
        <w:tabs>
          <w:tab w:leader="none" w:pos="137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Effecting Transfers and Exchanges</w:t>
      </w:r>
      <w:r>
        <w:rPr>
          <w:rFonts w:ascii="Times New Roman" w:cs="Times New Roman" w:eastAsia="Times New Roman" w:hAnsi="Times New Roman"/>
          <w:sz w:val="18"/>
          <w:szCs w:val="18"/>
          <w:color w:val="auto"/>
        </w:rPr>
        <w:t>. Upon satisfaction of the requirements of this Indenture to effect a transfer or exchange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Global Note (or any portion thereof):</w:t>
      </w:r>
    </w:p>
    <w:p>
      <w:pPr>
        <w:spacing w:after="0" w:line="160" w:lineRule="exact"/>
        <w:rPr>
          <w:rFonts w:ascii="Times New Roman" w:cs="Times New Roman" w:eastAsia="Times New Roman" w:hAnsi="Times New Roman"/>
          <w:sz w:val="18"/>
          <w:szCs w:val="18"/>
          <w:color w:val="auto"/>
        </w:rPr>
      </w:pPr>
    </w:p>
    <w:p>
      <w:pPr>
        <w:jc w:val="both"/>
        <w:ind w:left="644" w:firstLine="652"/>
        <w:spacing w:after="0" w:line="261" w:lineRule="auto"/>
        <w:tabs>
          <w:tab w:leader="none" w:pos="1875"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will reflect any resulting decrease of the principal amount of such Global Note by notation on the “Schedule of Exchanges of Interests in the Global Note” forming part of such Global Note (and, if such notation results in such Global Note having a principal amount of zero, then the Company may (but is not required to) instruct the Trustee to cancel such Global Note pursuant to </w:t>
      </w:r>
      <w:r>
        <w:rPr>
          <w:rFonts w:ascii="Times New Roman" w:cs="Times New Roman" w:eastAsia="Times New Roman" w:hAnsi="Times New Roman"/>
          <w:sz w:val="18"/>
          <w:szCs w:val="18"/>
          <w:b w:val="1"/>
          <w:bCs w:val="1"/>
          <w:color w:val="auto"/>
        </w:rPr>
        <w:t>Section 2.15</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644" w:firstLine="652"/>
        <w:spacing w:after="0" w:line="266" w:lineRule="auto"/>
        <w:tabs>
          <w:tab w:leader="none" w:pos="2082"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to effect such transfer or exchange, then the Trustee will reflect any resulting increase of the principal amount of any other Global Note by notation on the “Schedule of Exchanges of Interests in the Global Note” forming part of such other Global Note;</w:t>
      </w:r>
    </w:p>
    <w:p>
      <w:pPr>
        <w:spacing w:after="0" w:line="346" w:lineRule="exact"/>
        <w:rPr>
          <w:rFonts w:ascii="Times New Roman" w:cs="Times New Roman" w:eastAsia="Times New Roman" w:hAnsi="Times New Roman"/>
          <w:sz w:val="18"/>
          <w:szCs w:val="18"/>
          <w:color w:val="auto"/>
        </w:rPr>
      </w:pPr>
    </w:p>
    <w:p>
      <w:pPr>
        <w:ind w:left="4904" w:hanging="92"/>
        <w:spacing w:after="0"/>
        <w:tabs>
          <w:tab w:leader="none" w:pos="4904" w:val="left"/>
        </w:tabs>
        <w:numPr>
          <w:ilvl w:val="3"/>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7" w:right="339" w:bottom="1440" w:gutter="0" w:footer="0" w:header="0"/>
        </w:sectPr>
      </w:pPr>
    </w:p>
    <w:bookmarkStart w:id="32" w:name="page33"/>
    <w:bookmarkEnd w:id="32"/>
    <w:p>
      <w:pPr>
        <w:ind w:left="644" w:firstLine="652"/>
        <w:spacing w:after="0" w:line="282" w:lineRule="auto"/>
        <w:tabs>
          <w:tab w:leader="none" w:pos="2019"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required to effect such transfer or exchange, then the Company will issue, execute and deliver, and the Trustee will authenticate, in each case in accordance with </w:t>
      </w:r>
      <w:r>
        <w:rPr>
          <w:rFonts w:ascii="Times New Roman" w:cs="Times New Roman" w:eastAsia="Times New Roman" w:hAnsi="Times New Roman"/>
          <w:sz w:val="18"/>
          <w:szCs w:val="18"/>
          <w:b w:val="1"/>
          <w:bCs w:val="1"/>
          <w:color w:val="auto"/>
        </w:rPr>
        <w:t>Section 2.02</w:t>
      </w:r>
      <w:r>
        <w:rPr>
          <w:rFonts w:ascii="Times New Roman" w:cs="Times New Roman" w:eastAsia="Times New Roman" w:hAnsi="Times New Roman"/>
          <w:sz w:val="18"/>
          <w:szCs w:val="18"/>
          <w:color w:val="auto"/>
        </w:rPr>
        <w:t xml:space="preserve">, a new Global Note bearing each legend, if any, required by </w:t>
      </w:r>
      <w:r>
        <w:rPr>
          <w:rFonts w:ascii="Times New Roman" w:cs="Times New Roman" w:eastAsia="Times New Roman" w:hAnsi="Times New Roman"/>
          <w:sz w:val="18"/>
          <w:szCs w:val="18"/>
          <w:b w:val="1"/>
          <w:bCs w:val="1"/>
          <w:color w:val="auto"/>
        </w:rPr>
        <w:t>Section 2.09</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jc w:val="both"/>
        <w:ind w:left="644" w:firstLine="652"/>
        <w:spacing w:after="0" w:line="258" w:lineRule="auto"/>
        <w:tabs>
          <w:tab w:leader="none" w:pos="2073"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Global Note (or such portion thereof), or any beneficial interest therein, is to be exchanged for one or more Physical Notes, then the Company will issue, execute and deliver, and the Trustee will authenticate, in each case in accordance with </w:t>
      </w:r>
      <w:r>
        <w:rPr>
          <w:rFonts w:ascii="Times New Roman" w:cs="Times New Roman" w:eastAsia="Times New Roman" w:hAnsi="Times New Roman"/>
          <w:sz w:val="18"/>
          <w:szCs w:val="18"/>
          <w:b w:val="1"/>
          <w:bCs w:val="1"/>
          <w:color w:val="auto"/>
        </w:rPr>
        <w:t>Section 2.02</w:t>
      </w:r>
      <w:r>
        <w:rPr>
          <w:rFonts w:ascii="Times New Roman" w:cs="Times New Roman" w:eastAsia="Times New Roman" w:hAnsi="Times New Roman"/>
          <w:sz w:val="18"/>
          <w:szCs w:val="18"/>
          <w:color w:val="auto"/>
        </w:rPr>
        <w:t>, one or more Physical Notes that (x) are in Authorized Denominations and have an aggregate principal amount equal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principal amount of such Global Note to be so exchanged; (y) are registered in such name(s) as the Depositary specifies (or as otherwise determined pursuant to customary procedures); and (z) bear each legend, if any, required by </w:t>
      </w:r>
      <w:r>
        <w:rPr>
          <w:rFonts w:ascii="Times New Roman" w:cs="Times New Roman" w:eastAsia="Times New Roman" w:hAnsi="Times New Roman"/>
          <w:sz w:val="18"/>
          <w:szCs w:val="18"/>
          <w:b w:val="1"/>
          <w:bCs w:val="1"/>
          <w:color w:val="auto"/>
        </w:rPr>
        <w:t>Section 2.09</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ind w:left="4" w:firstLine="644"/>
        <w:spacing w:after="0" w:line="284" w:lineRule="auto"/>
        <w:tabs>
          <w:tab w:leader="none" w:pos="136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Depositary Procedures</w:t>
      </w:r>
      <w:r>
        <w:rPr>
          <w:rFonts w:ascii="Times New Roman" w:cs="Times New Roman" w:eastAsia="Times New Roman" w:hAnsi="Times New Roman"/>
          <w:sz w:val="18"/>
          <w:szCs w:val="18"/>
          <w:color w:val="auto"/>
        </w:rPr>
        <w:t>. Each transfer or exchange of a beneficial interest in any Global Note will be made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the Depositary Procedures.</w:t>
      </w:r>
    </w:p>
    <w:p>
      <w:pPr>
        <w:spacing w:after="0" w:line="158" w:lineRule="exact"/>
        <w:rPr>
          <w:rFonts w:ascii="Times New Roman" w:cs="Times New Roman" w:eastAsia="Times New Roman" w:hAnsi="Times New Roman"/>
          <w:sz w:val="18"/>
          <w:szCs w:val="18"/>
          <w:color w:val="auto"/>
        </w:rPr>
      </w:pPr>
    </w:p>
    <w:p>
      <w:pPr>
        <w:ind w:left="684" w:hanging="684"/>
        <w:spacing w:after="0"/>
        <w:tabs>
          <w:tab w:leader="none" w:pos="68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Transfers and Exchanges of Physical Notes.</w:t>
      </w:r>
    </w:p>
    <w:p>
      <w:pPr>
        <w:spacing w:after="0" w:line="223" w:lineRule="exact"/>
        <w:rPr>
          <w:rFonts w:ascii="Times New Roman" w:cs="Times New Roman" w:eastAsia="Times New Roman" w:hAnsi="Times New Roman"/>
          <w:sz w:val="18"/>
          <w:szCs w:val="18"/>
          <w:color w:val="auto"/>
        </w:rPr>
      </w:pPr>
    </w:p>
    <w:p>
      <w:pPr>
        <w:jc w:val="both"/>
        <w:ind w:left="4" w:firstLine="644"/>
        <w:spacing w:after="0" w:line="257" w:lineRule="auto"/>
        <w:tabs>
          <w:tab w:leader="none" w:pos="14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Requirements for Transfers and Exchanges</w:t>
      </w:r>
      <w:r>
        <w:rPr>
          <w:rFonts w:ascii="Times New Roman" w:cs="Times New Roman" w:eastAsia="Times New Roman" w:hAnsi="Times New Roman"/>
          <w:sz w:val="18"/>
          <w:szCs w:val="18"/>
          <w:color w:val="auto"/>
        </w:rPr>
        <w:t>. Subject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2.10</w:t>
      </w:r>
      <w:r>
        <w:rPr>
          <w:rFonts w:ascii="Times New Roman" w:cs="Times New Roman" w:eastAsia="Times New Roman" w:hAnsi="Times New Roman"/>
          <w:sz w:val="18"/>
          <w:szCs w:val="18"/>
          <w:color w:val="auto"/>
        </w:rPr>
        <w:t>, a Holder of a Physical Note may (x) transfer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Physical Note (or any portion thereof in an Authorized Denomination) to one or more other Person(s); (y) exchange such Physical Note (or any portion thereof in an Authorized Denomination) for one or more other Physical Notes in Authorized Denominations having an aggregate principal amount equal to the aggregate principal amount of the Physical Note (or portion thereof) to be so exchanged; and (z) if then permitted by the Depositary Procedures, transfer such Physical Note (or any portion thereof in an Authorized Denomination) in exchange for a beneficial interest in one or more Global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to effect any such transfer or exchange, such Holder must:</w:t>
      </w:r>
    </w:p>
    <w:p>
      <w:pPr>
        <w:spacing w:after="0" w:line="186" w:lineRule="exact"/>
        <w:rPr>
          <w:rFonts w:ascii="Times New Roman" w:cs="Times New Roman" w:eastAsia="Times New Roman" w:hAnsi="Times New Roman"/>
          <w:sz w:val="18"/>
          <w:szCs w:val="18"/>
          <w:color w:val="auto"/>
        </w:rPr>
      </w:pPr>
    </w:p>
    <w:p>
      <w:pPr>
        <w:ind w:left="644" w:firstLine="652"/>
        <w:spacing w:after="0" w:line="282" w:lineRule="auto"/>
        <w:tabs>
          <w:tab w:leader="none" w:pos="2217"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surrender such Physical Note to be transferred or exchanged to the office of the Registrar, together with any endorsements or transfer instruments reasonably required by the Company, the Trustee or the Registrar; and</w:t>
      </w:r>
    </w:p>
    <w:p>
      <w:pPr>
        <w:spacing w:after="0" w:line="157" w:lineRule="exact"/>
        <w:rPr>
          <w:rFonts w:ascii="Times New Roman" w:cs="Times New Roman" w:eastAsia="Times New Roman" w:hAnsi="Times New Roman"/>
          <w:sz w:val="18"/>
          <w:szCs w:val="18"/>
          <w:color w:val="auto"/>
        </w:rPr>
      </w:pPr>
    </w:p>
    <w:p>
      <w:pPr>
        <w:ind w:left="1964" w:hanging="668"/>
        <w:spacing w:after="0"/>
        <w:tabs>
          <w:tab w:leader="none" w:pos="1964"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deliver such certificates, documentation or evidence as may be required pursuant to </w:t>
      </w:r>
      <w:r>
        <w:rPr>
          <w:rFonts w:ascii="Times New Roman" w:cs="Times New Roman" w:eastAsia="Times New Roman" w:hAnsi="Times New Roman"/>
          <w:sz w:val="18"/>
          <w:szCs w:val="18"/>
          <w:b w:val="1"/>
          <w:bCs w:val="1"/>
          <w:color w:val="auto"/>
        </w:rPr>
        <w:t>Section 2.10(D)</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4" w:firstLine="644"/>
        <w:spacing w:after="0" w:line="267" w:lineRule="auto"/>
        <w:tabs>
          <w:tab w:leader="none" w:pos="127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Effecting Transfers and Exchanges</w:t>
      </w:r>
      <w:r>
        <w:rPr>
          <w:rFonts w:ascii="Times New Roman" w:cs="Times New Roman" w:eastAsia="Times New Roman" w:hAnsi="Times New Roman"/>
          <w:sz w:val="18"/>
          <w:szCs w:val="18"/>
          <w:color w:val="auto"/>
        </w:rPr>
        <w:t>. Upon the satisfaction of the requirements of this Indenture to effect a transfer or exchange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any Physical Note (such Physical Note being referred to as the “old Physical Note” for purposes of this </w:t>
      </w:r>
      <w:r>
        <w:rPr>
          <w:rFonts w:ascii="Times New Roman" w:cs="Times New Roman" w:eastAsia="Times New Roman" w:hAnsi="Times New Roman"/>
          <w:sz w:val="18"/>
          <w:szCs w:val="18"/>
          <w:b w:val="1"/>
          <w:bCs w:val="1"/>
          <w:color w:val="auto"/>
        </w:rPr>
        <w:t>Section 2.10(C)(ii)</w:t>
      </w:r>
      <w:r>
        <w:rPr>
          <w:rFonts w:ascii="Times New Roman" w:cs="Times New Roman" w:eastAsia="Times New Roman" w:hAnsi="Times New Roman"/>
          <w:sz w:val="18"/>
          <w:szCs w:val="18"/>
          <w:color w:val="auto"/>
        </w:rPr>
        <w:t>) of a Holder (or any portion of such old Physical Note in an Authorized Denomination):</w:t>
      </w:r>
    </w:p>
    <w:p>
      <w:pPr>
        <w:spacing w:after="0" w:line="171" w:lineRule="exact"/>
        <w:rPr>
          <w:rFonts w:ascii="Times New Roman" w:cs="Times New Roman" w:eastAsia="Times New Roman" w:hAnsi="Times New Roman"/>
          <w:sz w:val="18"/>
          <w:szCs w:val="18"/>
          <w:color w:val="auto"/>
        </w:rPr>
      </w:pPr>
    </w:p>
    <w:p>
      <w:pPr>
        <w:ind w:left="1964" w:hanging="668"/>
        <w:spacing w:after="0"/>
        <w:tabs>
          <w:tab w:leader="none" w:pos="1964"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old Physical Note will be promptly cancelled pursuant to </w:t>
      </w:r>
      <w:r>
        <w:rPr>
          <w:rFonts w:ascii="Times New Roman" w:cs="Times New Roman" w:eastAsia="Times New Roman" w:hAnsi="Times New Roman"/>
          <w:sz w:val="18"/>
          <w:szCs w:val="18"/>
          <w:b w:val="1"/>
          <w:bCs w:val="1"/>
          <w:color w:val="auto"/>
        </w:rPr>
        <w:t>Section 2.15</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ind w:left="4904" w:hanging="92"/>
        <w:spacing w:after="0"/>
        <w:tabs>
          <w:tab w:leader="none" w:pos="4904" w:val="left"/>
        </w:tabs>
        <w:numPr>
          <w:ilvl w:val="3"/>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33" w:name="page34"/>
    <w:bookmarkEnd w:id="33"/>
    <w:p>
      <w:pPr>
        <w:jc w:val="both"/>
        <w:ind w:left="180" w:firstLine="652"/>
        <w:spacing w:after="0" w:line="261" w:lineRule="auto"/>
        <w:tabs>
          <w:tab w:leader="none" w:pos="156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old Physical Note is to be so transferred or exchanged only in part, then the Company will issue, execute and deliver, and the Trustee will authenticate, in each case in accordance with </w:t>
      </w:r>
      <w:r>
        <w:rPr>
          <w:rFonts w:ascii="Times New Roman" w:cs="Times New Roman" w:eastAsia="Times New Roman" w:hAnsi="Times New Roman"/>
          <w:sz w:val="18"/>
          <w:szCs w:val="18"/>
          <w:b w:val="1"/>
          <w:bCs w:val="1"/>
          <w:color w:val="auto"/>
        </w:rPr>
        <w:t>Section 2.02</w:t>
      </w:r>
      <w:r>
        <w:rPr>
          <w:rFonts w:ascii="Times New Roman" w:cs="Times New Roman" w:eastAsia="Times New Roman" w:hAnsi="Times New Roman"/>
          <w:sz w:val="18"/>
          <w:szCs w:val="18"/>
          <w:color w:val="auto"/>
        </w:rPr>
        <w:t xml:space="preserve">, one or more Physical Notes that (x) are in Authorized Denominations and have an aggregate principal amount equal to the principal amount of such old Physical Note not to be so transferred or exchanged; (y) are registered in the name of such Holder; and (z) bear each legend, if any, required by </w:t>
      </w:r>
      <w:r>
        <w:rPr>
          <w:rFonts w:ascii="Times New Roman" w:cs="Times New Roman" w:eastAsia="Times New Roman" w:hAnsi="Times New Roman"/>
          <w:sz w:val="18"/>
          <w:szCs w:val="18"/>
          <w:b w:val="1"/>
          <w:bCs w:val="1"/>
          <w:color w:val="auto"/>
        </w:rPr>
        <w:t>Section 2.09</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1500" w:hanging="668"/>
        <w:spacing w:after="0"/>
        <w:tabs>
          <w:tab w:leader="none" w:pos="1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w:t>
      </w:r>
    </w:p>
    <w:p>
      <w:pPr>
        <w:spacing w:after="0" w:line="225" w:lineRule="exact"/>
        <w:rPr>
          <w:rFonts w:ascii="Times New Roman" w:cs="Times New Roman" w:eastAsia="Times New Roman" w:hAnsi="Times New Roman"/>
          <w:sz w:val="18"/>
          <w:szCs w:val="18"/>
          <w:color w:val="auto"/>
        </w:rPr>
      </w:pPr>
    </w:p>
    <w:p>
      <w:pPr>
        <w:jc w:val="both"/>
        <w:ind w:left="840" w:firstLine="640"/>
        <w:spacing w:after="0" w:line="253" w:lineRule="auto"/>
        <w:tabs>
          <w:tab w:leader="none" w:pos="229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Depositary or a nominee thereof that will hold its interest in such old Physical Note (or such portion thereof) to be so transferred in the form of one or more Global Notes, the Trustee will reflect an increase of the principal amount of one or more existing Global Notes by notation on the “Schedule of Exchanges of Interests in the Global Note” forming part of such Global Note(s), which increase(s) are in Authorized Denominations and aggregate to the principal amount to be so transferred, and which Global Note(s) bear each legend, if any, required by </w:t>
      </w:r>
      <w:r>
        <w:rPr>
          <w:rFonts w:ascii="Times New Roman" w:cs="Times New Roman" w:eastAsia="Times New Roman" w:hAnsi="Times New Roman"/>
          <w:sz w:val="18"/>
          <w:szCs w:val="18"/>
          <w:b w:val="1"/>
          <w:bCs w:val="1"/>
          <w:color w:val="auto"/>
        </w:rPr>
        <w:t>Section 2.09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such transfer cannot be so effected by notation on one or more existing Global Notes (whether because no Global Notes bearing each legend, if any, required by </w:t>
      </w:r>
      <w:r>
        <w:rPr>
          <w:rFonts w:ascii="Times New Roman" w:cs="Times New Roman" w:eastAsia="Times New Roman" w:hAnsi="Times New Roman"/>
          <w:sz w:val="18"/>
          <w:szCs w:val="18"/>
          <w:b w:val="1"/>
          <w:bCs w:val="1"/>
          <w:color w:val="auto"/>
        </w:rPr>
        <w:t>Section 2.09</w:t>
      </w:r>
      <w:r>
        <w:rPr>
          <w:rFonts w:ascii="Times New Roman" w:cs="Times New Roman" w:eastAsia="Times New Roman" w:hAnsi="Times New Roman"/>
          <w:sz w:val="18"/>
          <w:szCs w:val="18"/>
          <w:color w:val="auto"/>
        </w:rPr>
        <w:t xml:space="preserve"> then exist, because any such increase will result in any Global Note having an aggregate principal amount exceeding the maximum aggregate principal amount permitted by the Depositary or otherwise), then the Company will issue, execute and deliver, and the Trustee will authenticate, in each case in accordance with </w:t>
      </w:r>
      <w:r>
        <w:rPr>
          <w:rFonts w:ascii="Times New Roman" w:cs="Times New Roman" w:eastAsia="Times New Roman" w:hAnsi="Times New Roman"/>
          <w:sz w:val="18"/>
          <w:szCs w:val="18"/>
          <w:b w:val="1"/>
          <w:bCs w:val="1"/>
          <w:color w:val="auto"/>
        </w:rPr>
        <w:t>Section 2.02</w:t>
      </w:r>
      <w:r>
        <w:rPr>
          <w:rFonts w:ascii="Times New Roman" w:cs="Times New Roman" w:eastAsia="Times New Roman" w:hAnsi="Times New Roman"/>
          <w:sz w:val="18"/>
          <w:szCs w:val="18"/>
          <w:color w:val="auto"/>
        </w:rPr>
        <w:t xml:space="preserve">, one or more Global Notes that (x) are in Authorized Denominations and have an aggregate principal amount equal to the principal amount that is to be so transferred but that is not effected by notation as provided above; and (y) bear each legend, if any, required by </w:t>
      </w:r>
      <w:r>
        <w:rPr>
          <w:rFonts w:ascii="Times New Roman" w:cs="Times New Roman" w:eastAsia="Times New Roman" w:hAnsi="Times New Roman"/>
          <w:sz w:val="18"/>
          <w:szCs w:val="18"/>
          <w:b w:val="1"/>
          <w:bCs w:val="1"/>
          <w:color w:val="auto"/>
        </w:rPr>
        <w:t>Section 2.09</w:t>
      </w:r>
      <w:r>
        <w:rPr>
          <w:rFonts w:ascii="Times New Roman" w:cs="Times New Roman" w:eastAsia="Times New Roman" w:hAnsi="Times New Roman"/>
          <w:sz w:val="18"/>
          <w:szCs w:val="18"/>
          <w:color w:val="auto"/>
        </w:rPr>
        <w:t>; and</w:t>
      </w:r>
    </w:p>
    <w:p>
      <w:pPr>
        <w:spacing w:after="0" w:line="189" w:lineRule="exact"/>
        <w:rPr>
          <w:rFonts w:ascii="Times New Roman" w:cs="Times New Roman" w:eastAsia="Times New Roman" w:hAnsi="Times New Roman"/>
          <w:sz w:val="18"/>
          <w:szCs w:val="18"/>
          <w:color w:val="auto"/>
        </w:rPr>
      </w:pPr>
    </w:p>
    <w:p>
      <w:pPr>
        <w:jc w:val="both"/>
        <w:ind w:left="840" w:firstLine="640"/>
        <w:spacing w:after="0" w:line="258" w:lineRule="auto"/>
        <w:tabs>
          <w:tab w:leader="none" w:pos="216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 transferee that will hold its interest in such old Physical Note (or such portion thereof) to be so transferred in the form of one or more Physical Notes, the Company will issue, execute and deliver, and the Trustee will authenticate, in each case in accordance with </w:t>
      </w:r>
      <w:r>
        <w:rPr>
          <w:rFonts w:ascii="Times New Roman" w:cs="Times New Roman" w:eastAsia="Times New Roman" w:hAnsi="Times New Roman"/>
          <w:sz w:val="18"/>
          <w:szCs w:val="18"/>
          <w:b w:val="1"/>
          <w:bCs w:val="1"/>
          <w:color w:val="auto"/>
        </w:rPr>
        <w:t>Section 2.02</w:t>
      </w:r>
      <w:r>
        <w:rPr>
          <w:rFonts w:ascii="Times New Roman" w:cs="Times New Roman" w:eastAsia="Times New Roman" w:hAnsi="Times New Roman"/>
          <w:sz w:val="18"/>
          <w:szCs w:val="18"/>
          <w:color w:val="auto"/>
        </w:rPr>
        <w:t xml:space="preserve">, one or more Physical Notes that (x) are in Authorized Denominations and have an aggregate principal amount equal to the principal amount to be so transferred; (y) are registered in the name of such transferee; and (z) bear each legend, if any, required by </w:t>
      </w:r>
      <w:r>
        <w:rPr>
          <w:rFonts w:ascii="Times New Roman" w:cs="Times New Roman" w:eastAsia="Times New Roman" w:hAnsi="Times New Roman"/>
          <w:sz w:val="18"/>
          <w:szCs w:val="18"/>
          <w:b w:val="1"/>
          <w:bCs w:val="1"/>
          <w:color w:val="auto"/>
        </w:rPr>
        <w:t>Section 2.09</w:t>
      </w:r>
      <w:r>
        <w:rPr>
          <w:rFonts w:ascii="Times New Roman" w:cs="Times New Roman" w:eastAsia="Times New Roman" w:hAnsi="Times New Roman"/>
          <w:sz w:val="18"/>
          <w:szCs w:val="18"/>
          <w:color w:val="auto"/>
        </w:rPr>
        <w:t>; and</w:t>
      </w:r>
    </w:p>
    <w:p>
      <w:pPr>
        <w:spacing w:after="0" w:line="183" w:lineRule="exact"/>
        <w:rPr>
          <w:rFonts w:ascii="Times New Roman" w:cs="Times New Roman" w:eastAsia="Times New Roman" w:hAnsi="Times New Roman"/>
          <w:sz w:val="18"/>
          <w:szCs w:val="18"/>
          <w:color w:val="auto"/>
        </w:rPr>
      </w:pPr>
    </w:p>
    <w:p>
      <w:pPr>
        <w:jc w:val="both"/>
        <w:ind w:left="180" w:firstLine="652"/>
        <w:spacing w:after="0" w:line="261" w:lineRule="auto"/>
        <w:tabs>
          <w:tab w:leader="none" w:pos="146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 exchange, the Company will issue, execute and deliver, and the Trustee will authenticate, in each case in accordance with </w:t>
      </w:r>
      <w:r>
        <w:rPr>
          <w:rFonts w:ascii="Times New Roman" w:cs="Times New Roman" w:eastAsia="Times New Roman" w:hAnsi="Times New Roman"/>
          <w:sz w:val="18"/>
          <w:szCs w:val="18"/>
          <w:b w:val="1"/>
          <w:bCs w:val="1"/>
          <w:color w:val="auto"/>
        </w:rPr>
        <w:t>Section 2.02</w:t>
      </w:r>
      <w:r>
        <w:rPr>
          <w:rFonts w:ascii="Times New Roman" w:cs="Times New Roman" w:eastAsia="Times New Roman" w:hAnsi="Times New Roman"/>
          <w:sz w:val="18"/>
          <w:szCs w:val="18"/>
          <w:color w:val="auto"/>
        </w:rPr>
        <w:t xml:space="preserve">, one or more Physical Notes that (x) are in Authorized Denominations and have an aggregate principal amount equal to the principal amount to be so exchanged; (y) are registered in the name of the Person to whom such old Physical Note was registered; and (z) bear each legend, if any, required by </w:t>
      </w:r>
      <w:r>
        <w:rPr>
          <w:rFonts w:ascii="Times New Roman" w:cs="Times New Roman" w:eastAsia="Times New Roman" w:hAnsi="Times New Roman"/>
          <w:sz w:val="18"/>
          <w:szCs w:val="18"/>
          <w:b w:val="1"/>
          <w:bCs w:val="1"/>
          <w:color w:val="auto"/>
        </w:rPr>
        <w:t>Section 2.09</w:t>
      </w:r>
      <w:r>
        <w:rPr>
          <w:rFonts w:ascii="Times New Roman" w:cs="Times New Roman" w:eastAsia="Times New Roman" w:hAnsi="Times New Roman"/>
          <w:sz w:val="18"/>
          <w:szCs w:val="18"/>
          <w:color w:val="auto"/>
        </w:rPr>
        <w:t>.</w:t>
      </w:r>
    </w:p>
    <w:p>
      <w:pPr>
        <w:spacing w:after="0" w:line="350" w:lineRule="exact"/>
        <w:rPr>
          <w:rFonts w:ascii="Times New Roman" w:cs="Times New Roman" w:eastAsia="Times New Roman" w:hAnsi="Times New Roman"/>
          <w:sz w:val="18"/>
          <w:szCs w:val="18"/>
          <w:color w:val="auto"/>
        </w:rPr>
      </w:pPr>
    </w:p>
    <w:p>
      <w:pPr>
        <w:ind w:left="4440" w:hanging="92"/>
        <w:spacing w:after="0"/>
        <w:tabs>
          <w:tab w:leader="none" w:pos="4440" w:val="left"/>
        </w:tabs>
        <w:numPr>
          <w:ilvl w:val="2"/>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34" w:name="page35"/>
    <w:bookmarkEnd w:id="34"/>
    <w:p>
      <w:pPr>
        <w:ind w:firstLine="656"/>
        <w:spacing w:after="0" w:line="284" w:lineRule="auto"/>
        <w:tabs>
          <w:tab w:leader="none" w:pos="128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Requirement to Deliver Documentation and Other Evidence</w:t>
      </w:r>
      <w:r>
        <w:rPr>
          <w:rFonts w:ascii="Times New Roman" w:cs="Times New Roman" w:eastAsia="Times New Roman" w:hAnsi="Times New Roman"/>
          <w:sz w:val="18"/>
          <w:szCs w:val="18"/>
          <w:color w:val="auto"/>
        </w:rPr>
        <w:t>. If a Holder of any Note that is identified by a “restricted” CUSIP number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bears a Restricted Note Legend or is a Transfer-Restricted Security requests to:</w:t>
      </w:r>
    </w:p>
    <w:p>
      <w:pPr>
        <w:spacing w:after="0" w:line="160"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such Note to be identified by an “unrestricted” CUSIP number;</w:t>
      </w:r>
    </w:p>
    <w:p>
      <w:pPr>
        <w:spacing w:after="0" w:line="225"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remove such Restricted Note Legend; or</w:t>
      </w:r>
    </w:p>
    <w:p>
      <w:pPr>
        <w:spacing w:after="0" w:line="225"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such Note to the name of another Person,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then the Company, the Trustee and the Registrar may refuse to effect such identification, removal or transfer, as applicable, unless there is delivered to the Company, the Trustee and the Registrar such certificates or other documentation or evidence as the Company, the Trustee and the Registrar may reasonably require for the Company to determine that such identification, removal or transfer, as applicable, complies with the Securities Act and other applicable securities laws;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certificates, documentation or evidence need be so delivered on or after the Free Trade Date with respect to such Note unless the Company determines, in its reasonable discretion, that such Note is not eligible to be offered, sold or otherwise transferred pursuant to Rule 144 or otherwise without any requirements as to volume, manner of sale, availability of current public information or notice under the Securities Act.</w:t>
      </w:r>
    </w:p>
    <w:p>
      <w:pPr>
        <w:spacing w:after="0" w:line="185" w:lineRule="exact"/>
        <w:rPr>
          <w:sz w:val="20"/>
          <w:szCs w:val="20"/>
          <w:color w:val="auto"/>
        </w:rPr>
      </w:pPr>
    </w:p>
    <w:p>
      <w:pPr>
        <w:jc w:val="both"/>
        <w:ind w:firstLine="656"/>
        <w:spacing w:after="0" w:line="256" w:lineRule="auto"/>
        <w:tabs>
          <w:tab w:leader="none" w:pos="127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Transfers of Notes Subject to Redemption, Repurchase or Conversion</w:t>
      </w:r>
      <w:r>
        <w:rPr>
          <w:rFonts w:ascii="Times New Roman" w:cs="Times New Roman" w:eastAsia="Times New Roman" w:hAnsi="Times New Roman"/>
          <w:sz w:val="18"/>
          <w:szCs w:val="18"/>
          <w:color w:val="auto"/>
        </w:rPr>
        <w:t>. Notwithstanding anything to the contrary in this Indenture 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Notes, the Company, the Trustee and the Registrar will not be required to register the transfer of or exchange any Note that (i) has been surrendered for Conversion, except to the extent that any portion of such Note is not subject to Conversion; (ii) is subject to a Fundamental Change Repurchase Notice validly delivered, and not withdrawn, pursuant to </w:t>
      </w:r>
      <w:r>
        <w:rPr>
          <w:rFonts w:ascii="Times New Roman" w:cs="Times New Roman" w:eastAsia="Times New Roman" w:hAnsi="Times New Roman"/>
          <w:sz w:val="18"/>
          <w:szCs w:val="18"/>
          <w:b w:val="1"/>
          <w:bCs w:val="1"/>
          <w:color w:val="auto"/>
        </w:rPr>
        <w:t>Section 4.02(F)</w:t>
      </w:r>
      <w:r>
        <w:rPr>
          <w:rFonts w:ascii="Times New Roman" w:cs="Times New Roman" w:eastAsia="Times New Roman" w:hAnsi="Times New Roman"/>
          <w:sz w:val="18"/>
          <w:szCs w:val="18"/>
          <w:color w:val="auto"/>
        </w:rPr>
        <w:t>, except to the extent that any portion of such Note is not subject to such notice or the Company fails to pay the applicable Fundamental Change Repurchase Price when due; or (iii) has been selected for Redemption pursuant to a Redemption Notice, except to the extent that any portion of such Note is not subject to Redemption or the Company fails to pay the applicable Redemption Price when due.</w:t>
      </w:r>
    </w:p>
    <w:p>
      <w:pPr>
        <w:spacing w:after="0" w:line="181"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2.11. E</w:t>
      </w:r>
      <w:r>
        <w:rPr>
          <w:rFonts w:ascii="Times New Roman" w:cs="Times New Roman" w:eastAsia="Times New Roman" w:hAnsi="Times New Roman"/>
          <w:sz w:val="12"/>
          <w:szCs w:val="12"/>
          <w:b w:val="1"/>
          <w:bCs w:val="1"/>
          <w:color w:val="auto"/>
        </w:rPr>
        <w:t>xchange and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ancellation of</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otes to</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onverted or to</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epurchased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ursuant to a</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epurchase</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2"/>
          <w:szCs w:val="12"/>
          <w:b w:val="1"/>
          <w:bCs w:val="1"/>
          <w:color w:val="auto"/>
        </w:rPr>
        <w:t>pon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undamental</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2"/>
          <w:szCs w:val="12"/>
          <w:b w:val="1"/>
          <w:bCs w:val="1"/>
          <w:color w:val="auto"/>
        </w:rPr>
        <w:t xml:space="preserve">or </w:t>
      </w:r>
      <w:r>
        <w:rPr>
          <w:rFonts w:ascii="Times New Roman" w:cs="Times New Roman" w:eastAsia="Times New Roman" w:hAnsi="Times New Roman"/>
          <w:sz w:val="17"/>
          <w:szCs w:val="17"/>
          <w:b w:val="1"/>
          <w:bCs w:val="1"/>
          <w:color w:val="auto"/>
        </w:rPr>
        <w:t>R</w:t>
      </w:r>
      <w:r>
        <w:rPr>
          <w:rFonts w:ascii="Times New Roman" w:cs="Times New Roman" w:eastAsia="Times New Roman" w:hAnsi="Times New Roman"/>
          <w:sz w:val="12"/>
          <w:szCs w:val="12"/>
          <w:b w:val="1"/>
          <w:bCs w:val="1"/>
          <w:color w:val="auto"/>
        </w:rPr>
        <w:t>edemption</w:t>
      </w:r>
      <w:r>
        <w:rPr>
          <w:rFonts w:ascii="Times New Roman" w:cs="Times New Roman" w:eastAsia="Times New Roman" w:hAnsi="Times New Roman"/>
          <w:sz w:val="17"/>
          <w:szCs w:val="17"/>
          <w:b w:val="1"/>
          <w:bCs w:val="1"/>
          <w:color w:val="auto"/>
        </w:rPr>
        <w:t>.</w:t>
      </w:r>
    </w:p>
    <w:p>
      <w:pPr>
        <w:spacing w:after="0" w:line="200" w:lineRule="exact"/>
        <w:rPr>
          <w:sz w:val="20"/>
          <w:szCs w:val="20"/>
          <w:color w:val="auto"/>
        </w:rPr>
      </w:pPr>
    </w:p>
    <w:p>
      <w:pPr>
        <w:spacing w:after="0" w:line="223" w:lineRule="exact"/>
        <w:rPr>
          <w:sz w:val="20"/>
          <w:szCs w:val="20"/>
          <w:color w:val="auto"/>
        </w:rPr>
      </w:pPr>
    </w:p>
    <w:p>
      <w:pPr>
        <w:jc w:val="both"/>
        <w:ind w:firstLine="656"/>
        <w:spacing w:after="0" w:line="254" w:lineRule="auto"/>
        <w:tabs>
          <w:tab w:leader="none" w:pos="116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Partial Conversions of Physical Notes and Partial Repurchases of Physical Notes Pursuant to a Repurchase Upon Fundamental Change or Redemption</w:t>
      </w:r>
      <w:r>
        <w:rPr>
          <w:rFonts w:ascii="Times New Roman" w:cs="Times New Roman" w:eastAsia="Times New Roman" w:hAnsi="Times New Roman"/>
          <w:sz w:val="18"/>
          <w:szCs w:val="18"/>
          <w:color w:val="auto"/>
        </w:rPr>
        <w:t>. If only a portion of a Physical Note of a Holder is to be Converted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repurchased pursuant to a Repurchase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Fundamental Change or Redemption, then, as soon as reasonably practicable after such Physical Note is surrendered for such Conversion or repurchase, as applicable, the Company will cause such Physical Note to be exchanged, pursuant and subject to </w:t>
      </w:r>
      <w:r>
        <w:rPr>
          <w:rFonts w:ascii="Times New Roman" w:cs="Times New Roman" w:eastAsia="Times New Roman" w:hAnsi="Times New Roman"/>
          <w:sz w:val="18"/>
          <w:szCs w:val="18"/>
          <w:b w:val="1"/>
          <w:bCs w:val="1"/>
          <w:color w:val="auto"/>
        </w:rPr>
        <w:t>Section 2.10(C)</w:t>
      </w:r>
      <w:r>
        <w:rPr>
          <w:rFonts w:ascii="Times New Roman" w:cs="Times New Roman" w:eastAsia="Times New Roman" w:hAnsi="Times New Roman"/>
          <w:sz w:val="18"/>
          <w:szCs w:val="18"/>
          <w:color w:val="auto"/>
        </w:rPr>
        <w:t xml:space="preserve">, for (i) one or more Physical Notes that are in Authorized Denominations and have an aggregate principal amount equal to the principal amount of such Physical Note that is not to be so Converted or repurchased, as applicable, and deliver such Physical Note(s) to such Holder; and (ii) a Physical Note having a principal amount equal to the principal amount to be so Converted or repurchased, as applicable, which Physical Note will be Converted or repurchased, as applicable, pursuant to the terms of this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Physical Note referred to in this </w:t>
      </w:r>
      <w:r>
        <w:rPr>
          <w:rFonts w:ascii="Times New Roman" w:cs="Times New Roman" w:eastAsia="Times New Roman" w:hAnsi="Times New Roman"/>
          <w:sz w:val="18"/>
          <w:szCs w:val="18"/>
          <w:b w:val="1"/>
          <w:bCs w:val="1"/>
          <w:color w:val="auto"/>
        </w:rPr>
        <w:t>clause (ii)</w:t>
      </w:r>
      <w:r>
        <w:rPr>
          <w:rFonts w:ascii="Times New Roman" w:cs="Times New Roman" w:eastAsia="Times New Roman" w:hAnsi="Times New Roman"/>
          <w:sz w:val="18"/>
          <w:szCs w:val="18"/>
          <w:color w:val="auto"/>
        </w:rPr>
        <w:t xml:space="preserve"> need not be issued at any time after which such principal amount subject to such Conversion or repurchase, as applicable, is deemed to cease to be outstanding pursuant to </w:t>
      </w:r>
      <w:r>
        <w:rPr>
          <w:rFonts w:ascii="Times New Roman" w:cs="Times New Roman" w:eastAsia="Times New Roman" w:hAnsi="Times New Roman"/>
          <w:sz w:val="18"/>
          <w:szCs w:val="18"/>
          <w:b w:val="1"/>
          <w:bCs w:val="1"/>
          <w:color w:val="auto"/>
        </w:rPr>
        <w:t>Section 2.18</w:t>
      </w:r>
      <w:r>
        <w:rPr>
          <w:rFonts w:ascii="Times New Roman" w:cs="Times New Roman" w:eastAsia="Times New Roman" w:hAnsi="Times New Roman"/>
          <w:sz w:val="18"/>
          <w:szCs w:val="18"/>
          <w:color w:val="auto"/>
        </w:rPr>
        <w:t>.</w:t>
      </w:r>
    </w:p>
    <w:p>
      <w:pPr>
        <w:spacing w:after="0" w:line="361"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5" w:name="page36"/>
    <w:bookmarkEnd w:id="35"/>
    <w:p>
      <w:pPr>
        <w:ind w:left="1440" w:hanging="784"/>
        <w:spacing w:after="0"/>
        <w:tabs>
          <w:tab w:leader="none" w:pos="14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Cancellation of Notes that Are Converted and Notes that Are Repurchased Pursuant to a Repurchase Upon Fundamental Change or</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Redemption</w:t>
      </w:r>
      <w:r>
        <w:rPr>
          <w:rFonts w:ascii="Times New Roman" w:cs="Times New Roman" w:eastAsia="Times New Roman" w:hAnsi="Times New Roman"/>
          <w:sz w:val="18"/>
          <w:szCs w:val="18"/>
          <w:color w:val="auto"/>
        </w:rPr>
        <w:t>.</w:t>
      </w:r>
    </w:p>
    <w:p>
      <w:pPr>
        <w:spacing w:after="0" w:line="202" w:lineRule="exact"/>
        <w:rPr>
          <w:rFonts w:ascii="Times New Roman" w:cs="Times New Roman" w:eastAsia="Times New Roman" w:hAnsi="Times New Roman"/>
          <w:sz w:val="18"/>
          <w:szCs w:val="18"/>
          <w:color w:val="auto"/>
        </w:rPr>
      </w:pPr>
    </w:p>
    <w:p>
      <w:pPr>
        <w:jc w:val="both"/>
        <w:ind w:left="660" w:firstLine="644"/>
        <w:spacing w:after="0" w:line="255" w:lineRule="auto"/>
        <w:tabs>
          <w:tab w:leader="none" w:pos="1982"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Physical Notes</w:t>
      </w:r>
      <w:r>
        <w:rPr>
          <w:rFonts w:ascii="Times New Roman" w:cs="Times New Roman" w:eastAsia="Times New Roman" w:hAnsi="Times New Roman"/>
          <w:sz w:val="18"/>
          <w:szCs w:val="18"/>
          <w:color w:val="auto"/>
        </w:rPr>
        <w:t>. If a Physical Note (or any portion thereof that has not theretofore been exchanged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2.11(A)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a Holder is to be Converted pursuant to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xml:space="preserve"> or repurchased pursuant to a Repurchase Upon Fundamental Change or Redemption, then, promptly after the later of the time such Physical Note (or such portion) is deemed to cease to be outstanding pursuant to </w:t>
      </w:r>
      <w:r>
        <w:rPr>
          <w:rFonts w:ascii="Times New Roman" w:cs="Times New Roman" w:eastAsia="Times New Roman" w:hAnsi="Times New Roman"/>
          <w:sz w:val="18"/>
          <w:szCs w:val="18"/>
          <w:b w:val="1"/>
          <w:bCs w:val="1"/>
          <w:color w:val="auto"/>
        </w:rPr>
        <w:t>Section 2.18</w:t>
      </w:r>
      <w:r>
        <w:rPr>
          <w:rFonts w:ascii="Times New Roman" w:cs="Times New Roman" w:eastAsia="Times New Roman" w:hAnsi="Times New Roman"/>
          <w:sz w:val="18"/>
          <w:szCs w:val="18"/>
          <w:color w:val="auto"/>
        </w:rPr>
        <w:t xml:space="preserve"> and the time such Physical Note is surrendered for such Conversion or repurchase, as applicable, (1) such Physical Note will be cancelled pursuant to </w:t>
      </w:r>
      <w:r>
        <w:rPr>
          <w:rFonts w:ascii="Times New Roman" w:cs="Times New Roman" w:eastAsia="Times New Roman" w:hAnsi="Times New Roman"/>
          <w:sz w:val="18"/>
          <w:szCs w:val="18"/>
          <w:b w:val="1"/>
          <w:bCs w:val="1"/>
          <w:color w:val="auto"/>
        </w:rPr>
        <w:t>Section 2.15</w:t>
      </w:r>
      <w:r>
        <w:rPr>
          <w:rFonts w:ascii="Times New Roman" w:cs="Times New Roman" w:eastAsia="Times New Roman" w:hAnsi="Times New Roman"/>
          <w:sz w:val="18"/>
          <w:szCs w:val="18"/>
          <w:color w:val="auto"/>
        </w:rPr>
        <w:t>; and (2) in the case of a partial Conversion or repurchase, as applicable, the Company will issue, execute and deliver to such 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the Trustee will authenticate, in each case in accordance with </w:t>
      </w:r>
      <w:r>
        <w:rPr>
          <w:rFonts w:ascii="Times New Roman" w:cs="Times New Roman" w:eastAsia="Times New Roman" w:hAnsi="Times New Roman"/>
          <w:sz w:val="18"/>
          <w:szCs w:val="18"/>
          <w:b w:val="1"/>
          <w:bCs w:val="1"/>
          <w:color w:val="auto"/>
        </w:rPr>
        <w:t>Section 2.02</w:t>
      </w:r>
      <w:r>
        <w:rPr>
          <w:rFonts w:ascii="Times New Roman" w:cs="Times New Roman" w:eastAsia="Times New Roman" w:hAnsi="Times New Roman"/>
          <w:sz w:val="18"/>
          <w:szCs w:val="18"/>
          <w:color w:val="auto"/>
        </w:rPr>
        <w:t xml:space="preserve">, one or more Physical Notes that (x) are in Authorized Denominations and have an aggregate principal amount equal to the principal amount of such Physical Note that is not to be so Converted or repurchased, as applicable; (y) are registered in the name of such Holder; and (z) bear each legend, if any, required by </w:t>
      </w:r>
      <w:r>
        <w:rPr>
          <w:rFonts w:ascii="Times New Roman" w:cs="Times New Roman" w:eastAsia="Times New Roman" w:hAnsi="Times New Roman"/>
          <w:sz w:val="18"/>
          <w:szCs w:val="18"/>
          <w:b w:val="1"/>
          <w:bCs w:val="1"/>
          <w:color w:val="auto"/>
        </w:rPr>
        <w:t>Section 2.09</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jc w:val="both"/>
        <w:ind w:left="660" w:firstLine="644"/>
        <w:spacing w:after="0" w:line="257" w:lineRule="auto"/>
        <w:tabs>
          <w:tab w:leader="none" w:pos="1982"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Global Notes</w:t>
      </w:r>
      <w:r>
        <w:rPr>
          <w:rFonts w:ascii="Times New Roman" w:cs="Times New Roman" w:eastAsia="Times New Roman" w:hAnsi="Times New Roman"/>
          <w:sz w:val="18"/>
          <w:szCs w:val="18"/>
          <w:color w:val="auto"/>
        </w:rPr>
        <w:t>. If a Global Note (or any portion thereof) is to be Converted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repurchased pursuant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Repurchase Upon Fundamental Change or Redemption, then, promptly after the time such Note (or such portion) is deemed to cease to be outstanding pursuant to </w:t>
      </w:r>
      <w:r>
        <w:rPr>
          <w:rFonts w:ascii="Times New Roman" w:cs="Times New Roman" w:eastAsia="Times New Roman" w:hAnsi="Times New Roman"/>
          <w:sz w:val="18"/>
          <w:szCs w:val="18"/>
          <w:b w:val="1"/>
          <w:bCs w:val="1"/>
          <w:color w:val="auto"/>
        </w:rPr>
        <w:t>Section 2.18</w:t>
      </w:r>
      <w:r>
        <w:rPr>
          <w:rFonts w:ascii="Times New Roman" w:cs="Times New Roman" w:eastAsia="Times New Roman" w:hAnsi="Times New Roman"/>
          <w:sz w:val="18"/>
          <w:szCs w:val="18"/>
          <w:color w:val="auto"/>
        </w:rPr>
        <w:t xml:space="preserve">, the Trustee will reflect a decrease of the principal amount of such Global Note in an amount equal to the principal amount of such Global Note to be so Converted or repurchased, as applicable, by notation on the “Schedule of Exchanges of Interests in the Global Note” forming part of such Global Note (and, if the principal amount of such Global Note is zero following such notation, cancel such Global Note pursuant to </w:t>
      </w:r>
      <w:r>
        <w:rPr>
          <w:rFonts w:ascii="Times New Roman" w:cs="Times New Roman" w:eastAsia="Times New Roman" w:hAnsi="Times New Roman"/>
          <w:sz w:val="18"/>
          <w:szCs w:val="18"/>
          <w:b w:val="1"/>
          <w:bCs w:val="1"/>
          <w:color w:val="auto"/>
        </w:rPr>
        <w:t>Section 2.15</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2.12.</w:t>
        <w:tab/>
        <w:t>R</w:t>
      </w:r>
      <w:r>
        <w:rPr>
          <w:rFonts w:ascii="Times New Roman" w:cs="Times New Roman" w:eastAsia="Times New Roman" w:hAnsi="Times New Roman"/>
          <w:sz w:val="12"/>
          <w:szCs w:val="12"/>
          <w:b w:val="1"/>
          <w:bCs w:val="1"/>
          <w:color w:val="auto"/>
        </w:rPr>
        <w:t>emoval of</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ransfer</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estrictions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Without limiting the generality of any other provision of this Indenture (including </w:t>
      </w:r>
      <w:r>
        <w:rPr>
          <w:rFonts w:ascii="Times New Roman" w:cs="Times New Roman" w:eastAsia="Times New Roman" w:hAnsi="Times New Roman"/>
          <w:sz w:val="18"/>
          <w:szCs w:val="18"/>
          <w:b w:val="1"/>
          <w:bCs w:val="1"/>
          <w:color w:val="auto"/>
        </w:rPr>
        <w:t>Section 3.04</w:t>
      </w:r>
      <w:r>
        <w:rPr>
          <w:rFonts w:ascii="Times New Roman" w:cs="Times New Roman" w:eastAsia="Times New Roman" w:hAnsi="Times New Roman"/>
          <w:sz w:val="18"/>
          <w:szCs w:val="18"/>
          <w:color w:val="auto"/>
        </w:rPr>
        <w:t xml:space="preserve">), the Restricted Note Legend affixed to any Note will be deemed, pursuant to this </w:t>
      </w:r>
      <w:r>
        <w:rPr>
          <w:rFonts w:ascii="Times New Roman" w:cs="Times New Roman" w:eastAsia="Times New Roman" w:hAnsi="Times New Roman"/>
          <w:sz w:val="18"/>
          <w:szCs w:val="18"/>
          <w:b w:val="1"/>
          <w:bCs w:val="1"/>
          <w:color w:val="auto"/>
        </w:rPr>
        <w:t>Section 2.12</w:t>
      </w:r>
      <w:r>
        <w:rPr>
          <w:rFonts w:ascii="Times New Roman" w:cs="Times New Roman" w:eastAsia="Times New Roman" w:hAnsi="Times New Roman"/>
          <w:sz w:val="18"/>
          <w:szCs w:val="18"/>
          <w:color w:val="auto"/>
        </w:rPr>
        <w:t xml:space="preserve"> and the footnote to such Restricted Note Legend, to be removed therefrom upon the Company’s delivery to the Trustee of notice, signed on behalf of the Company by one (1) of its Officers, to such effect (and, for the avoidance of doubt, such notice need not be accompanied by an Officer’s Certificate or an Opinion of Counsel in order to be effective to cause such Restricted Note Legend to be deemed to be removed from such Note). If such Note bears a “restricted” CUSIP or ISIN number at the time of such delivery, then, upon such delivery, such Note will be deemed, pursuant to this </w:t>
      </w:r>
      <w:r>
        <w:rPr>
          <w:rFonts w:ascii="Times New Roman" w:cs="Times New Roman" w:eastAsia="Times New Roman" w:hAnsi="Times New Roman"/>
          <w:sz w:val="18"/>
          <w:szCs w:val="18"/>
          <w:b w:val="1"/>
          <w:bCs w:val="1"/>
          <w:color w:val="auto"/>
        </w:rPr>
        <w:t>Section 2.12</w:t>
      </w:r>
      <w:r>
        <w:rPr>
          <w:rFonts w:ascii="Times New Roman" w:cs="Times New Roman" w:eastAsia="Times New Roman" w:hAnsi="Times New Roman"/>
          <w:sz w:val="18"/>
          <w:szCs w:val="18"/>
          <w:color w:val="auto"/>
        </w:rPr>
        <w:t xml:space="preserve"> and the footnotes to the CUSIP and ISIN numbers set forth on the face of the certificate representing such Note, to thereafter bear the “unrestricted” CUSIP and ISIN numbers identified in such footnotes;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such Note is a Global Note and the Depositary thereof requires a mandatory exchange or other procedure to cause such Global Note to be identified by “unrestricted” CUSIP and ISIN numbers in the facilities of such Depositary, then (i) the Company will effect such exchange or procedure as soon as reasonably practicable; and (ii) for purposes of </w:t>
      </w:r>
      <w:r>
        <w:rPr>
          <w:rFonts w:ascii="Times New Roman" w:cs="Times New Roman" w:eastAsia="Times New Roman" w:hAnsi="Times New Roman"/>
          <w:sz w:val="18"/>
          <w:szCs w:val="18"/>
          <w:b w:val="1"/>
          <w:bCs w:val="1"/>
          <w:color w:val="auto"/>
        </w:rPr>
        <w:t>Section 3.04</w:t>
      </w:r>
      <w:r>
        <w:rPr>
          <w:rFonts w:ascii="Times New Roman" w:cs="Times New Roman" w:eastAsia="Times New Roman" w:hAnsi="Times New Roman"/>
          <w:sz w:val="18"/>
          <w:szCs w:val="18"/>
          <w:color w:val="auto"/>
        </w:rPr>
        <w:t xml:space="preserve"> and the definition of Freely Tradable, such Global Note will not be deemed to be identified by “unrestricted” CUSIP and ISIN numbers until such time as such exchange or procedure is effected.</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6" w:name="page37"/>
    <w:bookmarkEnd w:id="36"/>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2.13.</w:t>
        <w:tab/>
        <w:t>R</w:t>
      </w:r>
      <w:r>
        <w:rPr>
          <w:rFonts w:ascii="Times New Roman" w:cs="Times New Roman" w:eastAsia="Times New Roman" w:hAnsi="Times New Roman"/>
          <w:sz w:val="12"/>
          <w:szCs w:val="12"/>
          <w:b w:val="1"/>
          <w:bCs w:val="1"/>
          <w:color w:val="auto"/>
        </w:rPr>
        <w:t>eplacement</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otes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If a Holder of any Note claims that such Note has been mutilated, lost, destroyed or wrongfully taken, then the Company will issue, execute and deliver, and the Trustee will authenticate, in each case in accordance with </w:t>
      </w:r>
      <w:r>
        <w:rPr>
          <w:rFonts w:ascii="Times New Roman" w:cs="Times New Roman" w:eastAsia="Times New Roman" w:hAnsi="Times New Roman"/>
          <w:sz w:val="18"/>
          <w:szCs w:val="18"/>
          <w:b w:val="1"/>
          <w:bCs w:val="1"/>
          <w:color w:val="auto"/>
        </w:rPr>
        <w:t>Section 2.02</w:t>
      </w:r>
      <w:r>
        <w:rPr>
          <w:rFonts w:ascii="Times New Roman" w:cs="Times New Roman" w:eastAsia="Times New Roman" w:hAnsi="Times New Roman"/>
          <w:sz w:val="18"/>
          <w:szCs w:val="18"/>
          <w:color w:val="auto"/>
        </w:rPr>
        <w:t xml:space="preserve">, a replacement Note upon surrender to the Trustee of such mutilated Note, or upon delivery to the Trustee of evidence of such loss, destruction or wrongful taking reasonably satisfactory to the Trustee and the Company. The Company may charge the Holder of a Note for the Company’s and the Trustee’s expenses in replacing such Note pursuant to this </w:t>
      </w:r>
      <w:r>
        <w:rPr>
          <w:rFonts w:ascii="Times New Roman" w:cs="Times New Roman" w:eastAsia="Times New Roman" w:hAnsi="Times New Roman"/>
          <w:sz w:val="18"/>
          <w:szCs w:val="18"/>
          <w:b w:val="1"/>
          <w:bCs w:val="1"/>
          <w:color w:val="auto"/>
        </w:rPr>
        <w:t>Section 2.13</w:t>
      </w:r>
      <w:r>
        <w:rPr>
          <w:rFonts w:ascii="Times New Roman" w:cs="Times New Roman" w:eastAsia="Times New Roman" w:hAnsi="Times New Roman"/>
          <w:sz w:val="18"/>
          <w:szCs w:val="18"/>
          <w:color w:val="auto"/>
        </w:rPr>
        <w:t>. In addition, in the case of a lost, destroyed or wrongfully taken Note, the Company and the Trustee may require the Holder thereof to provide such security or indemnity that is satisfactory to the Company and the Trustee to protect the Company and the Trustee from any loss that any of them may suffer if such Note is replaced.</w:t>
      </w:r>
    </w:p>
    <w:p>
      <w:pPr>
        <w:sectPr>
          <w:pgSz w:w="11900" w:h="16838" w:orient="portrait"/>
          <w:cols w:equalWidth="0" w:num="1">
            <w:col w:w="11240"/>
          </w:cols>
          <w:pgMar w:left="320" w:top="117" w:right="339" w:bottom="1440" w:gutter="0" w:footer="0" w:header="0"/>
        </w:sectPr>
      </w:pP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Every replacement Note issued pursuant to this </w:t>
      </w:r>
      <w:r>
        <w:rPr>
          <w:rFonts w:ascii="Times New Roman" w:cs="Times New Roman" w:eastAsia="Times New Roman" w:hAnsi="Times New Roman"/>
          <w:sz w:val="18"/>
          <w:szCs w:val="18"/>
          <w:b w:val="1"/>
          <w:bCs w:val="1"/>
          <w:color w:val="auto"/>
        </w:rPr>
        <w:t>Section 2.13</w:t>
      </w:r>
      <w:r>
        <w:rPr>
          <w:rFonts w:ascii="Times New Roman" w:cs="Times New Roman" w:eastAsia="Times New Roman" w:hAnsi="Times New Roman"/>
          <w:sz w:val="18"/>
          <w:szCs w:val="18"/>
          <w:color w:val="auto"/>
        </w:rPr>
        <w:t xml:space="preserve"> benefits of this Indenture equally and ratably with all other Notes wrongfully taken Note is at any time enforceable by any Person.</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firstLine="60"/>
        <w:spacing w:after="0" w:line="282" w:lineRule="auto"/>
        <w:rPr>
          <w:sz w:val="20"/>
          <w:szCs w:val="20"/>
          <w:color w:val="auto"/>
        </w:rPr>
      </w:pPr>
      <w:r>
        <w:rPr>
          <w:rFonts w:ascii="Times New Roman" w:cs="Times New Roman" w:eastAsia="Times New Roman" w:hAnsi="Times New Roman"/>
          <w:sz w:val="18"/>
          <w:szCs w:val="18"/>
          <w:color w:val="auto"/>
        </w:rPr>
        <w:t>will be an additional obligation of the Company and will be entitled to all of the issued under this Indenture, regardless of whether the related lost, destroyed or</w:t>
      </w:r>
    </w:p>
    <w:p>
      <w:pPr>
        <w:spacing w:after="0" w:line="373" w:lineRule="exact"/>
        <w:rPr>
          <w:sz w:val="20"/>
          <w:szCs w:val="20"/>
          <w:color w:val="auto"/>
        </w:rPr>
      </w:pPr>
    </w:p>
    <w:p>
      <w:pPr>
        <w:sectPr>
          <w:pgSz w:w="11900" w:h="16838" w:orient="portrait"/>
          <w:cols w:equalWidth="0" w:num="2">
            <w:col w:w="5160" w:space="0"/>
            <w:col w:w="6080"/>
          </w:cols>
          <w:pgMar w:left="320" w:top="117" w:right="339" w:bottom="1440" w:gutter="0" w:footer="0" w:header="0"/>
          <w:type w:val="continuous"/>
        </w:sect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2.14.</w:t>
        <w:tab/>
        <w:t>R</w:t>
      </w:r>
      <w:r>
        <w:rPr>
          <w:rFonts w:ascii="Times New Roman" w:cs="Times New Roman" w:eastAsia="Times New Roman" w:hAnsi="Times New Roman"/>
          <w:sz w:val="12"/>
          <w:szCs w:val="12"/>
          <w:b w:val="1"/>
          <w:bCs w:val="1"/>
          <w:color w:val="auto"/>
        </w:rPr>
        <w:t>egistered</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2"/>
          <w:szCs w:val="12"/>
          <w:b w:val="1"/>
          <w:bCs w:val="1"/>
          <w:color w:val="auto"/>
        </w:rPr>
        <w:t>olders</w:t>
      </w:r>
      <w:r>
        <w:rPr>
          <w:rFonts w:ascii="Times New Roman" w:cs="Times New Roman" w:eastAsia="Times New Roman" w:hAnsi="Times New Roman"/>
          <w:sz w:val="18"/>
          <w:szCs w:val="18"/>
          <w:b w:val="1"/>
          <w:bCs w:val="1"/>
          <w:color w:val="auto"/>
        </w:rPr>
        <w:t>; C</w:t>
      </w:r>
      <w:r>
        <w:rPr>
          <w:rFonts w:ascii="Times New Roman" w:cs="Times New Roman" w:eastAsia="Times New Roman" w:hAnsi="Times New Roman"/>
          <w:sz w:val="12"/>
          <w:szCs w:val="12"/>
          <w:b w:val="1"/>
          <w:bCs w:val="1"/>
          <w:color w:val="auto"/>
        </w:rPr>
        <w:t>ertain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ights with</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espect to</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2"/>
          <w:szCs w:val="12"/>
          <w:b w:val="1"/>
          <w:bCs w:val="1"/>
          <w:color w:val="auto"/>
        </w:rPr>
        <w:t>lobal</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otes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Except to the extent rights hereunder are expressly granted to owners of beneficial interests of Notes, only the Holder of a Note will have rights under this Indenture as the owner of such Note. Without limiting the generality of the foregoing, Depositary Participants will have no rights as such under this Indenture with respect to any Global Note held on their behalf by the Depositary or its nominee, or by the Trustee as its custodian, and the Company, the Trustee and the Note Agents, and their respective agents, may treat the Depositary as the absolute owner of such Global Note for all purposes whatsoever;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the Holder of any Global Note may grant proxies and otherwise authorize any Person, including Depositary Participants and Persons that hold interests in Notes through Depositary Participants, to take any action that such Holder is entitled to take with respect to such Global Note under this Indenture or the Notes; and (B) the Company and the Trustee, and their respective agents, may give effect to any written certification, proxy or other authorization furnished by the Depositary.</w:t>
      </w:r>
    </w:p>
    <w:p>
      <w:pPr>
        <w:spacing w:after="0" w:line="188"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2.15.</w:t>
        <w:tab/>
        <w:t>C</w:t>
      </w:r>
      <w:r>
        <w:rPr>
          <w:rFonts w:ascii="Times New Roman" w:cs="Times New Roman" w:eastAsia="Times New Roman" w:hAnsi="Times New Roman"/>
          <w:sz w:val="12"/>
          <w:szCs w:val="12"/>
          <w:b w:val="1"/>
          <w:bCs w:val="1"/>
          <w:color w:val="auto"/>
        </w:rPr>
        <w:t>ancellation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may at any time deliver Notes to the Trustee for cancellation. The Registrar, the Paying Agent and the Conversion Agent will forward to the Trustee each Note duly surrendered to them for transfer, exchange, payment or Conversion. The Trustee will promptly cancel all Notes so surrendered to it in accordance with its customary procedures. Without limiting the generality of </w:t>
      </w:r>
      <w:r>
        <w:rPr>
          <w:rFonts w:ascii="Times New Roman" w:cs="Times New Roman" w:eastAsia="Times New Roman" w:hAnsi="Times New Roman"/>
          <w:sz w:val="18"/>
          <w:szCs w:val="18"/>
          <w:b w:val="1"/>
          <w:bCs w:val="1"/>
          <w:color w:val="auto"/>
        </w:rPr>
        <w:t>Section 2.03(B)</w:t>
      </w:r>
      <w:r>
        <w:rPr>
          <w:rFonts w:ascii="Times New Roman" w:cs="Times New Roman" w:eastAsia="Times New Roman" w:hAnsi="Times New Roman"/>
          <w:sz w:val="18"/>
          <w:szCs w:val="18"/>
          <w:color w:val="auto"/>
        </w:rPr>
        <w:t>, the Company may not originally issue new Notes to replace Notes that it has paid or that have been cancelled upon transfer, exchange, payment or Conversion.</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7" w:name="page38"/>
    <w:bookmarkEnd w:id="37"/>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2.16.</w:t>
        <w:tab/>
        <w:t>N</w:t>
      </w:r>
      <w:r>
        <w:rPr>
          <w:rFonts w:ascii="Times New Roman" w:cs="Times New Roman" w:eastAsia="Times New Roman" w:hAnsi="Times New Roman"/>
          <w:sz w:val="12"/>
          <w:szCs w:val="12"/>
          <w:b w:val="1"/>
          <w:bCs w:val="1"/>
          <w:color w:val="auto"/>
        </w:rPr>
        <w:t>otes</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2"/>
          <w:szCs w:val="12"/>
          <w:b w:val="1"/>
          <w:bCs w:val="1"/>
          <w:color w:val="auto"/>
        </w:rPr>
        <w:t>eld by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ompany or its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ffiliates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Without limiting the generality of </w:t>
      </w:r>
      <w:r>
        <w:rPr>
          <w:rFonts w:ascii="Times New Roman" w:cs="Times New Roman" w:eastAsia="Times New Roman" w:hAnsi="Times New Roman"/>
          <w:sz w:val="18"/>
          <w:szCs w:val="18"/>
          <w:b w:val="1"/>
          <w:bCs w:val="1"/>
          <w:color w:val="auto"/>
        </w:rPr>
        <w:t>Section 2.18</w:t>
      </w:r>
      <w:r>
        <w:rPr>
          <w:rFonts w:ascii="Times New Roman" w:cs="Times New Roman" w:eastAsia="Times New Roman" w:hAnsi="Times New Roman"/>
          <w:sz w:val="18"/>
          <w:szCs w:val="18"/>
          <w:color w:val="auto"/>
        </w:rPr>
        <w:t xml:space="preserve">, in determining whether the Holders of the required aggregate principal amount of Notes have concurred in any direction, waiver or consent, Notes owned by the Company or any of its Affiliates will be deemed not to be outstanding;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for purposes of determining whether the Trustee is protected in relying on any such direction, waiver or consent, only Notes that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Responsible Officer of the Trustee knows are so owned will be so disregarded.</w:t>
      </w:r>
    </w:p>
    <w:p>
      <w:pPr>
        <w:spacing w:after="0" w:line="176"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2.17.</w:t>
        <w:tab/>
        <w:t>T</w:t>
      </w:r>
      <w:r>
        <w:rPr>
          <w:rFonts w:ascii="Times New Roman" w:cs="Times New Roman" w:eastAsia="Times New Roman" w:hAnsi="Times New Roman"/>
          <w:sz w:val="12"/>
          <w:szCs w:val="12"/>
          <w:b w:val="1"/>
          <w:bCs w:val="1"/>
          <w:color w:val="auto"/>
        </w:rPr>
        <w:t>emporary</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otes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Until definitive Notes are ready for delivery, the Company may issue, execute and deliver, and the Trustee will authenticate, in each case in accordance with </w:t>
      </w:r>
      <w:r>
        <w:rPr>
          <w:rFonts w:ascii="Times New Roman" w:cs="Times New Roman" w:eastAsia="Times New Roman" w:hAnsi="Times New Roman"/>
          <w:sz w:val="18"/>
          <w:szCs w:val="18"/>
          <w:b w:val="1"/>
          <w:bCs w:val="1"/>
          <w:color w:val="auto"/>
        </w:rPr>
        <w:t>Section 2.02</w:t>
      </w:r>
      <w:r>
        <w:rPr>
          <w:rFonts w:ascii="Times New Roman" w:cs="Times New Roman" w:eastAsia="Times New Roman" w:hAnsi="Times New Roman"/>
          <w:sz w:val="18"/>
          <w:szCs w:val="18"/>
          <w:color w:val="auto"/>
        </w:rPr>
        <w:t xml:space="preserve">, temporary Notes. Temporary Notes will be substantially in the form of definitive Notes but may have variations that the Company considers appropriate for temporary Notes. The Company will promptly prepare, issue, execute and deliver, and the Trustee will authenticate, in each case in accordance with </w:t>
      </w:r>
      <w:r>
        <w:rPr>
          <w:rFonts w:ascii="Times New Roman" w:cs="Times New Roman" w:eastAsia="Times New Roman" w:hAnsi="Times New Roman"/>
          <w:sz w:val="18"/>
          <w:szCs w:val="18"/>
          <w:b w:val="1"/>
          <w:bCs w:val="1"/>
          <w:color w:val="auto"/>
        </w:rPr>
        <w:t>Section 2.02</w:t>
      </w:r>
      <w:r>
        <w:rPr>
          <w:rFonts w:ascii="Times New Roman" w:cs="Times New Roman" w:eastAsia="Times New Roman" w:hAnsi="Times New Roman"/>
          <w:sz w:val="18"/>
          <w:szCs w:val="18"/>
          <w:color w:val="auto"/>
        </w:rPr>
        <w:t>, definitive Notes in exchange for temporary Notes. Until so exchanged, each temporary Note will in all respects be entitled to the same benefits under this Indenture as definitive Notes.</w:t>
      </w:r>
    </w:p>
    <w:p>
      <w:pPr>
        <w:spacing w:after="0" w:line="17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2.18.</w:t>
        <w:tab/>
        <w:t>O</w:t>
      </w:r>
      <w:r>
        <w:rPr>
          <w:rFonts w:ascii="Times New Roman" w:cs="Times New Roman" w:eastAsia="Times New Roman" w:hAnsi="Times New Roman"/>
          <w:sz w:val="12"/>
          <w:szCs w:val="12"/>
          <w:b w:val="1"/>
          <w:bCs w:val="1"/>
          <w:color w:val="auto"/>
        </w:rPr>
        <w:t>utstanding</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otes</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jc w:val="both"/>
        <w:ind w:firstLine="656"/>
        <w:spacing w:after="0" w:line="258" w:lineRule="auto"/>
        <w:tabs>
          <w:tab w:leader="none" w:pos="131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The Notes that are outstanding at any time will be deemed to be those Notes that, at such time, have been duly executed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authenticated, excluding those Notes (or portions thereof) that have theretofore been (i) cancelled by the Trustee or delivered to the Trustee for cancellation in accordance with </w:t>
      </w:r>
      <w:r>
        <w:rPr>
          <w:rFonts w:ascii="Times New Roman" w:cs="Times New Roman" w:eastAsia="Times New Roman" w:hAnsi="Times New Roman"/>
          <w:sz w:val="18"/>
          <w:szCs w:val="18"/>
          <w:b w:val="1"/>
          <w:bCs w:val="1"/>
          <w:color w:val="auto"/>
        </w:rPr>
        <w:t>Section 2.15</w:t>
      </w:r>
      <w:r>
        <w:rPr>
          <w:rFonts w:ascii="Times New Roman" w:cs="Times New Roman" w:eastAsia="Times New Roman" w:hAnsi="Times New Roman"/>
          <w:sz w:val="18"/>
          <w:szCs w:val="18"/>
          <w:color w:val="auto"/>
        </w:rPr>
        <w:t xml:space="preserve">; (ii) assigned a principal amount of zero by notation on the “Schedule of Exchanges of Interests in the Global Note” forming part of any a Global Note representing such Note; (iii) paid in full (including upon Conversion) in accordance with this Indenture; or (iv) deemed to cease to be outstanding to the extent provided in, and subject to, </w:t>
      </w:r>
      <w:r>
        <w:rPr>
          <w:rFonts w:ascii="Times New Roman" w:cs="Times New Roman" w:eastAsia="Times New Roman" w:hAnsi="Times New Roman"/>
          <w:sz w:val="18"/>
          <w:szCs w:val="18"/>
          <w:b w:val="1"/>
          <w:bCs w:val="1"/>
          <w:color w:val="auto"/>
        </w:rPr>
        <w:t>clause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b w:val="1"/>
          <w:bCs w:val="1"/>
          <w:color w:val="auto"/>
        </w:rPr>
        <w:t>Section 2.18</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ind w:firstLine="656"/>
        <w:spacing w:after="0" w:line="286" w:lineRule="auto"/>
        <w:tabs>
          <w:tab w:leader="none" w:pos="126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Replaced Notes</w:t>
      </w:r>
      <w:r>
        <w:rPr>
          <w:rFonts w:ascii="Times New Roman" w:cs="Times New Roman" w:eastAsia="Times New Roman" w:hAnsi="Times New Roman"/>
          <w:sz w:val="18"/>
          <w:szCs w:val="18"/>
          <w:color w:val="auto"/>
        </w:rPr>
        <w:t>. If a Note is replaced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2.13</w:t>
      </w:r>
      <w:r>
        <w:rPr>
          <w:rFonts w:ascii="Times New Roman" w:cs="Times New Roman" w:eastAsia="Times New Roman" w:hAnsi="Times New Roman"/>
          <w:sz w:val="18"/>
          <w:szCs w:val="18"/>
          <w:color w:val="auto"/>
        </w:rPr>
        <w:t>, then such Note will cease to be outstanding at the time of its replacement,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unless the Trustee and the Company receive proof reasonably satisfactory to them that such Note is held by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purchaser” under applicable law.</w:t>
      </w:r>
    </w:p>
    <w:p>
      <w:pPr>
        <w:spacing w:after="0" w:line="156" w:lineRule="exact"/>
        <w:rPr>
          <w:rFonts w:ascii="Times New Roman" w:cs="Times New Roman" w:eastAsia="Times New Roman" w:hAnsi="Times New Roman"/>
          <w:sz w:val="18"/>
          <w:szCs w:val="18"/>
          <w:color w:val="auto"/>
        </w:rPr>
      </w:pPr>
    </w:p>
    <w:p>
      <w:pPr>
        <w:jc w:val="both"/>
        <w:ind w:firstLine="656"/>
        <w:spacing w:after="0" w:line="255" w:lineRule="auto"/>
        <w:tabs>
          <w:tab w:leader="none" w:pos="151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Maturing Notes and Notes Called for Redemption or Subject to Repurchase</w:t>
      </w:r>
      <w:r>
        <w:rPr>
          <w:rFonts w:ascii="Times New Roman" w:cs="Times New Roman" w:eastAsia="Times New Roman" w:hAnsi="Times New Roman"/>
          <w:sz w:val="18"/>
          <w:szCs w:val="18"/>
          <w:color w:val="auto"/>
        </w:rPr>
        <w:t>. If, on a Redemption Date, a Fundamental 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Repurchase Date or the Maturity Date, the Paying Agent holds money sufficient to pay the aggregate Redemption Price, Fundamental Change Repurchase Price or principal amount, respectively, together, in each case, with the aggregate interest, in each case due on such date, then (unless there occurs a Default in the payment of any such amount) (i) the Notes (or portions thereof) to be redeemed or repurchased, or that mature, on such date will be deemed, as of such date, to cease to be outstanding, except to the extent provided in </w:t>
      </w:r>
      <w:r>
        <w:rPr>
          <w:rFonts w:ascii="Times New Roman" w:cs="Times New Roman" w:eastAsia="Times New Roman" w:hAnsi="Times New Roman"/>
          <w:sz w:val="18"/>
          <w:szCs w:val="18"/>
          <w:b w:val="1"/>
          <w:bCs w:val="1"/>
          <w:color w:val="auto"/>
        </w:rPr>
        <w:t>Section 4.02(D)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4.03(F)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5.02(D)</w:t>
      </w:r>
      <w:r>
        <w:rPr>
          <w:rFonts w:ascii="Times New Roman" w:cs="Times New Roman" w:eastAsia="Times New Roman" w:hAnsi="Times New Roman"/>
          <w:sz w:val="18"/>
          <w:szCs w:val="18"/>
          <w:color w:val="auto"/>
        </w:rPr>
        <w:t>; and (ii) the rights of the Holders of such Notes (or such portions thereof), as such, will terminate with respect to such Notes (or such portions thereof), other than the right to receive the Redemption Price, Fundamental Change Repurchase Price or principal amount, as applicable, of, and accrued and unpaid interest on, such Notes (or such portions thereof), in each case as provided in this Indenture.</w:t>
      </w:r>
    </w:p>
    <w:p>
      <w:pPr>
        <w:spacing w:after="0" w:line="357"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jc w:val="both"/>
        <w:ind w:firstLine="656"/>
        <w:spacing w:after="0" w:line="258" w:lineRule="auto"/>
        <w:tabs>
          <w:tab w:leader="none" w:pos="125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Notes to Be Converted</w:t>
      </w:r>
      <w:r>
        <w:rPr>
          <w:rFonts w:ascii="Times New Roman" w:cs="Times New Roman" w:eastAsia="Times New Roman" w:hAnsi="Times New Roman"/>
          <w:sz w:val="18"/>
          <w:szCs w:val="18"/>
          <w:color w:val="auto"/>
        </w:rPr>
        <w:t>. At the Close of Business on the Conversion Date for any Note (or any portion thereof) to be Converted, such Note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(or such portion) will (unless there occurs a Default in the delivery of the Conversion Consideration or interest due, pursuant to </w:t>
      </w:r>
      <w:r>
        <w:rPr>
          <w:rFonts w:ascii="Times New Roman" w:cs="Times New Roman" w:eastAsia="Times New Roman" w:hAnsi="Times New Roman"/>
          <w:sz w:val="18"/>
          <w:szCs w:val="18"/>
          <w:b w:val="1"/>
          <w:bCs w:val="1"/>
          <w:color w:val="auto"/>
        </w:rPr>
        <w:t>Section 5.03(B)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5.02(D)</w:t>
      </w:r>
      <w:r>
        <w:rPr>
          <w:rFonts w:ascii="Times New Roman" w:cs="Times New Roman" w:eastAsia="Times New Roman" w:hAnsi="Times New Roman"/>
          <w:sz w:val="18"/>
          <w:szCs w:val="18"/>
          <w:color w:val="auto"/>
        </w:rPr>
        <w:t>, upon such Conversion) be redeemed for an amount equal to the principal amount of such Note and the Holder irrevocably directs the Company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apply the principal amount payable to it in acquiring the Conversion Consideration, with the result that such Note will cease to be outstanding, except to the extent provided in </w:t>
      </w:r>
      <w:r>
        <w:rPr>
          <w:rFonts w:ascii="Times New Roman" w:cs="Times New Roman" w:eastAsia="Times New Roman" w:hAnsi="Times New Roman"/>
          <w:sz w:val="18"/>
          <w:szCs w:val="18"/>
          <w:b w:val="1"/>
          <w:bCs w:val="1"/>
          <w:color w:val="auto"/>
        </w:rPr>
        <w:t>Section 5.02(D)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Section 5.08</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jc w:val="both"/>
        <w:ind w:firstLine="656"/>
        <w:spacing w:after="0" w:line="268" w:lineRule="auto"/>
        <w:tabs>
          <w:tab w:leader="none" w:pos="128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Cessation of Accrual of Interest</w:t>
      </w:r>
      <w:r>
        <w:rPr>
          <w:rFonts w:ascii="Times New Roman" w:cs="Times New Roman" w:eastAsia="Times New Roman" w:hAnsi="Times New Roman"/>
          <w:sz w:val="18"/>
          <w:szCs w:val="18"/>
          <w:color w:val="auto"/>
        </w:rPr>
        <w:t>. Except as provided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4.02(D)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4.03(F)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5.02(D)</w:t>
      </w:r>
      <w:r>
        <w:rPr>
          <w:rFonts w:ascii="Times New Roman" w:cs="Times New Roman" w:eastAsia="Times New Roman" w:hAnsi="Times New Roman"/>
          <w:sz w:val="18"/>
          <w:szCs w:val="18"/>
          <w:color w:val="auto"/>
        </w:rPr>
        <w:t>, interest will cease to accrue on each Note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from, and including, the date that such Note is deemed, pursuant to this </w:t>
      </w:r>
      <w:r>
        <w:rPr>
          <w:rFonts w:ascii="Times New Roman" w:cs="Times New Roman" w:eastAsia="Times New Roman" w:hAnsi="Times New Roman"/>
          <w:sz w:val="18"/>
          <w:szCs w:val="18"/>
          <w:b w:val="1"/>
          <w:bCs w:val="1"/>
          <w:color w:val="auto"/>
        </w:rPr>
        <w:t>Section 2.18</w:t>
      </w:r>
      <w:r>
        <w:rPr>
          <w:rFonts w:ascii="Times New Roman" w:cs="Times New Roman" w:eastAsia="Times New Roman" w:hAnsi="Times New Roman"/>
          <w:sz w:val="18"/>
          <w:szCs w:val="18"/>
          <w:color w:val="auto"/>
        </w:rPr>
        <w:t>, to cease to be outstanding, unless there occurs a default in the payment or delivery of any cash or other property due on such Note.</w:t>
      </w:r>
    </w:p>
    <w:p>
      <w:pPr>
        <w:spacing w:after="0" w:line="171"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2.19.</w:t>
        <w:tab/>
        <w:t>R</w:t>
      </w:r>
      <w:r>
        <w:rPr>
          <w:rFonts w:ascii="Times New Roman" w:cs="Times New Roman" w:eastAsia="Times New Roman" w:hAnsi="Times New Roman"/>
          <w:sz w:val="12"/>
          <w:szCs w:val="12"/>
          <w:b w:val="1"/>
          <w:bCs w:val="1"/>
          <w:color w:val="auto"/>
        </w:rPr>
        <w:t>epurchases by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ompany</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Without limiting the generality of </w:t>
      </w:r>
      <w:r>
        <w:rPr>
          <w:rFonts w:ascii="Times New Roman" w:cs="Times New Roman" w:eastAsia="Times New Roman" w:hAnsi="Times New Roman"/>
          <w:sz w:val="18"/>
          <w:szCs w:val="18"/>
          <w:b w:val="1"/>
          <w:bCs w:val="1"/>
          <w:color w:val="auto"/>
        </w:rPr>
        <w:t>Section 2.15</w:t>
      </w:r>
      <w:r>
        <w:rPr>
          <w:rFonts w:ascii="Times New Roman" w:cs="Times New Roman" w:eastAsia="Times New Roman" w:hAnsi="Times New Roman"/>
          <w:sz w:val="18"/>
          <w:szCs w:val="18"/>
          <w:color w:val="auto"/>
        </w:rPr>
        <w:t>, the Company may, from time to time, repurchase Notes in open market purchases or in negotiated transactions without delivering prior notice to Holders.</w:t>
      </w:r>
    </w:p>
    <w:p>
      <w:pPr>
        <w:spacing w:after="0" w:line="15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2.20.</w:t>
        <w:tab/>
        <w:t xml:space="preserve">CUSIP </w:t>
      </w:r>
      <w:r>
        <w:rPr>
          <w:rFonts w:ascii="Times New Roman" w:cs="Times New Roman" w:eastAsia="Times New Roman" w:hAnsi="Times New Roman"/>
          <w:sz w:val="12"/>
          <w:szCs w:val="12"/>
          <w:b w:val="1"/>
          <w:bCs w:val="1"/>
          <w:color w:val="auto"/>
        </w:rPr>
        <w:t>and</w:t>
      </w:r>
      <w:r>
        <w:rPr>
          <w:rFonts w:ascii="Times New Roman" w:cs="Times New Roman" w:eastAsia="Times New Roman" w:hAnsi="Times New Roman"/>
          <w:sz w:val="18"/>
          <w:szCs w:val="18"/>
          <w:b w:val="1"/>
          <w:bCs w:val="1"/>
          <w:color w:val="auto"/>
        </w:rPr>
        <w:t xml:space="preserve"> ISIN N</w:t>
      </w:r>
      <w:r>
        <w:rPr>
          <w:rFonts w:ascii="Times New Roman" w:cs="Times New Roman" w:eastAsia="Times New Roman" w:hAnsi="Times New Roman"/>
          <w:sz w:val="12"/>
          <w:szCs w:val="12"/>
          <w:b w:val="1"/>
          <w:bCs w:val="1"/>
          <w:color w:val="auto"/>
        </w:rPr>
        <w:t>umbers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b w:val="1"/>
          <w:bCs w:val="1"/>
          <w:color w:val="auto"/>
        </w:rPr>
        <w:t>Section 2.12</w:t>
      </w:r>
      <w:r>
        <w:rPr>
          <w:rFonts w:ascii="Times New Roman" w:cs="Times New Roman" w:eastAsia="Times New Roman" w:hAnsi="Times New Roman"/>
          <w:sz w:val="18"/>
          <w:szCs w:val="18"/>
          <w:color w:val="auto"/>
        </w:rPr>
        <w:t xml:space="preserve">, the Company may use one or more CUSIP or ISIN numbers to identify any of the Notes, and, if so, the Company and the Trustee will use such CUSIP or ISIN number(s) in notices to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 the Trustee makes no representation as to the correctness or accuracy of any such CUSIP or ISIN number; and (ii) the effectiveness of any such notice will not be affected by any defect in, or omission of, any such CUSIP or ISIN number. The Company will promptly notify the Trustee of any change in the CUSIP or ISIN number(s) identifying any Notes.</w:t>
      </w:r>
    </w:p>
    <w:p>
      <w:pPr>
        <w:spacing w:after="0" w:line="176" w:lineRule="exact"/>
        <w:rPr>
          <w:sz w:val="20"/>
          <w:szCs w:val="20"/>
          <w:color w:val="auto"/>
        </w:rPr>
      </w:pPr>
    </w:p>
    <w:p>
      <w:pPr>
        <w:ind w:left="4480"/>
        <w:spacing w:after="0"/>
        <w:tabs>
          <w:tab w:leader="none" w:pos="5620" w:val="left"/>
        </w:tabs>
        <w:rPr>
          <w:sz w:val="20"/>
          <w:szCs w:val="20"/>
          <w:color w:val="auto"/>
        </w:rPr>
      </w:pPr>
      <w:r>
        <w:rPr>
          <w:rFonts w:ascii="Times New Roman" w:cs="Times New Roman" w:eastAsia="Times New Roman" w:hAnsi="Times New Roman"/>
          <w:sz w:val="18"/>
          <w:szCs w:val="18"/>
          <w:b w:val="1"/>
          <w:bCs w:val="1"/>
          <w:color w:val="auto"/>
        </w:rPr>
        <w:t>Article 3.</w:t>
      </w:r>
      <w:r>
        <w:rPr>
          <w:sz w:val="20"/>
          <w:szCs w:val="20"/>
          <w:color w:val="auto"/>
        </w:rPr>
        <w:tab/>
      </w:r>
      <w:r>
        <w:rPr>
          <w:rFonts w:ascii="Times New Roman" w:cs="Times New Roman" w:eastAsia="Times New Roman" w:hAnsi="Times New Roman"/>
          <w:sz w:val="17"/>
          <w:szCs w:val="17"/>
          <w:b w:val="1"/>
          <w:bCs w:val="1"/>
          <w:color w:val="auto"/>
        </w:rPr>
        <w:t>COVENANTS</w:t>
      </w:r>
    </w:p>
    <w:p>
      <w:pPr>
        <w:spacing w:after="0" w:line="22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3.01.</w:t>
        <w:tab/>
        <w:t>P</w:t>
      </w:r>
      <w:r>
        <w:rPr>
          <w:rFonts w:ascii="Times New Roman" w:cs="Times New Roman" w:eastAsia="Times New Roman" w:hAnsi="Times New Roman"/>
          <w:sz w:val="12"/>
          <w:szCs w:val="12"/>
          <w:b w:val="1"/>
          <w:bCs w:val="1"/>
          <w:color w:val="auto"/>
        </w:rPr>
        <w:t>ayment on</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otes</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ind w:right="20" w:firstLine="656"/>
        <w:spacing w:after="0" w:line="284" w:lineRule="auto"/>
        <w:tabs>
          <w:tab w:leader="none" w:pos="130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The Company will pay or cause to be paid all the principal of, the Fundamental Change Repurchase Price and Redemption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for, interest on, and other amounts due with respect to, the Notes on the dates and in the manner set forth in this Indenture.</w:t>
      </w:r>
    </w:p>
    <w:p>
      <w:pPr>
        <w:spacing w:after="0" w:line="158" w:lineRule="exact"/>
        <w:rPr>
          <w:rFonts w:ascii="Times New Roman" w:cs="Times New Roman" w:eastAsia="Times New Roman" w:hAnsi="Times New Roman"/>
          <w:sz w:val="18"/>
          <w:szCs w:val="18"/>
          <w:color w:val="auto"/>
        </w:rPr>
      </w:pPr>
    </w:p>
    <w:p>
      <w:pPr>
        <w:jc w:val="both"/>
        <w:ind w:firstLine="656"/>
        <w:spacing w:after="0" w:line="261" w:lineRule="auto"/>
        <w:tabs>
          <w:tab w:leader="none" w:pos="12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Deposit of Funds</w:t>
      </w:r>
      <w:r>
        <w:rPr>
          <w:rFonts w:ascii="Times New Roman" w:cs="Times New Roman" w:eastAsia="Times New Roman" w:hAnsi="Times New Roman"/>
          <w:sz w:val="18"/>
          <w:szCs w:val="18"/>
          <w:color w:val="auto"/>
        </w:rPr>
        <w:t>. Before 11:00 A.M., New York City time, on each Redemption Date, Fundamental Change Repurchase Date or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Date, and on the Maturity Date or any other date on which any cash amount is due on the Notes, the Company will deposit, or will cause there to be deposited, with the Paying Agent cash, in funds immediately available on such date, sufficient to pay the cash amount due on the applicable Notes on such date. The Paying Agent will return to the Company, as soon as practicable, any money not required for such purpose.</w:t>
      </w:r>
    </w:p>
    <w:p>
      <w:pPr>
        <w:spacing w:after="0" w:line="352"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9" w:name="page40"/>
    <w:bookmarkEnd w:id="39"/>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3.02.</w:t>
        <w:tab/>
        <w:t>E</w:t>
      </w:r>
      <w:r>
        <w:rPr>
          <w:rFonts w:ascii="Times New Roman" w:cs="Times New Roman" w:eastAsia="Times New Roman" w:hAnsi="Times New Roman"/>
          <w:sz w:val="12"/>
          <w:szCs w:val="12"/>
          <w:b w:val="1"/>
          <w:bCs w:val="1"/>
          <w:color w:val="auto"/>
        </w:rPr>
        <w:t>xchange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ct</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eports</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jc w:val="both"/>
        <w:ind w:firstLine="656"/>
        <w:spacing w:after="0" w:line="255" w:lineRule="auto"/>
        <w:tabs>
          <w:tab w:leader="none" w:pos="14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The Company will send to the Trustee copies of all reports that the Company is required to file with the SEC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Section 13(a) or 15(d) of the Exchange Act (other than Form 8-K reports) within fifteen (15) calendar days after the date that the Company is required to file the same (after giving effect to all applicable grace periods under the Exchange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Company need not send to the Trustee any material for which the Company has received, or is seeking in good faith and has not been denied, confidential treatment by the SEC. Any such report that the Company files with the SEC through the EDGAR system (or any successor thereto) will be deemed to be sent to the Trustee at the time such report is so filed via the EDGAR system (or such successor). Upon the request of any Holder, the Trustee will provide to such Holder a copy of any report that the Company has sent the Trustee pursuant to this </w:t>
      </w:r>
      <w:r>
        <w:rPr>
          <w:rFonts w:ascii="Times New Roman" w:cs="Times New Roman" w:eastAsia="Times New Roman" w:hAnsi="Times New Roman"/>
          <w:sz w:val="18"/>
          <w:szCs w:val="18"/>
          <w:b w:val="1"/>
          <w:bCs w:val="1"/>
          <w:color w:val="auto"/>
        </w:rPr>
        <w:t>Section 3.02(A)</w:t>
      </w:r>
      <w:r>
        <w:rPr>
          <w:rFonts w:ascii="Times New Roman" w:cs="Times New Roman" w:eastAsia="Times New Roman" w:hAnsi="Times New Roman"/>
          <w:sz w:val="18"/>
          <w:szCs w:val="18"/>
          <w:color w:val="auto"/>
        </w:rPr>
        <w:t>, other than a report that is deemed to be sent to the Trustee pursuant to the preceding sentence.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“grace periods” referred to in the preceding paragraph with respect to any report will include the maximum period afforded by Rule 12b-25 regardless of whether the Company files, or indicates in the related Form 12b-25 (or any successor form thereto) that the Company expects to or will file, such report before the expiration of such maximum period.</w:t>
      </w:r>
    </w:p>
    <w:p>
      <w:pPr>
        <w:spacing w:after="0" w:line="174" w:lineRule="exact"/>
        <w:rPr>
          <w:sz w:val="20"/>
          <w:szCs w:val="20"/>
          <w:color w:val="auto"/>
        </w:rPr>
      </w:pPr>
    </w:p>
    <w:p>
      <w:pPr>
        <w:jc w:val="both"/>
        <w:ind w:firstLine="656"/>
        <w:spacing w:after="0" w:line="261" w:lineRule="auto"/>
        <w:tabs>
          <w:tab w:leader="none" w:pos="139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Trustee’s Disclaimer</w:t>
      </w:r>
      <w:r>
        <w:rPr>
          <w:rFonts w:ascii="Times New Roman" w:cs="Times New Roman" w:eastAsia="Times New Roman" w:hAnsi="Times New Roman"/>
          <w:sz w:val="18"/>
          <w:szCs w:val="18"/>
          <w:color w:val="auto"/>
        </w:rPr>
        <w:t>. The Trustee need not determine whether the Company has filed any material via the EDGAR system (or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successor). The sending or filing of reports pursuant to </w:t>
      </w:r>
      <w:r>
        <w:rPr>
          <w:rFonts w:ascii="Times New Roman" w:cs="Times New Roman" w:eastAsia="Times New Roman" w:hAnsi="Times New Roman"/>
          <w:sz w:val="18"/>
          <w:szCs w:val="18"/>
          <w:b w:val="1"/>
          <w:bCs w:val="1"/>
          <w:color w:val="auto"/>
        </w:rPr>
        <w:t>Section 3.02(A)</w:t>
      </w:r>
      <w:r>
        <w:rPr>
          <w:rFonts w:ascii="Times New Roman" w:cs="Times New Roman" w:eastAsia="Times New Roman" w:hAnsi="Times New Roman"/>
          <w:sz w:val="18"/>
          <w:szCs w:val="18"/>
          <w:color w:val="auto"/>
        </w:rPr>
        <w:t xml:space="preserve"> will not be deemed to constitute actual or constructive notice to the Trustee of any information contained, or determinable from information contained, therein, including the Company’s compliance with any of its covenants under this Indenture.</w:t>
      </w:r>
    </w:p>
    <w:p>
      <w:pPr>
        <w:spacing w:after="0" w:line="178"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3.03.</w:t>
        <w:tab/>
        <w:t>R</w:t>
      </w:r>
      <w:r>
        <w:rPr>
          <w:rFonts w:ascii="Times New Roman" w:cs="Times New Roman" w:eastAsia="Times New Roman" w:hAnsi="Times New Roman"/>
          <w:sz w:val="12"/>
          <w:szCs w:val="12"/>
          <w:b w:val="1"/>
          <w:bCs w:val="1"/>
          <w:color w:val="auto"/>
        </w:rPr>
        <w:t>ule</w:t>
      </w:r>
      <w:r>
        <w:rPr>
          <w:rFonts w:ascii="Times New Roman" w:cs="Times New Roman" w:eastAsia="Times New Roman" w:hAnsi="Times New Roman"/>
          <w:sz w:val="18"/>
          <w:szCs w:val="18"/>
          <w:b w:val="1"/>
          <w:bCs w:val="1"/>
          <w:color w:val="auto"/>
        </w:rPr>
        <w:t xml:space="preserve"> 144A I</w:t>
      </w:r>
      <w:r>
        <w:rPr>
          <w:rFonts w:ascii="Times New Roman" w:cs="Times New Roman" w:eastAsia="Times New Roman" w:hAnsi="Times New Roman"/>
          <w:sz w:val="12"/>
          <w:szCs w:val="12"/>
          <w:b w:val="1"/>
          <w:bCs w:val="1"/>
          <w:color w:val="auto"/>
        </w:rPr>
        <w:t>nformation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Company is not subject to Section 13 or 15(d) of the Exchange Act at any time when any Notes or Ordinary Shares issuable upon Conversion of the Notes are outstanding and constitute “restricted securities” (as defined in Rule 144), then the Company (or its successor) will promptly provide, to the Trustee and, upon written request, to any Holder, beneficial owner or prospective purchaser of such Notes or shares, the information required to be delivered pursuant to Rule 144A(d)(4) under the Securities Act to facilitate the resale of such Notes or shares pursuant to Rule 144A.</w:t>
      </w:r>
    </w:p>
    <w:p>
      <w:pPr>
        <w:spacing w:after="0" w:line="176"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3.04.</w:t>
        <w:tab/>
        <w:t>A</w:t>
      </w:r>
      <w:r>
        <w:rPr>
          <w:rFonts w:ascii="Times New Roman" w:cs="Times New Roman" w:eastAsia="Times New Roman" w:hAnsi="Times New Roman"/>
          <w:sz w:val="12"/>
          <w:szCs w:val="12"/>
          <w:b w:val="1"/>
          <w:bCs w:val="1"/>
          <w:color w:val="auto"/>
        </w:rPr>
        <w:t>dditional</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nterest</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ind w:left="1320" w:hanging="664"/>
        <w:spacing w:after="0"/>
        <w:tabs>
          <w:tab w:leader="none" w:pos="1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Accrual of Additional Interest</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660" w:firstLine="644"/>
        <w:spacing w:after="0" w:line="282" w:lineRule="auto"/>
        <w:tabs>
          <w:tab w:leader="none" w:pos="194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during the six (6) month period beginning on, and including, the date that is six (6) months after the Last Original Issue Date of any Note,</w:t>
      </w:r>
    </w:p>
    <w:p>
      <w:pPr>
        <w:spacing w:after="0" w:line="161" w:lineRule="exact"/>
        <w:rPr>
          <w:rFonts w:ascii="Times New Roman" w:cs="Times New Roman" w:eastAsia="Times New Roman" w:hAnsi="Times New Roman"/>
          <w:sz w:val="18"/>
          <w:szCs w:val="18"/>
          <w:color w:val="auto"/>
        </w:rPr>
      </w:pPr>
    </w:p>
    <w:p>
      <w:pPr>
        <w:ind w:left="1300" w:firstLine="652"/>
        <w:spacing w:after="0" w:line="282" w:lineRule="auto"/>
        <w:tabs>
          <w:tab w:leader="none" w:pos="2576"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fails to timely file any report that is required for the Company to satisfy the requirements set forth in Rule 144(c)(1) under the Securities Act (after giving effect to all grace periods permitted thereunder); or</w:t>
      </w:r>
    </w:p>
    <w:p>
      <w:pPr>
        <w:spacing w:after="0" w:line="161"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Note is not otherwise Freely Tradable,</w:t>
      </w:r>
    </w:p>
    <w:p>
      <w:pPr>
        <w:spacing w:after="0" w:line="22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then Additional Interest will accrue on such Note for each day during such period on which such failure is continuing or such Note is not Freely Tradable. The “grace periods” referred to in the preceding sentence with respect to any report will include the maximum period afforded by Rule 12b-25 regardless of whether the Company files, or indicates in the related Form 12b-25 (or any successor form thereto) that the Company expects to or will file, such report before the expiration of such maximum period.</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ind w:left="4" w:firstLine="644"/>
        <w:spacing w:after="0" w:line="282" w:lineRule="auto"/>
        <w:tabs>
          <w:tab w:leader="none" w:pos="1272"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Additional Interest will accrue on a Note on each day on which such Note is not Freely Tradable on or after the De-Legending Deadline Date for such Note.</w:t>
      </w:r>
    </w:p>
    <w:p>
      <w:pPr>
        <w:spacing w:after="0" w:line="157" w:lineRule="exact"/>
        <w:rPr>
          <w:rFonts w:ascii="Times New Roman" w:cs="Times New Roman" w:eastAsia="Times New Roman" w:hAnsi="Times New Roman"/>
          <w:sz w:val="18"/>
          <w:szCs w:val="18"/>
          <w:color w:val="auto"/>
        </w:rPr>
      </w:pPr>
    </w:p>
    <w:p>
      <w:pPr>
        <w:jc w:val="both"/>
        <w:ind w:left="-656" w:firstLine="656"/>
        <w:spacing w:after="0" w:line="255" w:lineRule="auto"/>
        <w:tabs>
          <w:tab w:leader="none" w:pos="75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Amount and Payment of Additional Interest</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3.04(C)</w:t>
      </w:r>
      <w:r>
        <w:rPr>
          <w:rFonts w:ascii="Times New Roman" w:cs="Times New Roman" w:eastAsia="Times New Roman" w:hAnsi="Times New Roman"/>
          <w:sz w:val="18"/>
          <w:szCs w:val="18"/>
          <w:color w:val="auto"/>
        </w:rPr>
        <w:t>, any Additional Interest that accrues on a Note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 xml:space="preserve">Section 3.04(A) </w:t>
      </w:r>
      <w:r>
        <w:rPr>
          <w:rFonts w:ascii="Times New Roman" w:cs="Times New Roman" w:eastAsia="Times New Roman" w:hAnsi="Times New Roman"/>
          <w:sz w:val="18"/>
          <w:szCs w:val="18"/>
          <w:color w:val="auto"/>
        </w:rPr>
        <w:t>will be payable on the same dates and in the same manner as the Stated Interest on such Note and will accrue at a rate per annum equal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one quarter of one percent (0.25%) of the principal amount thereof for the first ninety (90) days on which Additional Interest accrues and, thereafter, at a rate per annum equal to one half of one percent (0.50%) of the principal amount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in no event will Additional Interest (excluding any interest that accrues on any Deferred Additional Interest pursuant to </w:t>
      </w:r>
      <w:r>
        <w:rPr>
          <w:rFonts w:ascii="Times New Roman" w:cs="Times New Roman" w:eastAsia="Times New Roman" w:hAnsi="Times New Roman"/>
          <w:sz w:val="18"/>
          <w:szCs w:val="18"/>
          <w:b w:val="1"/>
          <w:bCs w:val="1"/>
          <w:color w:val="auto"/>
        </w:rPr>
        <w:t>Section 3.04(C)</w:t>
      </w:r>
      <w:r>
        <w:rPr>
          <w:rFonts w:ascii="Times New Roman" w:cs="Times New Roman" w:eastAsia="Times New Roman" w:hAnsi="Times New Roman"/>
          <w:sz w:val="18"/>
          <w:szCs w:val="18"/>
          <w:color w:val="auto"/>
        </w:rPr>
        <w:t>), together with any Special Interest, accrue on any day on a Note at a combined rate per annum that exceeds one half of one percent (0.50%). For the avoidance of doubt, any Additional Interest that accrues on a Note will be in addition to the Stated Interest that accrues on such Note and, subject to the proviso of the immediately preceding sentence, in addition to any Special Interest that accrues on such Note.</w:t>
      </w:r>
    </w:p>
    <w:p>
      <w:pPr>
        <w:spacing w:after="0" w:line="186"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Deferral of Additional Interest</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jc w:val="both"/>
        <w:ind w:left="4" w:firstLine="644"/>
        <w:spacing w:after="0" w:line="253" w:lineRule="auto"/>
        <w:tabs>
          <w:tab w:leader="none" w:pos="1299"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Notwithstanding anything to the contrary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3.04</w:t>
      </w:r>
      <w:r>
        <w:rPr>
          <w:rFonts w:ascii="Times New Roman" w:cs="Times New Roman" w:eastAsia="Times New Roman" w:hAnsi="Times New Roman"/>
          <w:sz w:val="18"/>
          <w:szCs w:val="18"/>
          <w:color w:val="auto"/>
        </w:rPr>
        <w:t>, but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3.04(C)(iii)</w:t>
      </w:r>
      <w:r>
        <w:rPr>
          <w:rFonts w:ascii="Times New Roman" w:cs="Times New Roman" w:eastAsia="Times New Roman" w:hAnsi="Times New Roman"/>
          <w:sz w:val="18"/>
          <w:szCs w:val="18"/>
          <w:color w:val="auto"/>
        </w:rPr>
        <w:t>, Additional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accrues on any Note for any period on or after the De-Legending Deadline Date of such Note will not be payable on any Interest Payment Date occurring on or after such De-Legending Deadline Date unless (1) a Holder (or an owner of a beneficial interest in a Global Note) has delivered to the Company and the Trustee, before the Regular Record Date immediately before such Interest Payment Date, a written notice (a “</w:t>
      </w:r>
      <w:r>
        <w:rPr>
          <w:rFonts w:ascii="Times New Roman" w:cs="Times New Roman" w:eastAsia="Times New Roman" w:hAnsi="Times New Roman"/>
          <w:sz w:val="18"/>
          <w:szCs w:val="18"/>
          <w:b w:val="1"/>
          <w:bCs w:val="1"/>
          <w:color w:val="auto"/>
        </w:rPr>
        <w:t>Deferred Additional Interest Demand Request</w:t>
      </w:r>
      <w:r>
        <w:rPr>
          <w:rFonts w:ascii="Times New Roman" w:cs="Times New Roman" w:eastAsia="Times New Roman" w:hAnsi="Times New Roman"/>
          <w:sz w:val="18"/>
          <w:szCs w:val="18"/>
          <w:color w:val="auto"/>
        </w:rPr>
        <w:t>”) demanding payment of Additional Interest; or (2) the Company, in its sole and absolute discretion, elects, by sending notice of such election (a “</w:t>
      </w:r>
      <w:r>
        <w:rPr>
          <w:rFonts w:ascii="Times New Roman" w:cs="Times New Roman" w:eastAsia="Times New Roman" w:hAnsi="Times New Roman"/>
          <w:sz w:val="18"/>
          <w:szCs w:val="18"/>
          <w:b w:val="1"/>
          <w:bCs w:val="1"/>
          <w:color w:val="auto"/>
        </w:rPr>
        <w:t>Notice of Election to Pay Deferred Additional Interest</w:t>
      </w:r>
      <w:r>
        <w:rPr>
          <w:rFonts w:ascii="Times New Roman" w:cs="Times New Roman" w:eastAsia="Times New Roman" w:hAnsi="Times New Roman"/>
          <w:sz w:val="18"/>
          <w:szCs w:val="18"/>
          <w:color w:val="auto"/>
        </w:rPr>
        <w:t>”) to Holders before such Regular Record Date, to pay such Additional Interest on such Interest Payment Date (any accrued and unpaid Additional Interest that, in accordance with this sentence, is not paid on such Interest Payment Date, “</w:t>
      </w:r>
      <w:r>
        <w:rPr>
          <w:rFonts w:ascii="Times New Roman" w:cs="Times New Roman" w:eastAsia="Times New Roman" w:hAnsi="Times New Roman"/>
          <w:sz w:val="18"/>
          <w:szCs w:val="18"/>
          <w:b w:val="1"/>
          <w:bCs w:val="1"/>
          <w:color w:val="auto"/>
        </w:rPr>
        <w:t>Deferred Additional Interest</w:t>
      </w:r>
      <w:r>
        <w:rPr>
          <w:rFonts w:ascii="Times New Roman" w:cs="Times New Roman" w:eastAsia="Times New Roman" w:hAnsi="Times New Roman"/>
          <w:sz w:val="18"/>
          <w:szCs w:val="18"/>
          <w:color w:val="auto"/>
        </w:rPr>
        <w:t xml:space="preserve">”). Without further action by the Company or any other Person, interest will automatically accrue on such Deferred Additional Interest from, and including, such Interest Payment Date at a rate per annum equal to the rate per annum at which Stated Interest accrues on the Notes to, but excluding, the date on which such Deferred Additional Interest, together with accrued interest thereon, is paid. Once any accrued and unpaid Additional Interest becomes payable on an Interest Payment Date (whether as a result of the delivery of a written notice pursuant to </w:t>
      </w:r>
      <w:r>
        <w:rPr>
          <w:rFonts w:ascii="Times New Roman" w:cs="Times New Roman" w:eastAsia="Times New Roman" w:hAnsi="Times New Roman"/>
          <w:sz w:val="18"/>
          <w:szCs w:val="18"/>
          <w:b w:val="1"/>
          <w:bCs w:val="1"/>
          <w:color w:val="auto"/>
        </w:rPr>
        <w:t>clause (1)</w:t>
      </w:r>
      <w:r>
        <w:rPr>
          <w:rFonts w:ascii="Times New Roman" w:cs="Times New Roman" w:eastAsia="Times New Roman" w:hAnsi="Times New Roman"/>
          <w:sz w:val="18"/>
          <w:szCs w:val="18"/>
          <w:color w:val="auto"/>
        </w:rPr>
        <w:t xml:space="preserve"> above or, if earlier, the Company’s election to pay the same pursuant to </w:t>
      </w:r>
      <w:r>
        <w:rPr>
          <w:rFonts w:ascii="Times New Roman" w:cs="Times New Roman" w:eastAsia="Times New Roman" w:hAnsi="Times New Roman"/>
          <w:sz w:val="18"/>
          <w:szCs w:val="18"/>
          <w:b w:val="1"/>
          <w:bCs w:val="1"/>
          <w:color w:val="auto"/>
        </w:rPr>
        <w:t>clause (2)</w:t>
      </w:r>
      <w:r>
        <w:rPr>
          <w:rFonts w:ascii="Times New Roman" w:cs="Times New Roman" w:eastAsia="Times New Roman" w:hAnsi="Times New Roman"/>
          <w:sz w:val="18"/>
          <w:szCs w:val="18"/>
          <w:color w:val="auto"/>
        </w:rPr>
        <w:t xml:space="preserve"> above), Additional Interest will thereafter not be subject to deferral pursuant to this </w:t>
      </w:r>
      <w:r>
        <w:rPr>
          <w:rFonts w:ascii="Times New Roman" w:cs="Times New Roman" w:eastAsia="Times New Roman" w:hAnsi="Times New Roman"/>
          <w:sz w:val="18"/>
          <w:szCs w:val="18"/>
          <w:b w:val="1"/>
          <w:bCs w:val="1"/>
          <w:color w:val="auto"/>
        </w:rPr>
        <w:t>Section 3.04(C)</w:t>
      </w:r>
      <w:r>
        <w:rPr>
          <w:rFonts w:ascii="Times New Roman" w:cs="Times New Roman" w:eastAsia="Times New Roman" w:hAnsi="Times New Roman"/>
          <w:sz w:val="18"/>
          <w:szCs w:val="18"/>
          <w:color w:val="auto"/>
        </w:rPr>
        <w:t>.</w:t>
      </w:r>
    </w:p>
    <w:p>
      <w:pPr>
        <w:spacing w:after="0" w:line="362" w:lineRule="exact"/>
        <w:rPr>
          <w:rFonts w:ascii="Times New Roman" w:cs="Times New Roman" w:eastAsia="Times New Roman" w:hAnsi="Times New Roman"/>
          <w:sz w:val="18"/>
          <w:szCs w:val="18"/>
          <w:color w:val="auto"/>
        </w:rPr>
      </w:pPr>
    </w:p>
    <w:p>
      <w:pPr>
        <w:ind w:left="4904" w:hanging="92"/>
        <w:spacing w:after="0"/>
        <w:tabs>
          <w:tab w:leader="none" w:pos="4904" w:val="left"/>
        </w:tabs>
        <w:numPr>
          <w:ilvl w:val="2"/>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41" w:name="page42"/>
    <w:bookmarkEnd w:id="41"/>
    <w:p>
      <w:pPr>
        <w:jc w:val="both"/>
        <w:ind w:left="4" w:firstLine="644"/>
        <w:spacing w:after="0" w:line="257" w:lineRule="auto"/>
        <w:tabs>
          <w:tab w:leader="none" w:pos="133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Interpretive Provisions</w:t>
      </w:r>
      <w:r>
        <w:rPr>
          <w:rFonts w:ascii="Times New Roman" w:cs="Times New Roman" w:eastAsia="Times New Roman" w:hAnsi="Times New Roman"/>
          <w:sz w:val="18"/>
          <w:szCs w:val="18"/>
          <w:color w:val="auto"/>
        </w:rPr>
        <w:t>. Each reference in this Indenture or the Notes to any accrued interest (including in the definitions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Redemption Price and the Fundamental Change Repurchase Price for any Note) or to any accrued Additional Interest includes, to the extent applicable, and without duplication, any Deferred Additional Interest, together with accrued and unpaid interest thereon. For the avoidance of doubt, the failure to pay any accrued and unpaid Additional Interest on an Interest Payment Date will not constitute a Default or an Event of Default under this Indenture or the Notes if such payment is deferred in accordance with </w:t>
      </w:r>
      <w:r>
        <w:rPr>
          <w:rFonts w:ascii="Times New Roman" w:cs="Times New Roman" w:eastAsia="Times New Roman" w:hAnsi="Times New Roman"/>
          <w:sz w:val="18"/>
          <w:szCs w:val="18"/>
          <w:b w:val="1"/>
          <w:bCs w:val="1"/>
          <w:color w:val="auto"/>
        </w:rPr>
        <w:t>Section 3.04(C)(i)</w:t>
      </w:r>
      <w:r>
        <w:rPr>
          <w:rFonts w:ascii="Times New Roman" w:cs="Times New Roman" w:eastAsia="Times New Roman" w:hAnsi="Times New Roman"/>
          <w:sz w:val="18"/>
          <w:szCs w:val="18"/>
          <w:color w:val="auto"/>
        </w:rPr>
        <w:t xml:space="preserve">. Otherwise, such a failure to pay will be subject to </w:t>
      </w:r>
      <w:r>
        <w:rPr>
          <w:rFonts w:ascii="Times New Roman" w:cs="Times New Roman" w:eastAsia="Times New Roman" w:hAnsi="Times New Roman"/>
          <w:sz w:val="18"/>
          <w:szCs w:val="18"/>
          <w:b w:val="1"/>
          <w:bCs w:val="1"/>
          <w:color w:val="auto"/>
        </w:rPr>
        <w:t>Section 7.01(A)(ii)</w:t>
      </w:r>
      <w:r>
        <w:rPr>
          <w:rFonts w:ascii="Times New Roman" w:cs="Times New Roman" w:eastAsia="Times New Roman" w:hAnsi="Times New Roman"/>
          <w:sz w:val="18"/>
          <w:szCs w:val="18"/>
          <w:color w:val="auto"/>
        </w:rPr>
        <w:t>.</w:t>
      </w:r>
    </w:p>
    <w:p>
      <w:pPr>
        <w:spacing w:after="0" w:line="182" w:lineRule="exact"/>
        <w:rPr>
          <w:rFonts w:ascii="Times New Roman" w:cs="Times New Roman" w:eastAsia="Times New Roman" w:hAnsi="Times New Roman"/>
          <w:sz w:val="18"/>
          <w:szCs w:val="18"/>
          <w:color w:val="auto"/>
        </w:rPr>
      </w:pPr>
    </w:p>
    <w:p>
      <w:pPr>
        <w:jc w:val="both"/>
        <w:ind w:left="4" w:firstLine="644"/>
        <w:spacing w:after="0" w:line="253" w:lineRule="auto"/>
        <w:tabs>
          <w:tab w:leader="none" w:pos="130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 or Extinguishment Upon Maturity</w:t>
      </w:r>
      <w:r>
        <w:rPr>
          <w:rFonts w:ascii="Times New Roman" w:cs="Times New Roman" w:eastAsia="Times New Roman" w:hAnsi="Times New Roman"/>
          <w:sz w:val="18"/>
          <w:szCs w:val="18"/>
          <w:color w:val="auto"/>
        </w:rPr>
        <w:t>. Notwithstanding anything to the contrary in this Indenture or the Notes, if (1)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unpaid Deferred Additional Interest exists on any Notes as of the Close of Business on the Regular Record Date immediately preceding the Maturity Date; (2) no Holder (or owner of a beneficial interest in a Global Note) has delivered a Deferred Additional Interest Demand Request in the manner set forth in </w:t>
      </w:r>
      <w:r>
        <w:rPr>
          <w:rFonts w:ascii="Times New Roman" w:cs="Times New Roman" w:eastAsia="Times New Roman" w:hAnsi="Times New Roman"/>
          <w:sz w:val="18"/>
          <w:szCs w:val="18"/>
          <w:b w:val="1"/>
          <w:bCs w:val="1"/>
          <w:color w:val="auto"/>
        </w:rPr>
        <w:t>Section 3.04(C)(i)</w:t>
      </w:r>
      <w:r>
        <w:rPr>
          <w:rFonts w:ascii="Times New Roman" w:cs="Times New Roman" w:eastAsia="Times New Roman" w:hAnsi="Times New Roman"/>
          <w:sz w:val="18"/>
          <w:szCs w:val="18"/>
          <w:color w:val="auto"/>
        </w:rPr>
        <w:t xml:space="preserve"> before such Regular Record Date; and (3) the Company has not sent a Notice of Election to Pay Deferred Additional Interest in the manner set forth in </w:t>
      </w:r>
      <w:r>
        <w:rPr>
          <w:rFonts w:ascii="Times New Roman" w:cs="Times New Roman" w:eastAsia="Times New Roman" w:hAnsi="Times New Roman"/>
          <w:sz w:val="18"/>
          <w:szCs w:val="18"/>
          <w:b w:val="1"/>
          <w:bCs w:val="1"/>
          <w:color w:val="auto"/>
        </w:rPr>
        <w:t>Section 3.04(C)(i)</w:t>
      </w:r>
      <w:r>
        <w:rPr>
          <w:rFonts w:ascii="Times New Roman" w:cs="Times New Roman" w:eastAsia="Times New Roman" w:hAnsi="Times New Roman"/>
          <w:sz w:val="18"/>
          <w:szCs w:val="18"/>
          <w:color w:val="auto"/>
        </w:rPr>
        <w:t xml:space="preserve"> before such Regular Record Date, then Deferred Additional Interest on each Note then outstanding will cease to accrue, and all Deferred Additional Interest, together with interest thereon, on such Note will be deemed to be extinguished on the following date: (a) if such Note is to be Converted, the Conversion Date for such Conversion (it being understood, for the avoidance of doubt, that the Conversion Consideration therefor need not include, and the amount referred to in </w:t>
      </w:r>
      <w:r>
        <w:rPr>
          <w:rFonts w:ascii="Times New Roman" w:cs="Times New Roman" w:eastAsia="Times New Roman" w:hAnsi="Times New Roman"/>
          <w:sz w:val="18"/>
          <w:szCs w:val="18"/>
          <w:b w:val="1"/>
          <w:bCs w:val="1"/>
          <w:color w:val="auto"/>
        </w:rPr>
        <w:t>clause (i)</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Section 5.02(D)</w:t>
      </w:r>
      <w:r>
        <w:rPr>
          <w:rFonts w:ascii="Times New Roman" w:cs="Times New Roman" w:eastAsia="Times New Roman" w:hAnsi="Times New Roman"/>
          <w:sz w:val="18"/>
          <w:szCs w:val="18"/>
          <w:color w:val="auto"/>
        </w:rPr>
        <w:t xml:space="preserve"> need not include, the payment of any such Deferred Additional Interest or any interest thereon); and (b) in all other cases, the later of (x) the Maturity Date; and (y) the first date on which the Company has repaid the principal of, and accrued and unpaid interest (other than such Deferred Additional Interest and any interest thereon) on, such Note in full.</w:t>
      </w:r>
    </w:p>
    <w:p>
      <w:pPr>
        <w:spacing w:after="0" w:line="191" w:lineRule="exact"/>
        <w:rPr>
          <w:rFonts w:ascii="Times New Roman" w:cs="Times New Roman" w:eastAsia="Times New Roman" w:hAnsi="Times New Roman"/>
          <w:sz w:val="18"/>
          <w:szCs w:val="18"/>
          <w:color w:val="auto"/>
        </w:rPr>
      </w:pPr>
    </w:p>
    <w:p>
      <w:pPr>
        <w:jc w:val="both"/>
        <w:ind w:left="-656" w:firstLine="656"/>
        <w:spacing w:after="0" w:line="255" w:lineRule="auto"/>
        <w:tabs>
          <w:tab w:leader="none" w:pos="72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 of Accrual of Additional Interest; Trustee’s Disclaimer</w:t>
      </w:r>
      <w:r>
        <w:rPr>
          <w:rFonts w:ascii="Times New Roman" w:cs="Times New Roman" w:eastAsia="Times New Roman" w:hAnsi="Times New Roman"/>
          <w:sz w:val="18"/>
          <w:szCs w:val="18"/>
          <w:color w:val="auto"/>
        </w:rPr>
        <w:t>. The Company will send notice to the Holder of each Note, and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Trustee, of the commencement and termination of any period in which Additional Interest accrues on such Note, except that no such notice is required in respect of any Additional Interest that is deferred in accordance with </w:t>
      </w:r>
      <w:r>
        <w:rPr>
          <w:rFonts w:ascii="Times New Roman" w:cs="Times New Roman" w:eastAsia="Times New Roman" w:hAnsi="Times New Roman"/>
          <w:sz w:val="18"/>
          <w:szCs w:val="18"/>
          <w:b w:val="1"/>
          <w:bCs w:val="1"/>
          <w:color w:val="auto"/>
        </w:rPr>
        <w:t>Section 3.04(C)</w:t>
      </w:r>
      <w:r>
        <w:rPr>
          <w:rFonts w:ascii="Times New Roman" w:cs="Times New Roman" w:eastAsia="Times New Roman" w:hAnsi="Times New Roman"/>
          <w:sz w:val="18"/>
          <w:szCs w:val="18"/>
          <w:color w:val="auto"/>
        </w:rPr>
        <w:t>. In addition, if Additional Interest accrues on any Note, then, no later than five (5) Business Days before each date on which such Additional Interest is to be paid, the Company will deliver an Officer’s Certificate to the Trustee and the Paying Agent stating (i) that the Company is obligated to pay Additional Interest on such Note on such date of payment; and (ii) the amount of such Additional Interest that is payable on such date of payment. The Trustee will have no duty to determine whether any Additional Interest is payable (or whether the same is deferred or is accruing interest) or the amount thereof and may assume without inquiry that no Additional Interest is payable or has been deferred until written notice of such Additional Interest has been provided to the Trustee by the Company.</w:t>
      </w:r>
    </w:p>
    <w:p>
      <w:pPr>
        <w:spacing w:after="0" w:line="184" w:lineRule="exact"/>
        <w:rPr>
          <w:rFonts w:ascii="Times New Roman" w:cs="Times New Roman" w:eastAsia="Times New Roman" w:hAnsi="Times New Roman"/>
          <w:sz w:val="18"/>
          <w:szCs w:val="18"/>
          <w:color w:val="auto"/>
        </w:rPr>
      </w:pPr>
    </w:p>
    <w:p>
      <w:pPr>
        <w:ind w:left="-656" w:firstLine="656"/>
        <w:spacing w:after="0" w:line="284" w:lineRule="auto"/>
        <w:tabs>
          <w:tab w:leader="none" w:pos="69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Exclusive Remedy</w:t>
      </w:r>
      <w:r>
        <w:rPr>
          <w:rFonts w:ascii="Times New Roman" w:cs="Times New Roman" w:eastAsia="Times New Roman" w:hAnsi="Times New Roman"/>
          <w:sz w:val="18"/>
          <w:szCs w:val="18"/>
          <w:color w:val="auto"/>
        </w:rPr>
        <w:t>. The accrual of Additional Interest will be the exclusive remedy available to Holders for the failure of their Notes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become Freely Tradable.</w:t>
      </w:r>
    </w:p>
    <w:p>
      <w:pPr>
        <w:spacing w:after="0" w:line="331" w:lineRule="exact"/>
        <w:rPr>
          <w:rFonts w:ascii="Times New Roman" w:cs="Times New Roman" w:eastAsia="Times New Roman" w:hAnsi="Times New Roman"/>
          <w:sz w:val="18"/>
          <w:szCs w:val="18"/>
          <w:color w:val="auto"/>
        </w:rPr>
      </w:pPr>
    </w:p>
    <w:p>
      <w:pPr>
        <w:ind w:left="4904" w:hanging="92"/>
        <w:spacing w:after="0"/>
        <w:tabs>
          <w:tab w:leader="none" w:pos="4904" w:val="left"/>
        </w:tabs>
        <w:numPr>
          <w:ilvl w:val="2"/>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9" w:right="339" w:bottom="1440" w:gutter="0" w:footer="0" w:header="0"/>
        </w:sectPr>
      </w:pPr>
    </w:p>
    <w:bookmarkStart w:id="42" w:name="page43"/>
    <w:bookmarkEnd w:id="42"/>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3.05.</w:t>
        <w:tab/>
        <w:t>A</w:t>
      </w:r>
      <w:r>
        <w:rPr>
          <w:rFonts w:ascii="Times New Roman" w:cs="Times New Roman" w:eastAsia="Times New Roman" w:hAnsi="Times New Roman"/>
          <w:sz w:val="12"/>
          <w:szCs w:val="12"/>
          <w:b w:val="1"/>
          <w:bCs w:val="1"/>
          <w:color w:val="auto"/>
        </w:rPr>
        <w:t>dditional</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mounts</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jc w:val="both"/>
        <w:ind w:firstLine="656"/>
        <w:spacing w:after="0" w:line="252" w:lineRule="auto"/>
        <w:tabs>
          <w:tab w:leader="none" w:pos="123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Requirement to Pay Additional Amounts</w:t>
      </w:r>
      <w:r>
        <w:rPr>
          <w:rFonts w:ascii="Times New Roman" w:cs="Times New Roman" w:eastAsia="Times New Roman" w:hAnsi="Times New Roman"/>
          <w:sz w:val="18"/>
          <w:szCs w:val="18"/>
          <w:color w:val="auto"/>
        </w:rPr>
        <w:t>. All payments and deliveries made by, or on behalf of, the Company under or with respect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(including payment of the principal of, or the Fundamental Change Repurchase Price or Redemption Price for, or any interest on, or the delivery of any Conversion Consideration due upon Conversion of, any Note) will be made without withholding or deduction for, or on account of, any present or future Taxes, unless such withholding or deduction is required by law or regulation or by governmental policy having the force of law. If any Taxes imposed or levied by or on behalf of any jurisdiction or any political subdivision or taxing authority thereof or therein (in each case, other than the United States of America or any political subdivision or taxing authority thereof or therein) in which the Company or any Successor Entity is, for tax purposes, organized or resident or doing business or through which payment is made or deemed to be made by the Company or its agent (each such jurisdiction, subdivision or authority, as applicable, a “</w:t>
      </w:r>
      <w:r>
        <w:rPr>
          <w:rFonts w:ascii="Times New Roman" w:cs="Times New Roman" w:eastAsia="Times New Roman" w:hAnsi="Times New Roman"/>
          <w:sz w:val="18"/>
          <w:szCs w:val="18"/>
          <w:b w:val="1"/>
          <w:bCs w:val="1"/>
          <w:color w:val="auto"/>
        </w:rPr>
        <w:t>Relevant Taxing Jurisdiction</w:t>
      </w:r>
      <w:r>
        <w:rPr>
          <w:rFonts w:ascii="Times New Roman" w:cs="Times New Roman" w:eastAsia="Times New Roman" w:hAnsi="Times New Roman"/>
          <w:sz w:val="18"/>
          <w:szCs w:val="18"/>
          <w:color w:val="auto"/>
        </w:rPr>
        <w:t xml:space="preserve">”) are required to be withheld or deducted from any payments or deliveries made under or with respect to the Notes (other than any payments that are made upon conversion of the Notes, whether made in cash, Ordinary Shares or other consideration (including, for the avoidance of doubt, any payments of cash for any fractional shares or other consideration) in the event the Company, such Successor Entity or the issuer of the Ordinary Shares or Reference Property Units becomes duly organized or incorporated and existing under the laws of the United States of America, any State thereof or the District of Columbia), then, subject to </w:t>
      </w:r>
      <w:r>
        <w:rPr>
          <w:rFonts w:ascii="Times New Roman" w:cs="Times New Roman" w:eastAsia="Times New Roman" w:hAnsi="Times New Roman"/>
          <w:sz w:val="18"/>
          <w:szCs w:val="18"/>
          <w:b w:val="1"/>
          <w:bCs w:val="1"/>
          <w:color w:val="auto"/>
        </w:rPr>
        <w:t>Section 4.03(C)(ii)</w:t>
      </w:r>
      <w:r>
        <w:rPr>
          <w:rFonts w:ascii="Times New Roman" w:cs="Times New Roman" w:eastAsia="Times New Roman" w:hAnsi="Times New Roman"/>
          <w:sz w:val="18"/>
          <w:szCs w:val="18"/>
          <w:color w:val="auto"/>
        </w:rPr>
        <w:t>, the Company or such Successor Entity, as applicable, will pay to the Holder of each Note such additional amounts (the “</w:t>
      </w:r>
      <w:r>
        <w:rPr>
          <w:rFonts w:ascii="Times New Roman" w:cs="Times New Roman" w:eastAsia="Times New Roman" w:hAnsi="Times New Roman"/>
          <w:sz w:val="18"/>
          <w:szCs w:val="18"/>
          <w:b w:val="1"/>
          <w:bCs w:val="1"/>
          <w:color w:val="auto"/>
        </w:rPr>
        <w:t>Additional Amounts</w:t>
      </w:r>
      <w:r>
        <w:rPr>
          <w:rFonts w:ascii="Times New Roman" w:cs="Times New Roman" w:eastAsia="Times New Roman" w:hAnsi="Times New Roman"/>
          <w:sz w:val="18"/>
          <w:szCs w:val="18"/>
          <w:color w:val="auto"/>
        </w:rPr>
        <w:t xml:space="preserve">”) as may be necessary to ensure that the net amount received by the Holder or beneficial owner of such Note after such withholding or deduction (and after withholding or deducting any Taxes on the Additional Amounts, if applicable) will equal the amounts that would have been received by such Holder or beneficial owner had no such withholding or deduction been required;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obligation to pay Additional Amounts will not apply to:</w:t>
      </w:r>
    </w:p>
    <w:p>
      <w:pPr>
        <w:spacing w:after="0" w:line="196"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that would not have been imposed but for:</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58" w:lineRule="auto"/>
        <w:tabs>
          <w:tab w:leader="none" w:pos="2518"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any present or former connection between the Holder or beneficial owner of such Note and the Relevant Taxing Jurisdiction (other than merely holding or being a beneficial owner of such Note or the receipt or enforcement of payments or deliveries thereunder), including such Holder or beneficial owner being or having been a national, domiciliary or resident, or treated as a resident, of, or being or having been physically present or engaged in a trade or business, or having had a permanent establishment, in, such Relevant Taxing Jurisdiction;</w:t>
      </w:r>
    </w:p>
    <w:p>
      <w:pPr>
        <w:spacing w:after="0" w:line="183" w:lineRule="exact"/>
        <w:rPr>
          <w:rFonts w:ascii="Times New Roman" w:cs="Times New Roman" w:eastAsia="Times New Roman" w:hAnsi="Times New Roman"/>
          <w:sz w:val="18"/>
          <w:szCs w:val="18"/>
          <w:color w:val="auto"/>
        </w:rPr>
      </w:pPr>
    </w:p>
    <w:p>
      <w:pPr>
        <w:jc w:val="both"/>
        <w:ind w:left="1300" w:firstLine="652"/>
        <w:spacing w:after="0" w:line="258" w:lineRule="auto"/>
        <w:tabs>
          <w:tab w:leader="none" w:pos="2621"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cases where presentation of such Note is required to receive such payment or delivery, the presentation of such Note after a period of thirty (30) days after the later of (x) the date on which such payment or delivery became due and payable or deliverable, as applicable, pursuant to the terms of this Indenture and (y) the date such payment or delivery was made or duly provided for, except, in each case, to the extent that such Holder or beneficial owner would have been entitled to Additional Amounts if it presented such Note for payment or delivery, as applicable, at the end of such thirty (30) day period; or</w:t>
      </w:r>
    </w:p>
    <w:p>
      <w:pPr>
        <w:spacing w:after="0" w:line="354"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3"/>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jc w:val="both"/>
        <w:ind w:left="180" w:firstLine="652"/>
        <w:spacing w:after="0" w:line="254" w:lineRule="auto"/>
        <w:tabs>
          <w:tab w:leader="none" w:pos="1533"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such Holder or beneficial owner to comply with a timely request from the Company or the Successor Entity or any applicable withholding agent, addressed to such Holder or beneficial owner, to (x) provide certification, information, documentation or other evidence concerning such Holder’s or beneficial owner’s nationality, residence, identity or connection with such Relevant Taxing Jurisdiction; or (y) make any declaration or satisfy any other reporting requirement relating to such matters, in each case if and to the extent that such Holder or beneficial owner is legally entitled without material burden to comply with such request and due and timely compliance with such request is required by or necessary under statute, regulation or administrative practice of such Relevant Taxing Jurisdiction (including, without limitation, for Australian resident holders or beneficial owners otherwise having such information or documentation, provision of an Australian tax file number, Australian business number or proof of relevant exemption) in order to reduce or eliminate such withholding or deduction;</w:t>
      </w:r>
    </w:p>
    <w:p>
      <w:pPr>
        <w:spacing w:after="0" w:line="188" w:lineRule="exact"/>
        <w:rPr>
          <w:rFonts w:ascii="Times New Roman" w:cs="Times New Roman" w:eastAsia="Times New Roman" w:hAnsi="Times New Roman"/>
          <w:sz w:val="18"/>
          <w:szCs w:val="18"/>
          <w:color w:val="auto"/>
        </w:rPr>
      </w:pPr>
    </w:p>
    <w:p>
      <w:pPr>
        <w:ind w:left="860" w:hanging="676"/>
        <w:spacing w:after="0"/>
        <w:tabs>
          <w:tab w:leader="none" w:pos="8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estate, inheritance, gift, sale, transfer, personal property or similar Tax;</w:t>
      </w:r>
    </w:p>
    <w:p>
      <w:pPr>
        <w:spacing w:after="0" w:line="225" w:lineRule="exact"/>
        <w:rPr>
          <w:rFonts w:ascii="Times New Roman" w:cs="Times New Roman" w:eastAsia="Times New Roman" w:hAnsi="Times New Roman"/>
          <w:sz w:val="18"/>
          <w:szCs w:val="18"/>
          <w:color w:val="auto"/>
        </w:rPr>
      </w:pPr>
    </w:p>
    <w:p>
      <w:pPr>
        <w:ind w:left="820" w:hanging="636"/>
        <w:spacing w:after="0"/>
        <w:tabs>
          <w:tab w:leader="none" w:pos="8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that is payable other than by withholding or deduction from payments or deliveries under or with respect to the Notes;</w:t>
      </w:r>
    </w:p>
    <w:p>
      <w:pPr>
        <w:spacing w:after="0" w:line="225"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73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withholding or deduction required by (x) Sections 1471 through 1474 of the Internal Revenue Code and any current or future U.S. Treasury Regulations or rulings promulgated thereunder (“</w:t>
      </w:r>
      <w:r>
        <w:rPr>
          <w:rFonts w:ascii="Times New Roman" w:cs="Times New Roman" w:eastAsia="Times New Roman" w:hAnsi="Times New Roman"/>
          <w:sz w:val="18"/>
          <w:szCs w:val="18"/>
          <w:b w:val="1"/>
          <w:bCs w:val="1"/>
          <w:color w:val="auto"/>
        </w:rPr>
        <w:t>FATCA</w:t>
      </w:r>
      <w:r>
        <w:rPr>
          <w:rFonts w:ascii="Times New Roman" w:cs="Times New Roman" w:eastAsia="Times New Roman" w:hAnsi="Times New Roman"/>
          <w:sz w:val="18"/>
          <w:szCs w:val="18"/>
          <w:color w:val="auto"/>
        </w:rPr>
        <w:t>”); (y) any inter-governmental agreement between the United States and any other non-U.S. jurisdiction to implement FATCA or any law, regulation, rule, practice or other official guidance having the force of law enacted by such other jurisdiction to give effect to such agreement; or (z) any agreement with the U.S. Internal Revenue Service pursuant to Section 1471(b)(1) of the Internal Revenue Code;</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84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imposed or withheld by reason of such holder being an “associate” (as defined in Section 128F(9) of the Income Tax Assessment Act 1936 of Australia) of the Company not acting in the capacity of a clearing house, paying agent, custodian, funds manager or responsible entity of a registered scheme within the meaning of the Corporations Act 2001 of Australia;</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312" w:lineRule="auto"/>
        <w:tabs>
          <w:tab w:leader="none" w:pos="862"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Taxes imposed or withheld by reason of the Australian Commissioner of Taxation giving a notice under section 255 of the Income Tax Assessment Act 1936 of Australia or section 260-5 of Schedule 1 to the Taxation Administration Act 1953 of Australia or similar law;</w:t>
      </w:r>
    </w:p>
    <w:p>
      <w:pPr>
        <w:spacing w:after="0" w:line="139" w:lineRule="exact"/>
        <w:rPr>
          <w:rFonts w:ascii="Times New Roman" w:cs="Times New Roman" w:eastAsia="Times New Roman" w:hAnsi="Times New Roman"/>
          <w:sz w:val="17"/>
          <w:szCs w:val="17"/>
          <w:color w:val="auto"/>
        </w:rPr>
      </w:pPr>
    </w:p>
    <w:p>
      <w:pPr>
        <w:jc w:val="both"/>
        <w:ind w:left="-460" w:firstLine="644"/>
        <w:spacing w:after="0" w:line="258" w:lineRule="auto"/>
        <w:tabs>
          <w:tab w:leader="none" w:pos="83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imposed on or with respect to any payment by the Company to such Holder if such Holder is a fiduciary, partnership or person other than the sole beneficial owner of such payment, to the extent that such payment would be required, under the laws of such Relevant Taxing Jurisdiction, to be included for tax purposes in the income of a beneficiary or settlor with respect to such fiduciary, a partner or member of such partnership, or a beneficial owner, who would not have been entitled to such Additional Amounts had such beneficiary, settlor, partner, member or beneficial owner been the Holder thereof; or</w:t>
      </w:r>
    </w:p>
    <w:p>
      <w:pPr>
        <w:spacing w:after="0" w:line="179" w:lineRule="exact"/>
        <w:rPr>
          <w:rFonts w:ascii="Times New Roman" w:cs="Times New Roman" w:eastAsia="Times New Roman" w:hAnsi="Times New Roman"/>
          <w:sz w:val="18"/>
          <w:szCs w:val="18"/>
          <w:color w:val="auto"/>
        </w:rPr>
      </w:pPr>
    </w:p>
    <w:p>
      <w:pPr>
        <w:ind w:left="820" w:hanging="636"/>
        <w:spacing w:after="0"/>
        <w:tabs>
          <w:tab w:leader="none" w:pos="8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combination of items referred to in the preceding </w:t>
      </w:r>
      <w:r>
        <w:rPr>
          <w:rFonts w:ascii="Times New Roman" w:cs="Times New Roman" w:eastAsia="Times New Roman" w:hAnsi="Times New Roman"/>
          <w:sz w:val="18"/>
          <w:szCs w:val="18"/>
          <w:b w:val="1"/>
          <w:bCs w:val="1"/>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b w:val="1"/>
          <w:bCs w:val="1"/>
          <w:color w:val="auto"/>
        </w:rPr>
        <w:t>(vii)</w:t>
      </w:r>
      <w:r>
        <w:rPr>
          <w:rFonts w:ascii="Times New Roman" w:cs="Times New Roman" w:eastAsia="Times New Roman" w:hAnsi="Times New Roman"/>
          <w:sz w:val="18"/>
          <w:szCs w:val="18"/>
          <w:color w:val="auto"/>
        </w:rPr>
        <w:t>, inclusive, above.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ind w:left="4440" w:hanging="92"/>
        <w:spacing w:after="0"/>
        <w:tabs>
          <w:tab w:leader="none" w:pos="4440" w:val="left"/>
        </w:tabs>
        <w:numPr>
          <w:ilvl w:val="2"/>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44" w:name="page45"/>
    <w:bookmarkEnd w:id="44"/>
    <w:p>
      <w:pPr>
        <w:jc w:val="both"/>
        <w:ind w:firstLine="656"/>
        <w:spacing w:after="0" w:line="267" w:lineRule="auto"/>
        <w:tabs>
          <w:tab w:leader="none" w:pos="123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Special Provision Regarding Interest</w:t>
      </w:r>
      <w:r>
        <w:rPr>
          <w:rFonts w:ascii="Times New Roman" w:cs="Times New Roman" w:eastAsia="Times New Roman" w:hAnsi="Times New Roman"/>
          <w:sz w:val="18"/>
          <w:szCs w:val="18"/>
          <w:color w:val="auto"/>
        </w:rPr>
        <w:t>. For the avoidance of doubt, if any Note is called for a Tax Redemption and the Redemption Date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after a Regular Record Date and on or before the next Interest Payment Date, then the Company’s obligation to pay Additional Amounts will apply to the interest payment due on such Note on such Interest Payment Date unless such Note is subject to a Tax Redemption Opt-Out Election Notice.</w:t>
      </w:r>
    </w:p>
    <w:p>
      <w:pPr>
        <w:spacing w:after="0" w:line="173" w:lineRule="exact"/>
        <w:rPr>
          <w:rFonts w:ascii="Times New Roman" w:cs="Times New Roman" w:eastAsia="Times New Roman" w:hAnsi="Times New Roman"/>
          <w:sz w:val="18"/>
          <w:szCs w:val="18"/>
          <w:color w:val="auto"/>
        </w:rPr>
      </w:pPr>
    </w:p>
    <w:p>
      <w:pPr>
        <w:jc w:val="both"/>
        <w:ind w:firstLine="656"/>
        <w:spacing w:after="0" w:line="261" w:lineRule="auto"/>
        <w:tabs>
          <w:tab w:leader="none" w:pos="142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 Receipts</w:t>
      </w:r>
      <w:r>
        <w:rPr>
          <w:rFonts w:ascii="Times New Roman" w:cs="Times New Roman" w:eastAsia="Times New Roman" w:hAnsi="Times New Roman"/>
          <w:sz w:val="18"/>
          <w:szCs w:val="18"/>
          <w:color w:val="auto"/>
        </w:rPr>
        <w:t>. If the Company is required to make any deduction or withholding from any payments or deliveries with respect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then (i) the Company will deliver to the Trustee official tax receipts (or, if, after expending reasonable efforts, the Company is unable to obtain such receipts, other evidence of payments) evidencing the remittance to the relevant tax authorities of the amounts so withheld or deducted; and (ii) the Trustee or the Company will provide a copy of such receipts or evidence, as applicable, to any Holder or beneficial owner of any Notes upon request.</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135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Interpretation of Indenture and Notes</w:t>
      </w:r>
      <w:r>
        <w:rPr>
          <w:rFonts w:ascii="Times New Roman" w:cs="Times New Roman" w:eastAsia="Times New Roman" w:hAnsi="Times New Roman"/>
          <w:sz w:val="18"/>
          <w:szCs w:val="18"/>
          <w:color w:val="auto"/>
        </w:rPr>
        <w:t>. All references in this Indenture or the Notes to any payment on, or delivery with respect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(including payment of the principal of, or the Fundamental Change Repurchase Price or Redemption Price for, or any interest on, or the delivery of any Conversion Consideration due upon Conversion of, any Note) will, to the extent that Additional Amounts are payable in respect thereof, be deemed to include the payment of such Additional Amounts.</w:t>
      </w:r>
    </w:p>
    <w:p>
      <w:pPr>
        <w:spacing w:after="0" w:line="177" w:lineRule="exact"/>
        <w:rPr>
          <w:rFonts w:ascii="Times New Roman" w:cs="Times New Roman" w:eastAsia="Times New Roman" w:hAnsi="Times New Roman"/>
          <w:sz w:val="18"/>
          <w:szCs w:val="18"/>
          <w:color w:val="auto"/>
        </w:rPr>
      </w:pPr>
    </w:p>
    <w:p>
      <w:pPr>
        <w:ind w:firstLine="656"/>
        <w:spacing w:after="0" w:line="286" w:lineRule="auto"/>
        <w:tabs>
          <w:tab w:leader="none" w:pos="132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Survival of Obligations</w:t>
      </w:r>
      <w:r>
        <w:rPr>
          <w:rFonts w:ascii="Times New Roman" w:cs="Times New Roman" w:eastAsia="Times New Roman" w:hAnsi="Times New Roman"/>
          <w:sz w:val="18"/>
          <w:szCs w:val="18"/>
          <w:color w:val="auto"/>
        </w:rPr>
        <w:t>. The obligations set forth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3.05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survive any transfer of Notes by a Holder (or, in the case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Global Note, a holder of a beneficial interest therein).</w:t>
      </w:r>
    </w:p>
    <w:p>
      <w:pPr>
        <w:spacing w:after="0" w:line="15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3.06.</w:t>
        <w:tab/>
        <w:t>C</w:t>
      </w:r>
      <w:r>
        <w:rPr>
          <w:rFonts w:ascii="Times New Roman" w:cs="Times New Roman" w:eastAsia="Times New Roman" w:hAnsi="Times New Roman"/>
          <w:sz w:val="12"/>
          <w:szCs w:val="12"/>
          <w:b w:val="1"/>
          <w:bCs w:val="1"/>
          <w:color w:val="auto"/>
        </w:rPr>
        <w:t>ompliance and</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efault</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ertificates</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jc w:val="both"/>
        <w:ind w:firstLine="656"/>
        <w:spacing w:after="0" w:line="258" w:lineRule="auto"/>
        <w:tabs>
          <w:tab w:leader="none" w:pos="135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Annual Compliance Certificate</w:t>
      </w:r>
      <w:r>
        <w:rPr>
          <w:rFonts w:ascii="Times New Roman" w:cs="Times New Roman" w:eastAsia="Times New Roman" w:hAnsi="Times New Roman"/>
          <w:sz w:val="18"/>
          <w:szCs w:val="18"/>
          <w:color w:val="auto"/>
        </w:rPr>
        <w:t>. Within ninety (90) days after the last day of each fiscal year of the Company, beginning with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fiscal year ending after the date of this Indenture, the Company will deliver an Officer’s Certificate to the Trustee stating (i) that the signatory thereto has supervised a review of the activities of the Company and its Subsidiaries during such fiscal year with a view towards determining whether any Default or Event of Default has occurred; and (ii) whether, to such signatory’s knowledge, a Default or Event of Default has occurred or is continuing (and, if so, describing all such Defaults or Events of Default and what action the Company is taking or proposes to take with respect thereto).</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124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Default Certificate</w:t>
      </w:r>
      <w:r>
        <w:rPr>
          <w:rFonts w:ascii="Times New Roman" w:cs="Times New Roman" w:eastAsia="Times New Roman" w:hAnsi="Times New Roman"/>
          <w:sz w:val="18"/>
          <w:szCs w:val="18"/>
          <w:color w:val="auto"/>
        </w:rPr>
        <w:t>. If a Default or Event of Default occurs, then the Company will, within thirty (30) days after the Company first obtains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knowledge of the occurrence thereof, deliver an Officer’s Certificate to the Trustee describing the same and what action the Company is taking or proposes to take with respect thereto;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will not be required to deliver such Officer’s Certificate if the Default or Event of Default has been cured (or deemed cured) or waived prior to the date that such Officer’s Certificate is due.</w:t>
      </w:r>
    </w:p>
    <w:p>
      <w:pPr>
        <w:spacing w:after="0" w:line="352"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5" w:name="page46"/>
    <w:bookmarkEnd w:id="45"/>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3.07.</w:t>
        <w:tab/>
        <w:t>S</w:t>
      </w:r>
      <w:r>
        <w:rPr>
          <w:rFonts w:ascii="Times New Roman" w:cs="Times New Roman" w:eastAsia="Times New Roman" w:hAnsi="Times New Roman"/>
          <w:sz w:val="12"/>
          <w:szCs w:val="12"/>
          <w:b w:val="1"/>
          <w:bCs w:val="1"/>
          <w:color w:val="auto"/>
        </w:rPr>
        <w:t>tay</w:t>
      </w:r>
      <w:r>
        <w:rPr>
          <w:rFonts w:ascii="Times New Roman" w:cs="Times New Roman" w:eastAsia="Times New Roman" w:hAnsi="Times New Roman"/>
          <w:sz w:val="18"/>
          <w:szCs w:val="18"/>
          <w:b w:val="1"/>
          <w:bCs w:val="1"/>
          <w:color w:val="auto"/>
        </w:rPr>
        <w:t>, E</w:t>
      </w:r>
      <w:r>
        <w:rPr>
          <w:rFonts w:ascii="Times New Roman" w:cs="Times New Roman" w:eastAsia="Times New Roman" w:hAnsi="Times New Roman"/>
          <w:sz w:val="12"/>
          <w:szCs w:val="12"/>
          <w:b w:val="1"/>
          <w:bCs w:val="1"/>
          <w:color w:val="auto"/>
        </w:rPr>
        <w:t>xtension and</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2"/>
          <w:szCs w:val="12"/>
          <w:b w:val="1"/>
          <w:bCs w:val="1"/>
          <w:color w:val="auto"/>
        </w:rPr>
        <w:t>sury</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aws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the extent that it may lawfully do so, the Company (A) agrees that it will not at any time insist upon, plead, or in any manner whatsoever claim or take the benefit or advantage of, any stay, extension or usury law (wherever or whenever enacted or in force) that may affect the covenants or the performance of this Indenture; and (B) expressly waives all benefits or advantages of any such law and agrees that it will not, by resort to any such law, hinder, delay or impede the execution of any power granted to the Trustee by this Indenture, but will suffer and permit the execution of every such power as though no such law has been enacted.</w:t>
      </w:r>
    </w:p>
    <w:p>
      <w:pPr>
        <w:spacing w:after="0" w:line="17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3.08.</w:t>
        <w:tab/>
        <w:t>A</w:t>
      </w:r>
      <w:r>
        <w:rPr>
          <w:rFonts w:ascii="Times New Roman" w:cs="Times New Roman" w:eastAsia="Times New Roman" w:hAnsi="Times New Roman"/>
          <w:sz w:val="12"/>
          <w:szCs w:val="12"/>
          <w:b w:val="1"/>
          <w:bCs w:val="1"/>
          <w:color w:val="auto"/>
        </w:rPr>
        <w:t>cquisition of</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otes by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ompany and its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ffiliates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Without limiting the generality of </w:t>
      </w:r>
      <w:r>
        <w:rPr>
          <w:rFonts w:ascii="Times New Roman" w:cs="Times New Roman" w:eastAsia="Times New Roman" w:hAnsi="Times New Roman"/>
          <w:sz w:val="18"/>
          <w:szCs w:val="18"/>
          <w:b w:val="1"/>
          <w:bCs w:val="1"/>
          <w:color w:val="auto"/>
        </w:rPr>
        <w:t>Section 2.18</w:t>
      </w:r>
      <w:r>
        <w:rPr>
          <w:rFonts w:ascii="Times New Roman" w:cs="Times New Roman" w:eastAsia="Times New Roman" w:hAnsi="Times New Roman"/>
          <w:sz w:val="18"/>
          <w:szCs w:val="18"/>
          <w:color w:val="auto"/>
        </w:rPr>
        <w:t xml:space="preserve">, Notes that the Company or any of its Subsidiaries have purchased or otherwise acquired will be deemed to remain outstanding (except to the extent provided in </w:t>
      </w:r>
      <w:r>
        <w:rPr>
          <w:rFonts w:ascii="Times New Roman" w:cs="Times New Roman" w:eastAsia="Times New Roman" w:hAnsi="Times New Roman"/>
          <w:sz w:val="18"/>
          <w:szCs w:val="18"/>
          <w:b w:val="1"/>
          <w:bCs w:val="1"/>
          <w:color w:val="auto"/>
        </w:rPr>
        <w:t>Section 2.16</w:t>
      </w:r>
      <w:r>
        <w:rPr>
          <w:rFonts w:ascii="Times New Roman" w:cs="Times New Roman" w:eastAsia="Times New Roman" w:hAnsi="Times New Roman"/>
          <w:sz w:val="18"/>
          <w:szCs w:val="18"/>
          <w:color w:val="auto"/>
        </w:rPr>
        <w:t>) until such time as such Notes are delivered to the Trustee for cancellation. The Company will use commercially reasonable efforts to prevent any of its controlled Affiliates from acquiring any Note (or any beneficial interest therein).</w:t>
      </w:r>
    </w:p>
    <w:p>
      <w:pPr>
        <w:spacing w:after="0" w:line="176" w:lineRule="exact"/>
        <w:rPr>
          <w:sz w:val="20"/>
          <w:szCs w:val="20"/>
          <w:color w:val="auto"/>
        </w:rPr>
      </w:pPr>
    </w:p>
    <w:p>
      <w:pPr>
        <w:ind w:left="3560"/>
        <w:spacing w:after="0"/>
        <w:tabs>
          <w:tab w:leader="none" w:pos="4700" w:val="left"/>
        </w:tabs>
        <w:rPr>
          <w:sz w:val="20"/>
          <w:szCs w:val="20"/>
          <w:color w:val="auto"/>
        </w:rPr>
      </w:pPr>
      <w:r>
        <w:rPr>
          <w:rFonts w:ascii="Times New Roman" w:cs="Times New Roman" w:eastAsia="Times New Roman" w:hAnsi="Times New Roman"/>
          <w:sz w:val="18"/>
          <w:szCs w:val="18"/>
          <w:b w:val="1"/>
          <w:bCs w:val="1"/>
          <w:color w:val="auto"/>
        </w:rPr>
        <w:t>Article 4.</w:t>
      </w:r>
      <w:r>
        <w:rPr>
          <w:sz w:val="20"/>
          <w:szCs w:val="20"/>
          <w:color w:val="auto"/>
        </w:rPr>
        <w:tab/>
      </w:r>
      <w:r>
        <w:rPr>
          <w:rFonts w:ascii="Times New Roman" w:cs="Times New Roman" w:eastAsia="Times New Roman" w:hAnsi="Times New Roman"/>
          <w:sz w:val="17"/>
          <w:szCs w:val="17"/>
          <w:b w:val="1"/>
          <w:bCs w:val="1"/>
          <w:color w:val="auto"/>
        </w:rPr>
        <w:t>REPURCHASE AND REDEMPTION</w:t>
      </w:r>
    </w:p>
    <w:p>
      <w:pPr>
        <w:spacing w:after="0" w:line="22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4.01.</w:t>
        <w:tab/>
        <w:t>N</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inking</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und</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sinking fund is required to be provided for the Notes.</w:t>
      </w:r>
    </w:p>
    <w:p>
      <w:pPr>
        <w:spacing w:after="0" w:line="221"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4.02.</w:t>
        <w:tab/>
        <w:t>R</w:t>
      </w:r>
      <w:r>
        <w:rPr>
          <w:rFonts w:ascii="Times New Roman" w:cs="Times New Roman" w:eastAsia="Times New Roman" w:hAnsi="Times New Roman"/>
          <w:sz w:val="12"/>
          <w:szCs w:val="12"/>
          <w:b w:val="1"/>
          <w:bCs w:val="1"/>
          <w:color w:val="auto"/>
        </w:rPr>
        <w:t>ight of</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2"/>
          <w:szCs w:val="12"/>
          <w:b w:val="1"/>
          <w:bCs w:val="1"/>
          <w:color w:val="auto"/>
        </w:rPr>
        <w:t>olders to</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equire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ompany to</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epurchase</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otes</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2"/>
          <w:szCs w:val="12"/>
          <w:b w:val="1"/>
          <w:bCs w:val="1"/>
          <w:color w:val="auto"/>
        </w:rPr>
        <w:t>pon a</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undamental</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hange</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656"/>
        <w:spacing w:after="0" w:line="262" w:lineRule="auto"/>
        <w:tabs>
          <w:tab w:leader="none" w:pos="126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Right of Holders to Require the Company to Repurchase Notes Upon a Fundamental Change</w:t>
      </w:r>
      <w:r>
        <w:rPr>
          <w:rFonts w:ascii="Times New Roman" w:cs="Times New Roman" w:eastAsia="Times New Roman" w:hAnsi="Times New Roman"/>
          <w:sz w:val="18"/>
          <w:szCs w:val="18"/>
          <w:color w:val="auto"/>
        </w:rPr>
        <w:t>. Subject to the other terms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4.02</w:t>
      </w:r>
      <w:r>
        <w:rPr>
          <w:rFonts w:ascii="Times New Roman" w:cs="Times New Roman" w:eastAsia="Times New Roman" w:hAnsi="Times New Roman"/>
          <w:sz w:val="18"/>
          <w:szCs w:val="18"/>
          <w:color w:val="auto"/>
        </w:rPr>
        <w:t>, if a Fundamental Change occurs, then each Holder will have the right (the “</w:t>
      </w:r>
      <w:r>
        <w:rPr>
          <w:rFonts w:ascii="Times New Roman" w:cs="Times New Roman" w:eastAsia="Times New Roman" w:hAnsi="Times New Roman"/>
          <w:sz w:val="18"/>
          <w:szCs w:val="18"/>
          <w:b w:val="1"/>
          <w:bCs w:val="1"/>
          <w:color w:val="auto"/>
        </w:rPr>
        <w:t>Fundamental Change Repurchase Right</w:t>
      </w:r>
      <w:r>
        <w:rPr>
          <w:rFonts w:ascii="Times New Roman" w:cs="Times New Roman" w:eastAsia="Times New Roman" w:hAnsi="Times New Roman"/>
          <w:sz w:val="18"/>
          <w:szCs w:val="18"/>
          <w:color w:val="auto"/>
        </w:rPr>
        <w:t>”) to require the Company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repurchase such Holder’s Notes (or any portion thereof in an Authorized Denomination) on the Fundamental Change Repurchase Date for such Fundamental Change for a cash purchase price equal to the Fundamental Change Repurchase Price.</w:t>
      </w:r>
    </w:p>
    <w:p>
      <w:pPr>
        <w:spacing w:after="0" w:line="178" w:lineRule="exact"/>
        <w:rPr>
          <w:rFonts w:ascii="Times New Roman" w:cs="Times New Roman" w:eastAsia="Times New Roman" w:hAnsi="Times New Roman"/>
          <w:sz w:val="18"/>
          <w:szCs w:val="18"/>
          <w:color w:val="auto"/>
        </w:rPr>
      </w:pPr>
    </w:p>
    <w:p>
      <w:pPr>
        <w:jc w:val="both"/>
        <w:ind w:firstLine="656"/>
        <w:spacing w:after="0" w:line="256" w:lineRule="auto"/>
        <w:tabs>
          <w:tab w:leader="none" w:pos="123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Repurchase Prohibited in Certain Circumstances</w:t>
      </w:r>
      <w:r>
        <w:rPr>
          <w:rFonts w:ascii="Times New Roman" w:cs="Times New Roman" w:eastAsia="Times New Roman" w:hAnsi="Times New Roman"/>
          <w:sz w:val="18"/>
          <w:szCs w:val="18"/>
          <w:color w:val="auto"/>
        </w:rPr>
        <w:t>. If the principal amount of the Notes has been accelerated and such acceleration has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been rescinded on or before the Fundamental Change Repurchase Date for a Repurchase Upon Fundamental Change (including as a result of the payment of the related Fundamental Change Repurchase Price, and any related interest pursuant to the proviso to the first sentence of </w:t>
      </w:r>
      <w:r>
        <w:rPr>
          <w:rFonts w:ascii="Times New Roman" w:cs="Times New Roman" w:eastAsia="Times New Roman" w:hAnsi="Times New Roman"/>
          <w:sz w:val="18"/>
          <w:szCs w:val="18"/>
          <w:b w:val="1"/>
          <w:bCs w:val="1"/>
          <w:color w:val="auto"/>
        </w:rPr>
        <w:t>Section 4.02(D)</w:t>
      </w:r>
      <w:r>
        <w:rPr>
          <w:rFonts w:ascii="Times New Roman" w:cs="Times New Roman" w:eastAsia="Times New Roman" w:hAnsi="Times New Roman"/>
          <w:sz w:val="18"/>
          <w:szCs w:val="18"/>
          <w:color w:val="auto"/>
        </w:rPr>
        <w:t xml:space="preserve">, on such Fundamental Change Repurchase Date), then (i) the Company may not repurchase any Notes pursuant to this </w:t>
      </w:r>
      <w:r>
        <w:rPr>
          <w:rFonts w:ascii="Times New Roman" w:cs="Times New Roman" w:eastAsia="Times New Roman" w:hAnsi="Times New Roman"/>
          <w:sz w:val="18"/>
          <w:szCs w:val="18"/>
          <w:b w:val="1"/>
          <w:bCs w:val="1"/>
          <w:color w:val="auto"/>
        </w:rPr>
        <w:t>Section 4.02</w:t>
      </w:r>
      <w:r>
        <w:rPr>
          <w:rFonts w:ascii="Times New Roman" w:cs="Times New Roman" w:eastAsia="Times New Roman" w:hAnsi="Times New Roman"/>
          <w:sz w:val="18"/>
          <w:szCs w:val="18"/>
          <w:color w:val="auto"/>
        </w:rPr>
        <w:t>; and (ii) the Company will cause any Notes theretofore surrendered for such Repurchase Upon Fundamental Change to be returned to the Holders thereof (or, if applicable with respect to Global Notes, cancel any instructions for book-entry transfer to the Company, the Trustee or the Paying Agent of the applicable beneficial interest in such Notes in accordance with the Depositary Procedures).</w:t>
      </w:r>
    </w:p>
    <w:p>
      <w:pPr>
        <w:spacing w:after="0" w:line="182" w:lineRule="exact"/>
        <w:rPr>
          <w:rFonts w:ascii="Times New Roman" w:cs="Times New Roman" w:eastAsia="Times New Roman" w:hAnsi="Times New Roman"/>
          <w:sz w:val="18"/>
          <w:szCs w:val="18"/>
          <w:color w:val="auto"/>
        </w:rPr>
      </w:pPr>
    </w:p>
    <w:p>
      <w:pPr>
        <w:jc w:val="both"/>
        <w:ind w:firstLine="656"/>
        <w:spacing w:after="0" w:line="267" w:lineRule="auto"/>
        <w:tabs>
          <w:tab w:leader="none" w:pos="123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Fundamental Change Repurchase Date</w:t>
      </w:r>
      <w:r>
        <w:rPr>
          <w:rFonts w:ascii="Times New Roman" w:cs="Times New Roman" w:eastAsia="Times New Roman" w:hAnsi="Times New Roman"/>
          <w:sz w:val="18"/>
          <w:szCs w:val="18"/>
          <w:color w:val="auto"/>
        </w:rPr>
        <w:t>. The Fundamental Change Repurchase Date for any Fundamental Change will be a Business Day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the Company’s choosing that is no more than thirty five (35), nor less than twenty (20), Business Days after the date the Company sends the related Fundamental Change Notice pursuant to </w:t>
      </w:r>
      <w:r>
        <w:rPr>
          <w:rFonts w:ascii="Times New Roman" w:cs="Times New Roman" w:eastAsia="Times New Roman" w:hAnsi="Times New Roman"/>
          <w:sz w:val="18"/>
          <w:szCs w:val="18"/>
          <w:b w:val="1"/>
          <w:bCs w:val="1"/>
          <w:color w:val="auto"/>
        </w:rPr>
        <w:t>Section 4.02(E)</w:t>
      </w:r>
      <w:r>
        <w:rPr>
          <w:rFonts w:ascii="Times New Roman" w:cs="Times New Roman" w:eastAsia="Times New Roman" w:hAnsi="Times New Roman"/>
          <w:sz w:val="18"/>
          <w:szCs w:val="18"/>
          <w:color w:val="auto"/>
        </w:rPr>
        <w:t>.</w:t>
      </w:r>
    </w:p>
    <w:p>
      <w:pPr>
        <w:spacing w:after="0" w:line="346"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jc w:val="both"/>
        <w:ind w:left="-656" w:firstLine="656"/>
        <w:spacing w:after="0" w:line="253" w:lineRule="auto"/>
        <w:tabs>
          <w:tab w:leader="none" w:pos="56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Fundamental Change Repurchase Price</w:t>
      </w:r>
      <w:r>
        <w:rPr>
          <w:rFonts w:ascii="Times New Roman" w:cs="Times New Roman" w:eastAsia="Times New Roman" w:hAnsi="Times New Roman"/>
          <w:sz w:val="18"/>
          <w:szCs w:val="18"/>
          <w:color w:val="auto"/>
        </w:rPr>
        <w:t>. The Fundamental Change Repurchase Price for any Note to be repurchased upon a Repurchase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Upon Fundamental Change following a Fundamental Change is an amount in cash equal to the principal amount of such Note plus accrued and unpaid interest on such Note to, but excluding, the Fundamental Change Repurchase Date for such Fundamental Change;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such Fundamental Change Repurchase Date is after a Regular Record Date and on or before the next Interest Payment Date, then (i) the Holder of such Note at the Close of Business on such Regular Record Date will be entitled, notwithstanding such Repurchase Upon Fundamental Change, to receive, on or, at the Company’s election, before such Interest Payment Date, the unpaid interest that would have accrued on such Note to, but excluding, such Interest Payment Date (assuming, solely for these purposes, that such Note remained outstanding through such Interest Payment Date, if such Fundamental Change Repurchase Date is before such Interest Payment Date); and (ii) the Fundamental Change Repurchase Price will not include accrued and unpaid interest on such Note to, but excluding, such Fundamental Change Repurchase Date. For the avoidance of doubt, if an Interest Payment Date is not a Business Day within the meaning of </w:t>
      </w:r>
      <w:r>
        <w:rPr>
          <w:rFonts w:ascii="Times New Roman" w:cs="Times New Roman" w:eastAsia="Times New Roman" w:hAnsi="Times New Roman"/>
          <w:sz w:val="18"/>
          <w:szCs w:val="18"/>
          <w:b w:val="1"/>
          <w:bCs w:val="1"/>
          <w:color w:val="auto"/>
        </w:rPr>
        <w:t>Section 2.05(C)</w:t>
      </w:r>
      <w:r>
        <w:rPr>
          <w:rFonts w:ascii="Times New Roman" w:cs="Times New Roman" w:eastAsia="Times New Roman" w:hAnsi="Times New Roman"/>
          <w:sz w:val="18"/>
          <w:szCs w:val="18"/>
          <w:color w:val="auto"/>
        </w:rPr>
        <w:t xml:space="preserve"> and such Fundamental Change Repurchase Date occurs on the Business Day immediately after such Interest Payment Date, then (x) accrued and unpaid interest on Notes to, but excluding, such Interest Payment Date will be paid, in accordance with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2.05(C)</w:t>
      </w:r>
      <w:r>
        <w:rPr>
          <w:rFonts w:ascii="Times New Roman" w:cs="Times New Roman" w:eastAsia="Times New Roman" w:hAnsi="Times New Roman"/>
          <w:sz w:val="18"/>
          <w:szCs w:val="18"/>
          <w:color w:val="auto"/>
        </w:rPr>
        <w:t>, on the next Business Day to Holders as of the Close of Business on the immediately preceding Regular Record Date; and (y) the Fundamental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Change Repurchase Price will include interest on Notes to be repurchased from, and including, such Interest Payment Date.</w:t>
      </w:r>
    </w:p>
    <w:p>
      <w:pPr>
        <w:spacing w:after="0" w:line="187" w:lineRule="exact"/>
        <w:rPr>
          <w:rFonts w:ascii="Times New Roman" w:cs="Times New Roman" w:eastAsia="Times New Roman" w:hAnsi="Times New Roman"/>
          <w:sz w:val="18"/>
          <w:szCs w:val="18"/>
          <w:color w:val="auto"/>
        </w:rPr>
      </w:pPr>
    </w:p>
    <w:p>
      <w:pPr>
        <w:jc w:val="both"/>
        <w:ind w:left="-656" w:firstLine="656"/>
        <w:spacing w:after="0" w:line="267" w:lineRule="auto"/>
        <w:tabs>
          <w:tab w:leader="none" w:pos="80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Fundamental Change Notice</w:t>
      </w:r>
      <w:r>
        <w:rPr>
          <w:rFonts w:ascii="Times New Roman" w:cs="Times New Roman" w:eastAsia="Times New Roman" w:hAnsi="Times New Roman"/>
          <w:sz w:val="18"/>
          <w:szCs w:val="18"/>
          <w:color w:val="auto"/>
        </w:rPr>
        <w:t>. On or before the twentieth (20th) calendar day after the effective date of a Fundamental Change,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will send to each Holder, the Trustee, the Conversion Agent and the Paying Agent a notice of such Fundamental Change (a “</w:t>
      </w:r>
      <w:r>
        <w:rPr>
          <w:rFonts w:ascii="Times New Roman" w:cs="Times New Roman" w:eastAsia="Times New Roman" w:hAnsi="Times New Roman"/>
          <w:sz w:val="18"/>
          <w:szCs w:val="18"/>
          <w:b w:val="1"/>
          <w:bCs w:val="1"/>
          <w:color w:val="auto"/>
        </w:rPr>
        <w:t>Fundamental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Change Notice</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Such Fundamental Change Notice must state:</w:t>
      </w:r>
    </w:p>
    <w:p>
      <w:pPr>
        <w:spacing w:after="0" w:line="225" w:lineRule="exact"/>
        <w:rPr>
          <w:sz w:val="20"/>
          <w:szCs w:val="20"/>
          <w:color w:val="auto"/>
        </w:rPr>
      </w:pPr>
    </w:p>
    <w:p>
      <w:pPr>
        <w:ind w:left="1264" w:hanging="616"/>
        <w:spacing w:after="0"/>
        <w:tabs>
          <w:tab w:leader="none" w:pos="126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briefly, the events causing such Fundamental Change;</w:t>
      </w:r>
    </w:p>
    <w:p>
      <w:pPr>
        <w:spacing w:after="0" w:line="225" w:lineRule="exact"/>
        <w:rPr>
          <w:rFonts w:ascii="Times New Roman" w:cs="Times New Roman" w:eastAsia="Times New Roman" w:hAnsi="Times New Roman"/>
          <w:sz w:val="18"/>
          <w:szCs w:val="18"/>
          <w:color w:val="auto"/>
        </w:rPr>
      </w:pPr>
    </w:p>
    <w:p>
      <w:pPr>
        <w:ind w:left="1324" w:hanging="676"/>
        <w:spacing w:after="0"/>
        <w:tabs>
          <w:tab w:leader="none" w:pos="13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date of such Fundamental Change;</w:t>
      </w:r>
    </w:p>
    <w:p>
      <w:pPr>
        <w:spacing w:after="0" w:line="221" w:lineRule="exact"/>
        <w:rPr>
          <w:rFonts w:ascii="Times New Roman" w:cs="Times New Roman" w:eastAsia="Times New Roman" w:hAnsi="Times New Roman"/>
          <w:sz w:val="18"/>
          <w:szCs w:val="18"/>
          <w:color w:val="auto"/>
        </w:rPr>
      </w:pPr>
    </w:p>
    <w:p>
      <w:pPr>
        <w:jc w:val="both"/>
        <w:ind w:left="4" w:firstLine="644"/>
        <w:spacing w:after="0" w:line="268" w:lineRule="auto"/>
        <w:tabs>
          <w:tab w:leader="none" w:pos="128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procedures that a Holder must follow to require the Company to repurchase its Notes pursuant to this </w:t>
      </w:r>
      <w:r>
        <w:rPr>
          <w:rFonts w:ascii="Times New Roman" w:cs="Times New Roman" w:eastAsia="Times New Roman" w:hAnsi="Times New Roman"/>
          <w:sz w:val="18"/>
          <w:szCs w:val="18"/>
          <w:b w:val="1"/>
          <w:bCs w:val="1"/>
          <w:color w:val="auto"/>
        </w:rPr>
        <w:t>Section 4.02</w:t>
      </w:r>
      <w:r>
        <w:rPr>
          <w:rFonts w:ascii="Times New Roman" w:cs="Times New Roman" w:eastAsia="Times New Roman" w:hAnsi="Times New Roman"/>
          <w:sz w:val="18"/>
          <w:szCs w:val="18"/>
          <w:color w:val="auto"/>
        </w:rPr>
        <w:t>, including the deadline for exercising the Fundamental Change Repurchase Right and the procedures for submitting and withdrawing a Fundamental Change Repurchase Notice;</w:t>
      </w:r>
    </w:p>
    <w:p>
      <w:pPr>
        <w:spacing w:after="0" w:line="174"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Fundamental Change Repurchase Date for such Fundamental Change;</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66" w:lineRule="auto"/>
        <w:tabs>
          <w:tab w:leader="none" w:pos="137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Fundamental Change Repurchase Price per $1,000 principal amount of Notes for such Fundamental Change (and, if such Fundamental Change Repurchase Date is after a Regular Record Date and on or before the next Interest Payment Date, the amount, manner and timing of the interest payment payable pursuant to the proviso to the first sentence of </w:t>
      </w:r>
      <w:r>
        <w:rPr>
          <w:rFonts w:ascii="Times New Roman" w:cs="Times New Roman" w:eastAsia="Times New Roman" w:hAnsi="Times New Roman"/>
          <w:sz w:val="18"/>
          <w:szCs w:val="18"/>
          <w:b w:val="1"/>
          <w:bCs w:val="1"/>
          <w:color w:val="auto"/>
        </w:rPr>
        <w:t>Section 4.02(D)</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Paying Agent and the Conversion Agent;</w:t>
      </w:r>
    </w:p>
    <w:p>
      <w:pPr>
        <w:spacing w:after="0" w:line="396" w:lineRule="exact"/>
        <w:rPr>
          <w:rFonts w:ascii="Times New Roman" w:cs="Times New Roman" w:eastAsia="Times New Roman" w:hAnsi="Times New Roman"/>
          <w:sz w:val="18"/>
          <w:szCs w:val="18"/>
          <w:color w:val="auto"/>
        </w:rPr>
      </w:pPr>
    </w:p>
    <w:p>
      <w:pPr>
        <w:ind w:left="4904" w:hanging="92"/>
        <w:spacing w:after="0"/>
        <w:tabs>
          <w:tab w:leader="none" w:pos="4904"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9" w:right="339" w:bottom="1440" w:gutter="0" w:footer="0" w:header="0"/>
        </w:sectPr>
      </w:pPr>
    </w:p>
    <w:bookmarkStart w:id="47" w:name="page48"/>
    <w:bookmarkEnd w:id="47"/>
    <w:p>
      <w:pPr>
        <w:ind w:left="660" w:firstLine="644"/>
        <w:spacing w:after="0" w:line="282" w:lineRule="auto"/>
        <w:tabs>
          <w:tab w:leader="none" w:pos="208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Conversion Rate in effect on the date of such Fundamental Change Notice and a description and quantification of any adjustments to the Conversion Rate that may result from such Fundamental Change (including pursuant to </w:t>
      </w:r>
      <w:r>
        <w:rPr>
          <w:rFonts w:ascii="Times New Roman" w:cs="Times New Roman" w:eastAsia="Times New Roman" w:hAnsi="Times New Roman"/>
          <w:sz w:val="18"/>
          <w:szCs w:val="18"/>
          <w:b w:val="1"/>
          <w:bCs w:val="1"/>
          <w:color w:val="auto"/>
        </w:rPr>
        <w:t>Section 5.07</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204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Notes for which a Fundamental Change Repurchase Notice has been duly tendered and not duly withdrawn must be delivered to the Paying Agent for the Holder thereof to be entitled to receive the Fundamental Change Repurchase Price;</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89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Notes (or any portion thereof) that are subject to a Fundamental Change Repurchase Notice that has been duly tendered may be Converted only if such Fundamental Change Repurchase Notice is withdrawn in accordance with this Indenture; and</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CUSIP and ISIN numbers, if any, of the Notes.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Neither the failure to deliver a Fundamental Change Notice nor any defect in a Fundamental Change Notice will limit the Fundamental Change Repurchase Right of any Holder or otherwise affect the validity of any proceedings relating to any Repurchase Upon Fundamental Change.</w:t>
      </w:r>
    </w:p>
    <w:p>
      <w:pPr>
        <w:spacing w:after="0" w:line="160" w:lineRule="exact"/>
        <w:rPr>
          <w:sz w:val="20"/>
          <w:szCs w:val="20"/>
          <w:color w:val="auto"/>
        </w:rPr>
      </w:pPr>
    </w:p>
    <w:p>
      <w:pPr>
        <w:ind w:left="1320" w:hanging="664"/>
        <w:spacing w:after="0"/>
        <w:tabs>
          <w:tab w:leader="none" w:pos="13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Procedures to Exercise the Fundamental Change Repurchase Right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firstLine="644"/>
        <w:spacing w:after="0" w:line="284" w:lineRule="auto"/>
        <w:tabs>
          <w:tab w:leader="none" w:pos="2171"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of Fundamental Change Repurchase Notice and Notes to Be Repurchased</w:t>
      </w:r>
      <w:r>
        <w:rPr>
          <w:rFonts w:ascii="Times New Roman" w:cs="Times New Roman" w:eastAsia="Times New Roman" w:hAnsi="Times New Roman"/>
          <w:sz w:val="18"/>
          <w:szCs w:val="18"/>
          <w:color w:val="auto"/>
        </w:rPr>
        <w:t>. To exercise its Fundamental 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Repurchase Right for a Note following a Fundamental Change, the Holder thereof must deliver to the Paying Agent:</w:t>
      </w:r>
    </w:p>
    <w:p>
      <w:pPr>
        <w:spacing w:after="0" w:line="160"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531"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Close of Business on the Business Day immediately before the related Fundamental Change Repurchase Date (or such later time as may be required by law), a duly completed, written Fundamental Change Repurchase Notice with respect to such Note; and</w:t>
      </w:r>
    </w:p>
    <w:p>
      <w:pPr>
        <w:spacing w:after="0" w:line="175" w:lineRule="exact"/>
        <w:rPr>
          <w:rFonts w:ascii="Times New Roman" w:cs="Times New Roman" w:eastAsia="Times New Roman" w:hAnsi="Times New Roman"/>
          <w:sz w:val="18"/>
          <w:szCs w:val="18"/>
          <w:color w:val="auto"/>
        </w:rPr>
      </w:pPr>
    </w:p>
    <w:p>
      <w:pPr>
        <w:ind w:left="2740" w:hanging="788"/>
        <w:spacing w:after="0"/>
        <w:tabs>
          <w:tab w:leader="none" w:pos="274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Note, duly endorsed for transfer (if such Note is a Physical Note) or by book-entry transfer (if such Note is a</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Note).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Paying Agent will promptly deliver to the Company a copy of each Fundamental Change Repurchase Notice that it receives.</w:t>
      </w:r>
    </w:p>
    <w:p>
      <w:pPr>
        <w:spacing w:after="0" w:line="223" w:lineRule="exact"/>
        <w:rPr>
          <w:sz w:val="20"/>
          <w:szCs w:val="20"/>
          <w:color w:val="auto"/>
        </w:rPr>
      </w:pPr>
    </w:p>
    <w:p>
      <w:pPr>
        <w:ind w:left="2080" w:hanging="776"/>
        <w:spacing w:after="0"/>
        <w:tabs>
          <w:tab w:leader="none" w:pos="2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Contents of Fundamental Change Repurchase Notices</w:t>
      </w:r>
      <w:r>
        <w:rPr>
          <w:rFonts w:ascii="Times New Roman" w:cs="Times New Roman" w:eastAsia="Times New Roman" w:hAnsi="Times New Roman"/>
          <w:sz w:val="18"/>
          <w:szCs w:val="18"/>
          <w:color w:val="auto"/>
        </w:rPr>
        <w:t>. Each Fundamental Change Repurchase Notice with respect to a Note</w:t>
      </w:r>
    </w:p>
    <w:p>
      <w:pPr>
        <w:spacing w:after="0" w:line="2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state:</w:t>
      </w:r>
    </w:p>
    <w:p>
      <w:pPr>
        <w:spacing w:after="0" w:line="206"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Note is a Physical Note, the certificate number of such Note;</w:t>
      </w:r>
    </w:p>
    <w:p>
      <w:pPr>
        <w:spacing w:after="0" w:line="225"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such Note to be repurchased, which must be an Authorized Denomination; and</w:t>
      </w:r>
    </w:p>
    <w:p>
      <w:pPr>
        <w:spacing w:after="0" w:line="225"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such Holder is exercising its Fundamental Change Repurchase Right with respect to such principal amount of such</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w:t>
      </w:r>
    </w:p>
    <w:p>
      <w:pPr>
        <w:spacing w:after="0" w:line="377"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2"/>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jc w:val="both"/>
        <w:ind w:left="4"/>
        <w:spacing w:after="0" w:line="26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if such Note is a Global Note, then such Fundamental Change Repurchase Notice must comply with the Depositary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Procedures (and any such Fundamental Change Repurchase Notice delivered in compliance with the Depositary Procedures will be deemed to satisfy the requirements of this </w:t>
      </w:r>
      <w:r>
        <w:rPr>
          <w:rFonts w:ascii="Times New Roman" w:cs="Times New Roman" w:eastAsia="Times New Roman" w:hAnsi="Times New Roman"/>
          <w:sz w:val="18"/>
          <w:szCs w:val="18"/>
          <w:b w:val="1"/>
          <w:bCs w:val="1"/>
          <w:color w:val="auto"/>
        </w:rPr>
        <w:t>Section 4.02(F)</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both"/>
        <w:ind w:left="4" w:firstLine="644"/>
        <w:spacing w:after="0" w:line="261" w:lineRule="auto"/>
        <w:tabs>
          <w:tab w:leader="none" w:pos="126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Withdrawal of Fundamental Change Repurchase Notice</w:t>
      </w:r>
      <w:r>
        <w:rPr>
          <w:rFonts w:ascii="Times New Roman" w:cs="Times New Roman" w:eastAsia="Times New Roman" w:hAnsi="Times New Roman"/>
          <w:sz w:val="18"/>
          <w:szCs w:val="18"/>
          <w:color w:val="auto"/>
        </w:rPr>
        <w:t>. A Holder that has delivered a Fundamental Change Repurchase Notice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respect to a Note may withdraw such Fundamental Change Repurchase Notice by delivering a written notice of withdrawal to the Paying Agent at any time before the Close of Business on the Business Day immediately before the related Fundamental Change Repurchase Date. Such withdrawal notice must state:</w:t>
      </w:r>
    </w:p>
    <w:p>
      <w:pPr>
        <w:spacing w:after="0" w:line="181" w:lineRule="exact"/>
        <w:rPr>
          <w:rFonts w:ascii="Times New Roman" w:cs="Times New Roman" w:eastAsia="Times New Roman" w:hAnsi="Times New Roman"/>
          <w:sz w:val="18"/>
          <w:szCs w:val="18"/>
          <w:color w:val="auto"/>
        </w:rPr>
      </w:pPr>
    </w:p>
    <w:p>
      <w:pPr>
        <w:ind w:left="1964" w:hanging="668"/>
        <w:spacing w:after="0"/>
        <w:tabs>
          <w:tab w:leader="none" w:pos="196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Note is a Physical Note, the certificate number of such Note;</w:t>
      </w:r>
    </w:p>
    <w:p>
      <w:pPr>
        <w:spacing w:after="0" w:line="225" w:lineRule="exact"/>
        <w:rPr>
          <w:rFonts w:ascii="Times New Roman" w:cs="Times New Roman" w:eastAsia="Times New Roman" w:hAnsi="Times New Roman"/>
          <w:sz w:val="18"/>
          <w:szCs w:val="18"/>
          <w:color w:val="auto"/>
        </w:rPr>
      </w:pPr>
    </w:p>
    <w:p>
      <w:pPr>
        <w:ind w:left="1964" w:hanging="668"/>
        <w:spacing w:after="0"/>
        <w:tabs>
          <w:tab w:leader="none" w:pos="196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such Note to be withdrawn, which must be an Authorized Denomination; and</w:t>
      </w:r>
    </w:p>
    <w:p>
      <w:pPr>
        <w:spacing w:after="0" w:line="225" w:lineRule="exact"/>
        <w:rPr>
          <w:rFonts w:ascii="Times New Roman" w:cs="Times New Roman" w:eastAsia="Times New Roman" w:hAnsi="Times New Roman"/>
          <w:sz w:val="18"/>
          <w:szCs w:val="18"/>
          <w:color w:val="auto"/>
        </w:rPr>
      </w:pPr>
    </w:p>
    <w:p>
      <w:pPr>
        <w:ind w:left="644" w:firstLine="652"/>
        <w:spacing w:after="0" w:line="282" w:lineRule="auto"/>
        <w:tabs>
          <w:tab w:leader="none" w:pos="1978"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such Note, if any, that remains subject to such Fundamental Change Repurchase Notice, which must be an Authorized Denomination;</w:t>
      </w:r>
    </w:p>
    <w:p>
      <w:pPr>
        <w:spacing w:after="0" w:line="160" w:lineRule="exact"/>
        <w:rPr>
          <w:sz w:val="20"/>
          <w:szCs w:val="20"/>
          <w:color w:val="auto"/>
        </w:rPr>
      </w:pPr>
    </w:p>
    <w:p>
      <w:pPr>
        <w:jc w:val="both"/>
        <w:ind w:left="4"/>
        <w:spacing w:after="0" w:line="284"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if such Note is a Global Note, then such withdrawal notice must comply with the Depositary Procedures (and any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withdrawal notice delivered in compliance with the Depositary Procedures will be deemed to satisfy the requirements of this </w:t>
      </w:r>
      <w:r>
        <w:rPr>
          <w:rFonts w:ascii="Times New Roman" w:cs="Times New Roman" w:eastAsia="Times New Roman" w:hAnsi="Times New Roman"/>
          <w:sz w:val="18"/>
          <w:szCs w:val="18"/>
          <w:b w:val="1"/>
          <w:bCs w:val="1"/>
          <w:color w:val="auto"/>
        </w:rPr>
        <w:t>Section 4.02(F)</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left="4"/>
        <w:spacing w:after="0" w:line="256" w:lineRule="auto"/>
        <w:rPr>
          <w:sz w:val="20"/>
          <w:szCs w:val="20"/>
          <w:color w:val="auto"/>
        </w:rPr>
      </w:pPr>
      <w:r>
        <w:rPr>
          <w:rFonts w:ascii="Times New Roman" w:cs="Times New Roman" w:eastAsia="Times New Roman" w:hAnsi="Times New Roman"/>
          <w:sz w:val="18"/>
          <w:szCs w:val="18"/>
          <w:color w:val="auto"/>
        </w:rPr>
        <w:t xml:space="preserve">Upon receipt of any such withdrawal notice with respect to a Note (or any portion thereof), the Paying Agent will (x) promptly deliver a copy of such withdrawal notice to the Company; and (y) if such Note is surrendered to the Paying Agent, cause such Note (or such portion thereof in accordance with </w:t>
      </w:r>
      <w:r>
        <w:rPr>
          <w:rFonts w:ascii="Times New Roman" w:cs="Times New Roman" w:eastAsia="Times New Roman" w:hAnsi="Times New Roman"/>
          <w:sz w:val="18"/>
          <w:szCs w:val="18"/>
          <w:b w:val="1"/>
          <w:bCs w:val="1"/>
          <w:color w:val="auto"/>
        </w:rPr>
        <w:t>Section 2.11</w:t>
      </w:r>
      <w:r>
        <w:rPr>
          <w:rFonts w:ascii="Times New Roman" w:cs="Times New Roman" w:eastAsia="Times New Roman" w:hAnsi="Times New Roman"/>
          <w:sz w:val="18"/>
          <w:szCs w:val="18"/>
          <w:color w:val="auto"/>
        </w:rPr>
        <w:t>, treating such Note as having been then surrendered for partial repurchase in the amount set forth in such withdrawal notice as remaining subject to repurchase) to be returned to the Holder thereof (or, if applicable with respect to any Global Note, cancel any instructions for book-entry transfer to the Company, the Trustee or the Paying Agent of the applicable beneficial interest in such Note in accordance with the Depositary Procedures).</w:t>
      </w:r>
    </w:p>
    <w:p>
      <w:pPr>
        <w:spacing w:after="0" w:line="185" w:lineRule="exact"/>
        <w:rPr>
          <w:sz w:val="20"/>
          <w:szCs w:val="20"/>
          <w:color w:val="auto"/>
        </w:rPr>
      </w:pPr>
    </w:p>
    <w:p>
      <w:pPr>
        <w:jc w:val="both"/>
        <w:ind w:left="-656" w:firstLine="656"/>
        <w:spacing w:after="0" w:line="255" w:lineRule="auto"/>
        <w:tabs>
          <w:tab w:leader="none" w:pos="62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 of the Fundamental Change Repurchase Price</w:t>
      </w:r>
      <w:r>
        <w:rPr>
          <w:rFonts w:ascii="Times New Roman" w:cs="Times New Roman" w:eastAsia="Times New Roman" w:hAnsi="Times New Roman"/>
          <w:sz w:val="18"/>
          <w:szCs w:val="18"/>
          <w:color w:val="auto"/>
        </w:rPr>
        <w:t>. Without limiting the Company’s obligation to deposit the Fundamental 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Repurchase Price within the time prescribed by </w:t>
      </w:r>
      <w:r>
        <w:rPr>
          <w:rFonts w:ascii="Times New Roman" w:cs="Times New Roman" w:eastAsia="Times New Roman" w:hAnsi="Times New Roman"/>
          <w:sz w:val="18"/>
          <w:szCs w:val="18"/>
          <w:b w:val="1"/>
          <w:bCs w:val="1"/>
          <w:color w:val="auto"/>
        </w:rPr>
        <w:t>Section 3.01(B)</w:t>
      </w:r>
      <w:r>
        <w:rPr>
          <w:rFonts w:ascii="Times New Roman" w:cs="Times New Roman" w:eastAsia="Times New Roman" w:hAnsi="Times New Roman"/>
          <w:sz w:val="18"/>
          <w:szCs w:val="18"/>
          <w:color w:val="auto"/>
        </w:rPr>
        <w:t xml:space="preserve">, the Company will cause the Fundamental Change Repurchase Price for a Note (or portion thereof) to be repurchased pursuant to a Repurchase Upon Fundamental Change to be paid to the Holder thereof on or before the later of (i) the applicable Fundamental Change Repurchase Date; and (ii) the date (x) such Note is delivered to the Paying Agent (in the case of a Physical Note) or (y) the Depositary Procedures relating to the repurchase, and the delivery to the Paying Agent, of such Holder’s beneficial interest in such Note to be repurchased are complied with (in the case of a Global Note). For the avoidance of doubt, interest payable pursuant to the proviso to the first sentence of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4.02(D) </w:t>
      </w:r>
      <w:r>
        <w:rPr>
          <w:rFonts w:ascii="Times New Roman" w:cs="Times New Roman" w:eastAsia="Times New Roman" w:hAnsi="Times New Roman"/>
          <w:sz w:val="18"/>
          <w:szCs w:val="18"/>
          <w:color w:val="auto"/>
        </w:rPr>
        <w:t>on any Note to be repurchased pursuant to a Repurchase Upon Fundamental Change must be paid pursuant to such proviso regardless of whether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such Note is delivered or such Depositary Procedures are complied with pursuant to the first sentence of this </w:t>
      </w:r>
      <w:r>
        <w:rPr>
          <w:rFonts w:ascii="Times New Roman" w:cs="Times New Roman" w:eastAsia="Times New Roman" w:hAnsi="Times New Roman"/>
          <w:sz w:val="18"/>
          <w:szCs w:val="18"/>
          <w:b w:val="1"/>
          <w:bCs w:val="1"/>
          <w:color w:val="auto"/>
        </w:rPr>
        <w:t>Section 4.02(G)</w:t>
      </w:r>
      <w:r>
        <w:rPr>
          <w:rFonts w:ascii="Times New Roman" w:cs="Times New Roman" w:eastAsia="Times New Roman" w:hAnsi="Times New Roman"/>
          <w:sz w:val="18"/>
          <w:szCs w:val="18"/>
          <w:color w:val="auto"/>
        </w:rPr>
        <w:t>.</w:t>
      </w:r>
    </w:p>
    <w:p>
      <w:pPr>
        <w:spacing w:after="0" w:line="357" w:lineRule="exact"/>
        <w:rPr>
          <w:rFonts w:ascii="Times New Roman" w:cs="Times New Roman" w:eastAsia="Times New Roman" w:hAnsi="Times New Roman"/>
          <w:sz w:val="18"/>
          <w:szCs w:val="18"/>
          <w:color w:val="auto"/>
        </w:rPr>
      </w:pPr>
    </w:p>
    <w:p>
      <w:pPr>
        <w:ind w:left="4904" w:hanging="92"/>
        <w:spacing w:after="0"/>
        <w:tabs>
          <w:tab w:leader="none" w:pos="4904" w:val="left"/>
        </w:tabs>
        <w:numPr>
          <w:ilvl w:val="1"/>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9" w:right="339" w:bottom="1440" w:gutter="0" w:footer="0" w:header="0"/>
        </w:sectPr>
      </w:pPr>
    </w:p>
    <w:bookmarkStart w:id="49" w:name="page50"/>
    <w:bookmarkEnd w:id="49"/>
    <w:p>
      <w:pPr>
        <w:jc w:val="both"/>
        <w:ind w:left="-656" w:firstLine="656"/>
        <w:spacing w:after="0" w:line="259" w:lineRule="auto"/>
        <w:tabs>
          <w:tab w:leader="none" w:pos="70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Third Party May Conduct Repurchase Offer In Lieu of the Company</w:t>
      </w:r>
      <w:r>
        <w:rPr>
          <w:rFonts w:ascii="Times New Roman" w:cs="Times New Roman" w:eastAsia="Times New Roman" w:hAnsi="Times New Roman"/>
          <w:sz w:val="18"/>
          <w:szCs w:val="18"/>
          <w:color w:val="auto"/>
        </w:rPr>
        <w:t>. Notwithstanding anything to the contrary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4.02</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Company will be deemed to satisfy its obligations under this </w:t>
      </w:r>
      <w:r>
        <w:rPr>
          <w:rFonts w:ascii="Times New Roman" w:cs="Times New Roman" w:eastAsia="Times New Roman" w:hAnsi="Times New Roman"/>
          <w:sz w:val="18"/>
          <w:szCs w:val="18"/>
          <w:b w:val="1"/>
          <w:bCs w:val="1"/>
          <w:color w:val="auto"/>
        </w:rPr>
        <w:t>Section 4.02</w:t>
      </w:r>
      <w:r>
        <w:rPr>
          <w:rFonts w:ascii="Times New Roman" w:cs="Times New Roman" w:eastAsia="Times New Roman" w:hAnsi="Times New Roman"/>
          <w:sz w:val="18"/>
          <w:szCs w:val="18"/>
          <w:color w:val="auto"/>
        </w:rPr>
        <w:t xml:space="preserve"> if (i) one or more third parties conduct any Repurchase Upon Fundamental Change and related offer to repurchase Notes otherwise required by this </w:t>
      </w:r>
      <w:r>
        <w:rPr>
          <w:rFonts w:ascii="Times New Roman" w:cs="Times New Roman" w:eastAsia="Times New Roman" w:hAnsi="Times New Roman"/>
          <w:sz w:val="18"/>
          <w:szCs w:val="18"/>
          <w:b w:val="1"/>
          <w:bCs w:val="1"/>
          <w:color w:val="auto"/>
        </w:rPr>
        <w:t>Section 4.02</w:t>
      </w:r>
      <w:r>
        <w:rPr>
          <w:rFonts w:ascii="Times New Roman" w:cs="Times New Roman" w:eastAsia="Times New Roman" w:hAnsi="Times New Roman"/>
          <w:sz w:val="18"/>
          <w:szCs w:val="18"/>
          <w:color w:val="auto"/>
        </w:rPr>
        <w:t xml:space="preserve"> in a manner that would have satisfied the requirements of this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4.02 </w:t>
      </w:r>
      <w:r>
        <w:rPr>
          <w:rFonts w:ascii="Times New Roman" w:cs="Times New Roman" w:eastAsia="Times New Roman" w:hAnsi="Times New Roman"/>
          <w:sz w:val="18"/>
          <w:szCs w:val="18"/>
          <w:color w:val="auto"/>
        </w:rPr>
        <w:t>if conducted directly by the Company; and (ii) an owner of a beneficial interest in any Note repurchased by such third party or parties will not receive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lesser amount (as a result of withholding or other similar taxes) than such owner would have received had the Company repurchased such Note.</w:t>
      </w:r>
    </w:p>
    <w:p>
      <w:pPr>
        <w:spacing w:after="0" w:line="181" w:lineRule="exact"/>
        <w:rPr>
          <w:rFonts w:ascii="Times New Roman" w:cs="Times New Roman" w:eastAsia="Times New Roman" w:hAnsi="Times New Roman"/>
          <w:sz w:val="18"/>
          <w:szCs w:val="18"/>
          <w:color w:val="auto"/>
        </w:rPr>
      </w:pPr>
    </w:p>
    <w:p>
      <w:pPr>
        <w:jc w:val="both"/>
        <w:ind w:left="-656" w:firstLine="656"/>
        <w:spacing w:after="0" w:line="253" w:lineRule="auto"/>
        <w:tabs>
          <w:tab w:leader="none" w:pos="63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Requirement to Conduct an Offer to Repurchase Notes if the Fundamental Change Results in the Notes Becoming Convertible into an Amount of Cash Exceeding the Fundamental Change Repurchase Price</w:t>
      </w:r>
      <w:r>
        <w:rPr>
          <w:rFonts w:ascii="Times New Roman" w:cs="Times New Roman" w:eastAsia="Times New Roman" w:hAnsi="Times New Roman"/>
          <w:sz w:val="18"/>
          <w:szCs w:val="18"/>
          <w:color w:val="auto"/>
        </w:rPr>
        <w:t>. Notwithstanding anything to the contrary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4.02</w:t>
      </w:r>
      <w:r>
        <w:rPr>
          <w:rFonts w:ascii="Times New Roman" w:cs="Times New Roman" w:eastAsia="Times New Roman" w:hAnsi="Times New Roman"/>
          <w:sz w:val="18"/>
          <w:szCs w:val="18"/>
          <w:color w:val="auto"/>
        </w:rPr>
        <w:t>, the Company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not be required to send a Fundamental Change Notice pursuant to </w:t>
      </w:r>
      <w:r>
        <w:rPr>
          <w:rFonts w:ascii="Times New Roman" w:cs="Times New Roman" w:eastAsia="Times New Roman" w:hAnsi="Times New Roman"/>
          <w:sz w:val="18"/>
          <w:szCs w:val="18"/>
          <w:b w:val="1"/>
          <w:bCs w:val="1"/>
          <w:color w:val="auto"/>
        </w:rPr>
        <w:t>Section 4.02(E)</w:t>
      </w:r>
      <w:r>
        <w:rPr>
          <w:rFonts w:ascii="Times New Roman" w:cs="Times New Roman" w:eastAsia="Times New Roman" w:hAnsi="Times New Roman"/>
          <w:sz w:val="18"/>
          <w:szCs w:val="18"/>
          <w:color w:val="auto"/>
        </w:rPr>
        <w:t xml:space="preserve">, or offer to repurchase or repurchase any Notes pursuant to this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4.02</w:t>
      </w:r>
      <w:r>
        <w:rPr>
          <w:rFonts w:ascii="Times New Roman" w:cs="Times New Roman" w:eastAsia="Times New Roman" w:hAnsi="Times New Roman"/>
          <w:sz w:val="18"/>
          <w:szCs w:val="18"/>
          <w:color w:val="auto"/>
        </w:rPr>
        <w:t>, in connection with an Ordinary Share Change Event that constitutes a Fundamental Change pursuant to</w:t>
      </w:r>
      <w:r>
        <w:rPr>
          <w:rFonts w:ascii="Times New Roman" w:cs="Times New Roman" w:eastAsia="Times New Roman" w:hAnsi="Times New Roman"/>
          <w:sz w:val="18"/>
          <w:szCs w:val="18"/>
          <w:b w:val="1"/>
          <w:bCs w:val="1"/>
          <w:color w:val="auto"/>
        </w:rPr>
        <w:t xml:space="preserve"> clause (B)(ii) </w:t>
      </w:r>
      <w:r>
        <w:rPr>
          <w:rFonts w:ascii="Times New Roman" w:cs="Times New Roman" w:eastAsia="Times New Roman" w:hAnsi="Times New Roman"/>
          <w:sz w:val="18"/>
          <w:szCs w:val="18"/>
          <w:color w:val="auto"/>
        </w:rPr>
        <w:t>of the definition thereof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(regardless of whether such Ordinary Share Change Event also constitutes a Fundamental Change pursuant to any other clause of such definition), if (i) the Reference Property of such Ordinary Share Change Event consists entirely of cash in U.S. dollars; (ii) immediately after such Fundamental Change, the Notes become Convertible, pursuant to </w:t>
      </w:r>
      <w:r>
        <w:rPr>
          <w:rFonts w:ascii="Times New Roman" w:cs="Times New Roman" w:eastAsia="Times New Roman" w:hAnsi="Times New Roman"/>
          <w:sz w:val="18"/>
          <w:szCs w:val="18"/>
          <w:b w:val="1"/>
          <w:bCs w:val="1"/>
          <w:color w:val="auto"/>
        </w:rPr>
        <w:t>Section 5.09(A)</w:t>
      </w:r>
      <w:r>
        <w:rPr>
          <w:rFonts w:ascii="Times New Roman" w:cs="Times New Roman" w:eastAsia="Times New Roman" w:hAnsi="Times New Roman"/>
          <w:sz w:val="18"/>
          <w:szCs w:val="18"/>
          <w:color w:val="auto"/>
        </w:rPr>
        <w:t xml:space="preserve"> and, if applicable, </w:t>
      </w:r>
      <w:r>
        <w:rPr>
          <w:rFonts w:ascii="Times New Roman" w:cs="Times New Roman" w:eastAsia="Times New Roman" w:hAnsi="Times New Roman"/>
          <w:sz w:val="18"/>
          <w:szCs w:val="18"/>
          <w:b w:val="1"/>
          <w:bCs w:val="1"/>
          <w:color w:val="auto"/>
        </w:rPr>
        <w:t>Section 5.07</w:t>
      </w:r>
      <w:r>
        <w:rPr>
          <w:rFonts w:ascii="Times New Roman" w:cs="Times New Roman" w:eastAsia="Times New Roman" w:hAnsi="Times New Roman"/>
          <w:sz w:val="18"/>
          <w:szCs w:val="18"/>
          <w:color w:val="auto"/>
        </w:rPr>
        <w:t xml:space="preserve">, into consideration that consists solely of U.S. dollars in an amount per $1,000 aggregate principal amount of Notes that equals or exceeds the Fundamental Change Repurchase Price per $1,000 aggregate principal amount of Notes (calculated (1) assuming that the same includes accrued and unpaid interest to, but excluding, the latest possible Fundamental Change Repurchase Date for such Fundamental Change and (2) without regard to the proviso to the first sentence of </w:t>
      </w:r>
      <w:r>
        <w:rPr>
          <w:rFonts w:ascii="Times New Roman" w:cs="Times New Roman" w:eastAsia="Times New Roman" w:hAnsi="Times New Roman"/>
          <w:sz w:val="18"/>
          <w:szCs w:val="18"/>
          <w:b w:val="1"/>
          <w:bCs w:val="1"/>
          <w:color w:val="auto"/>
        </w:rPr>
        <w:t>Section 4.02(D)</w:t>
      </w:r>
      <w:r>
        <w:rPr>
          <w:rFonts w:ascii="Times New Roman" w:cs="Times New Roman" w:eastAsia="Times New Roman" w:hAnsi="Times New Roman"/>
          <w:sz w:val="18"/>
          <w:szCs w:val="18"/>
          <w:color w:val="auto"/>
        </w:rPr>
        <w:t xml:space="preserve">); and (iii) the Company timely sends the notice relating to such Fundamental Change required pursuant to </w:t>
      </w:r>
      <w:r>
        <w:rPr>
          <w:rFonts w:ascii="Times New Roman" w:cs="Times New Roman" w:eastAsia="Times New Roman" w:hAnsi="Times New Roman"/>
          <w:sz w:val="18"/>
          <w:szCs w:val="18"/>
          <w:b w:val="1"/>
          <w:bCs w:val="1"/>
          <w:color w:val="auto"/>
        </w:rPr>
        <w:t>Section 5.01(C)(i)(3)(b)</w:t>
      </w:r>
      <w:r>
        <w:rPr>
          <w:rFonts w:ascii="Times New Roman" w:cs="Times New Roman" w:eastAsia="Times New Roman" w:hAnsi="Times New Roman"/>
          <w:sz w:val="18"/>
          <w:szCs w:val="18"/>
          <w:color w:val="auto"/>
        </w:rPr>
        <w:t xml:space="preserve"> and includes, in such notice, a statement that the Company is relying on this </w:t>
      </w:r>
      <w:r>
        <w:rPr>
          <w:rFonts w:ascii="Times New Roman" w:cs="Times New Roman" w:eastAsia="Times New Roman" w:hAnsi="Times New Roman"/>
          <w:sz w:val="18"/>
          <w:szCs w:val="18"/>
          <w:b w:val="1"/>
          <w:bCs w:val="1"/>
          <w:color w:val="auto"/>
        </w:rPr>
        <w:t>Section 4.02(I)</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jc w:val="both"/>
        <w:ind w:left="-656" w:firstLine="656"/>
        <w:spacing w:after="0" w:line="257" w:lineRule="auto"/>
        <w:tabs>
          <w:tab w:leader="none" w:pos="61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Applicable Securities Laws</w:t>
      </w:r>
      <w:r>
        <w:rPr>
          <w:rFonts w:ascii="Times New Roman" w:cs="Times New Roman" w:eastAsia="Times New Roman" w:hAnsi="Times New Roman"/>
          <w:sz w:val="18"/>
          <w:szCs w:val="18"/>
          <w:color w:val="auto"/>
        </w:rPr>
        <w:t>. To the extent applicable, the Company will comply, in all material respects, with all federal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state securities laws in connection with a Repurchase Upon Fundamental Change (including complying with Rules 13e-4 and 14e-1 under the Exchange Act and filing any required Schedule TO, to the extent applicable) so as to permit effecting such Repurchase Upon Fundamental Change in the manner set forth in this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to the extent that the Company’s obligations pursuant to this </w:t>
      </w:r>
      <w:r>
        <w:rPr>
          <w:rFonts w:ascii="Times New Roman" w:cs="Times New Roman" w:eastAsia="Times New Roman" w:hAnsi="Times New Roman"/>
          <w:sz w:val="18"/>
          <w:szCs w:val="18"/>
          <w:b w:val="1"/>
          <w:bCs w:val="1"/>
          <w:color w:val="auto"/>
        </w:rPr>
        <w:t>Section 4.02</w:t>
      </w:r>
      <w:r>
        <w:rPr>
          <w:rFonts w:ascii="Times New Roman" w:cs="Times New Roman" w:eastAsia="Times New Roman" w:hAnsi="Times New Roman"/>
          <w:sz w:val="18"/>
          <w:szCs w:val="18"/>
          <w:color w:val="auto"/>
        </w:rPr>
        <w:t xml:space="preserve"> conflict with any law or regulation that is applicable to the Company and enacted after the Issue Date, the Company’s compliance with such law or regulation will not be considered to be a Default of such obligations.</w:t>
      </w:r>
    </w:p>
    <w:p>
      <w:pPr>
        <w:spacing w:after="0" w:line="180" w:lineRule="exact"/>
        <w:rPr>
          <w:rFonts w:ascii="Times New Roman" w:cs="Times New Roman" w:eastAsia="Times New Roman" w:hAnsi="Times New Roman"/>
          <w:sz w:val="18"/>
          <w:szCs w:val="18"/>
          <w:color w:val="auto"/>
        </w:rPr>
      </w:pPr>
    </w:p>
    <w:p>
      <w:pPr>
        <w:jc w:val="both"/>
        <w:ind w:left="-656" w:firstLine="656"/>
        <w:spacing w:after="0" w:line="268" w:lineRule="auto"/>
        <w:tabs>
          <w:tab w:leader="none" w:pos="68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Repurchase in Part</w:t>
      </w:r>
      <w:r>
        <w:rPr>
          <w:rFonts w:ascii="Times New Roman" w:cs="Times New Roman" w:eastAsia="Times New Roman" w:hAnsi="Times New Roman"/>
          <w:sz w:val="18"/>
          <w:szCs w:val="18"/>
          <w:color w:val="auto"/>
        </w:rPr>
        <w:t>. Subject to the terms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4.02</w:t>
      </w:r>
      <w:r>
        <w:rPr>
          <w:rFonts w:ascii="Times New Roman" w:cs="Times New Roman" w:eastAsia="Times New Roman" w:hAnsi="Times New Roman"/>
          <w:sz w:val="18"/>
          <w:szCs w:val="18"/>
          <w:color w:val="auto"/>
        </w:rPr>
        <w:t>, Notes may be repurchased pursuant to a Repurchase Upon Fundamental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Change in part, but only in Authorized Denominations. Provisions of this </w:t>
      </w:r>
      <w:r>
        <w:rPr>
          <w:rFonts w:ascii="Times New Roman" w:cs="Times New Roman" w:eastAsia="Times New Roman" w:hAnsi="Times New Roman"/>
          <w:sz w:val="18"/>
          <w:szCs w:val="18"/>
          <w:b w:val="1"/>
          <w:bCs w:val="1"/>
          <w:color w:val="auto"/>
        </w:rPr>
        <w:t>Section 4.02</w:t>
      </w:r>
      <w:r>
        <w:rPr>
          <w:rFonts w:ascii="Times New Roman" w:cs="Times New Roman" w:eastAsia="Times New Roman" w:hAnsi="Times New Roman"/>
          <w:sz w:val="18"/>
          <w:szCs w:val="18"/>
          <w:color w:val="auto"/>
        </w:rPr>
        <w:t xml:space="preserve"> applying to the repurchase of a Note in whole will equally apply to the repurchase of a permitted portion of a Note.</w:t>
      </w:r>
    </w:p>
    <w:p>
      <w:pPr>
        <w:spacing w:after="0" w:line="345" w:lineRule="exact"/>
        <w:rPr>
          <w:rFonts w:ascii="Times New Roman" w:cs="Times New Roman" w:eastAsia="Times New Roman" w:hAnsi="Times New Roman"/>
          <w:sz w:val="18"/>
          <w:szCs w:val="18"/>
          <w:color w:val="auto"/>
        </w:rPr>
      </w:pPr>
    </w:p>
    <w:p>
      <w:pPr>
        <w:ind w:left="4904" w:hanging="92"/>
        <w:spacing w:after="0"/>
        <w:tabs>
          <w:tab w:leader="none" w:pos="4904" w:val="left"/>
        </w:tabs>
        <w:numPr>
          <w:ilvl w:val="1"/>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7" w:right="339" w:bottom="1440" w:gutter="0" w:footer="0" w:header="0"/>
        </w:sectPr>
      </w:pPr>
    </w:p>
    <w:bookmarkStart w:id="50" w:name="page51"/>
    <w:bookmarkEnd w:id="50"/>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4.03.</w:t>
        <w:tab/>
        <w:t>R</w:t>
      </w:r>
      <w:r>
        <w:rPr>
          <w:rFonts w:ascii="Times New Roman" w:cs="Times New Roman" w:eastAsia="Times New Roman" w:hAnsi="Times New Roman"/>
          <w:sz w:val="12"/>
          <w:szCs w:val="12"/>
          <w:b w:val="1"/>
          <w:bCs w:val="1"/>
          <w:color w:val="auto"/>
        </w:rPr>
        <w:t>ight of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ompany to</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edeem the</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otes</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ind w:firstLine="656"/>
        <w:spacing w:after="0" w:line="284" w:lineRule="auto"/>
        <w:tabs>
          <w:tab w:leader="none" w:pos="133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Right to Redeem Before June 6, 2030 Except Pursuant to a Tax Redemption. </w:t>
      </w:r>
      <w:r>
        <w:rPr>
          <w:rFonts w:ascii="Times New Roman" w:cs="Times New Roman" w:eastAsia="Times New Roman" w:hAnsi="Times New Roman"/>
          <w:sz w:val="18"/>
          <w:szCs w:val="18"/>
          <w:color w:val="auto"/>
        </w:rPr>
        <w:t>The Company may not redeem the Notes at its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pursuant to this </w:t>
      </w:r>
      <w:r>
        <w:rPr>
          <w:rFonts w:ascii="Times New Roman" w:cs="Times New Roman" w:eastAsia="Times New Roman" w:hAnsi="Times New Roman"/>
          <w:sz w:val="18"/>
          <w:szCs w:val="18"/>
          <w:b w:val="1"/>
          <w:bCs w:val="1"/>
          <w:color w:val="auto"/>
        </w:rPr>
        <w:t>Section 4.03</w:t>
      </w:r>
      <w:r>
        <w:rPr>
          <w:rFonts w:ascii="Times New Roman" w:cs="Times New Roman" w:eastAsia="Times New Roman" w:hAnsi="Times New Roman"/>
          <w:sz w:val="18"/>
          <w:szCs w:val="18"/>
          <w:color w:val="auto"/>
        </w:rPr>
        <w:t xml:space="preserve"> at any time before June 6, 2030, except pursuant to a Tax Redemption.</w:t>
      </w:r>
    </w:p>
    <w:p>
      <w:pPr>
        <w:spacing w:after="0" w:line="156" w:lineRule="exact"/>
        <w:rPr>
          <w:rFonts w:ascii="Times New Roman" w:cs="Times New Roman" w:eastAsia="Times New Roman" w:hAnsi="Times New Roman"/>
          <w:sz w:val="18"/>
          <w:szCs w:val="18"/>
          <w:color w:val="auto"/>
        </w:rPr>
      </w:pPr>
    </w:p>
    <w:p>
      <w:pPr>
        <w:jc w:val="both"/>
        <w:ind w:firstLine="656"/>
        <w:spacing w:after="0" w:line="253" w:lineRule="auto"/>
        <w:tabs>
          <w:tab w:leader="none" w:pos="13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Right to Redeem the Notes On or After June 6, 2030. </w:t>
      </w:r>
      <w:r>
        <w:rPr>
          <w:rFonts w:ascii="Times New Roman" w:cs="Times New Roman" w:eastAsia="Times New Roman" w:hAnsi="Times New Roman"/>
          <w:sz w:val="18"/>
          <w:szCs w:val="18"/>
          <w:color w:val="auto"/>
        </w:rPr>
        <w:t>Subject to the terms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4.03</w:t>
      </w:r>
      <w:r>
        <w:rPr>
          <w:rFonts w:ascii="Times New Roman" w:cs="Times New Roman" w:eastAsia="Times New Roman" w:hAnsi="Times New Roman"/>
          <w:sz w:val="18"/>
          <w:szCs w:val="18"/>
          <w:color w:val="auto"/>
        </w:rPr>
        <w:t>, the Company has the right, at its election,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 redeem all, or any portion in an Authorized Denomination, of the Notes, at any time, and from time to time, on a Redemption Date on or after June 6, 2030 and on or before the thirtieth (30th) Scheduled Trading Day immediately before the Maturity Date, for a cash purchase price equal to the Redemption Price, but only if (i) the Notes are Freely Tradable as of the Redemption Notice Date for such Redemption and all accrued and unpaid Additional Interest, if any, has been paid in full as of the most recent Interest Payment Date occurring on or before such Redemption Notice Date; and (ii) the Last Reported Sale Price per Ordinary Share exceeds one hundred and thirty percent (130%) of the Conversion Price on (x) each of at least twenty (20) Trading Days (whether or not consecutive) during the thirty (30) consecutive Trading Days ending on, and including, the Trading Day immediately before such Redemption Notice Date; and (y) the Trading Day immediately before such Redemption Notice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Company will not call less than all of the outstanding Notes for Redemption unless the excess of the principal amount of Notes outstanding as of the time the Company sends the related Redemption Notice over the aggregate principal amount of Notes set forth in such Redemption Notice as being subject to such Redemption is at least one hundred million dollars ($100,000,000). For the avoidance of doubt, the calling of any Notes for a Provisional Redemption will constitute a Make-Whole Fundamental Change with respect to such Notes pursuant to </w:t>
      </w:r>
      <w:r>
        <w:rPr>
          <w:rFonts w:ascii="Times New Roman" w:cs="Times New Roman" w:eastAsia="Times New Roman" w:hAnsi="Times New Roman"/>
          <w:sz w:val="18"/>
          <w:szCs w:val="18"/>
          <w:b w:val="1"/>
          <w:bCs w:val="1"/>
          <w:color w:val="auto"/>
        </w:rPr>
        <w:t>clause (B)</w:t>
      </w:r>
      <w:r>
        <w:rPr>
          <w:rFonts w:ascii="Times New Roman" w:cs="Times New Roman" w:eastAsia="Times New Roman" w:hAnsi="Times New Roman"/>
          <w:sz w:val="18"/>
          <w:szCs w:val="18"/>
          <w:color w:val="auto"/>
        </w:rPr>
        <w:t xml:space="preserve"> of the definition thereof.</w:t>
      </w:r>
    </w:p>
    <w:p>
      <w:pPr>
        <w:spacing w:after="0" w:line="19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Right to Redeem the Notes After a Change in Tax Law</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905"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Generally. </w:t>
      </w:r>
      <w:r>
        <w:rPr>
          <w:rFonts w:ascii="Times New Roman" w:cs="Times New Roman" w:eastAsia="Times New Roman" w:hAnsi="Times New Roman"/>
          <w:sz w:val="18"/>
          <w:szCs w:val="18"/>
          <w:color w:val="auto"/>
        </w:rPr>
        <w:t>Subject to the terms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4.03</w:t>
      </w:r>
      <w:r>
        <w:rPr>
          <w:rFonts w:ascii="Times New Roman" w:cs="Times New Roman" w:eastAsia="Times New Roman" w:hAnsi="Times New Roman"/>
          <w:sz w:val="18"/>
          <w:szCs w:val="18"/>
          <w:color w:val="auto"/>
        </w:rPr>
        <w:t>, and without limiting the Company’s right to redeem any Notes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4.03(B)</w:t>
      </w:r>
      <w:r>
        <w:rPr>
          <w:rFonts w:ascii="Times New Roman" w:cs="Times New Roman" w:eastAsia="Times New Roman" w:hAnsi="Times New Roman"/>
          <w:sz w:val="18"/>
          <w:szCs w:val="18"/>
          <w:color w:val="auto"/>
        </w:rPr>
        <w:t>, the Company has the right, at its election, to redeem all, but not less than all, of the Notes, at any time, on a Redemption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before the Maturity Date, for a cash purchase price equal to the Redemption Price, but only if the following conditions are satisfied: (1) the Company has (or, on the next Interest Payment Date, would) become obligated to pay any Additional Amounts to Holders as a result of any Change in Tax Law; (2) the Company cannot avoid such obligation by taking reasonable measures available to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changing the Company’s jurisdiction of incorporation or organization or the jurisdiction of incorporation or organization of the issuer of the Ordinary Shares or Reference Property Units shall not be deemed to be a reasonable measure); (3) the Company delivers to the Trustee (x) an Opinion of Counsel from outside legal counsel of recognized standing in the Relevant Taxing Jurisdiction attesting to </w:t>
      </w:r>
      <w:r>
        <w:rPr>
          <w:rFonts w:ascii="Times New Roman" w:cs="Times New Roman" w:eastAsia="Times New Roman" w:hAnsi="Times New Roman"/>
          <w:sz w:val="18"/>
          <w:szCs w:val="18"/>
          <w:b w:val="1"/>
          <w:bCs w:val="1"/>
          <w:color w:val="auto"/>
        </w:rPr>
        <w:t>clause (1)</w:t>
      </w:r>
      <w:r>
        <w:rPr>
          <w:rFonts w:ascii="Times New Roman" w:cs="Times New Roman" w:eastAsia="Times New Roman" w:hAnsi="Times New Roman"/>
          <w:sz w:val="18"/>
          <w:szCs w:val="18"/>
          <w:color w:val="auto"/>
        </w:rPr>
        <w:t xml:space="preserve"> above; and (y) an Officer’s Certificate attesting to </w:t>
      </w:r>
      <w:r>
        <w:rPr>
          <w:rFonts w:ascii="Times New Roman" w:cs="Times New Roman" w:eastAsia="Times New Roman" w:hAnsi="Times New Roman"/>
          <w:sz w:val="18"/>
          <w:szCs w:val="18"/>
          <w:b w:val="1"/>
          <w:bCs w:val="1"/>
          <w:color w:val="auto"/>
        </w:rPr>
        <w:t>clauses (1)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xml:space="preserve"> above; and (4) if the Redemption Date is after the De-Legending Deadline Date, the Notes are Freely Tradable as of the Redemption Notice Date for such Redemption and all accrued and unpaid Additional Interest, if any, has been paid in full as of the most recent Interest Payment Date occurring on or before such Redemption Notice Date. For the avoidance of doubt, the calling of any Notes for a Tax Redemption will constitute a Make-Whole Fundamental Change pursuant to </w:t>
      </w:r>
      <w:r>
        <w:rPr>
          <w:rFonts w:ascii="Times New Roman" w:cs="Times New Roman" w:eastAsia="Times New Roman" w:hAnsi="Times New Roman"/>
          <w:sz w:val="18"/>
          <w:szCs w:val="18"/>
          <w:b w:val="1"/>
          <w:bCs w:val="1"/>
          <w:color w:val="auto"/>
        </w:rPr>
        <w:t>clause (B)</w:t>
      </w:r>
      <w:r>
        <w:rPr>
          <w:rFonts w:ascii="Times New Roman" w:cs="Times New Roman" w:eastAsia="Times New Roman" w:hAnsi="Times New Roman"/>
          <w:sz w:val="18"/>
          <w:szCs w:val="18"/>
          <w:color w:val="auto"/>
        </w:rPr>
        <w:t xml:space="preserve"> of the definition thereof.</w:t>
      </w:r>
    </w:p>
    <w:p>
      <w:pPr>
        <w:spacing w:after="0" w:line="364"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2"/>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jc w:val="both"/>
        <w:ind w:left="-460" w:firstLine="644"/>
        <w:spacing w:after="0" w:line="253" w:lineRule="auto"/>
        <w:tabs>
          <w:tab w:leader="none" w:pos="82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 Redemption Opt-Out Election</w:t>
      </w:r>
      <w:r>
        <w:rPr>
          <w:rFonts w:ascii="Times New Roman" w:cs="Times New Roman" w:eastAsia="Times New Roman" w:hAnsi="Times New Roman"/>
          <w:sz w:val="18"/>
          <w:szCs w:val="18"/>
          <w:color w:val="auto"/>
        </w:rPr>
        <w:t>. If the Company calls the Notes for a Tax Redemption, then, notwithstanding anything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contrary in this </w:t>
      </w:r>
      <w:r>
        <w:rPr>
          <w:rFonts w:ascii="Times New Roman" w:cs="Times New Roman" w:eastAsia="Times New Roman" w:hAnsi="Times New Roman"/>
          <w:sz w:val="18"/>
          <w:szCs w:val="18"/>
          <w:b w:val="1"/>
          <w:bCs w:val="1"/>
          <w:color w:val="auto"/>
        </w:rPr>
        <w:t>Section 4.03</w:t>
      </w:r>
      <w:r>
        <w:rPr>
          <w:rFonts w:ascii="Times New Roman" w:cs="Times New Roman" w:eastAsia="Times New Roman" w:hAnsi="Times New Roman"/>
          <w:sz w:val="18"/>
          <w:szCs w:val="18"/>
          <w:color w:val="auto"/>
        </w:rPr>
        <w:t xml:space="preserve"> or in </w:t>
      </w:r>
      <w:r>
        <w:rPr>
          <w:rFonts w:ascii="Times New Roman" w:cs="Times New Roman" w:eastAsia="Times New Roman" w:hAnsi="Times New Roman"/>
          <w:sz w:val="18"/>
          <w:szCs w:val="18"/>
          <w:b w:val="1"/>
          <w:bCs w:val="1"/>
          <w:color w:val="auto"/>
        </w:rPr>
        <w:t>Section 3.05</w:t>
      </w:r>
      <w:r>
        <w:rPr>
          <w:rFonts w:ascii="Times New Roman" w:cs="Times New Roman" w:eastAsia="Times New Roman" w:hAnsi="Times New Roman"/>
          <w:sz w:val="18"/>
          <w:szCs w:val="18"/>
          <w:color w:val="auto"/>
        </w:rPr>
        <w:t>, each Holder will have the right to elect (a “</w:t>
      </w:r>
      <w:r>
        <w:rPr>
          <w:rFonts w:ascii="Times New Roman" w:cs="Times New Roman" w:eastAsia="Times New Roman" w:hAnsi="Times New Roman"/>
          <w:sz w:val="18"/>
          <w:szCs w:val="18"/>
          <w:b w:val="1"/>
          <w:bCs w:val="1"/>
          <w:color w:val="auto"/>
        </w:rPr>
        <w:t>Tax Redemption Opt-Out Election</w:t>
      </w:r>
      <w:r>
        <w:rPr>
          <w:rFonts w:ascii="Times New Roman" w:cs="Times New Roman" w:eastAsia="Times New Roman" w:hAnsi="Times New Roman"/>
          <w:sz w:val="18"/>
          <w:szCs w:val="18"/>
          <w:color w:val="auto"/>
        </w:rPr>
        <w:t xml:space="preserve">”) not to have such Holder’s Notes (or any portion thereof in an Authorized Denomination) redeemed pursuant to such Tax Redemption, in which case, from and after the Redemption Date for such Tax Redemption (or, if the Company fails to pay the Redemption Price due on such Redemption Date in full, from and after such time as the Company pays such Redemption Price in full), the Company will no longer have any obligation to pay any Additional Amounts with respect to such Notes solely as a result of such Change in Tax Law, and all future payments with respect to such Notes will be subject to the deduction or withholding of such Relevant Taxing Jurisdiction’s taxes required by law to be deducted or withheld as a result of such Change in Tax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such Holder Converts such Notes with a Conversion Date occurring before such Redemption Date (or, if the Company fails to pay the Redemption Price due on such Redemption Date in full, such Notes are submitted for Conversion at any time until such time as the Company pays such Redemption Price in full), then the Company will be obligated to pay Additional Amounts, if any, with respect to such Conversion.</w:t>
      </w:r>
    </w:p>
    <w:p>
      <w:pPr>
        <w:spacing w:after="0" w:line="191" w:lineRule="exact"/>
        <w:rPr>
          <w:rFonts w:ascii="Times New Roman" w:cs="Times New Roman" w:eastAsia="Times New Roman" w:hAnsi="Times New Roman"/>
          <w:sz w:val="18"/>
          <w:szCs w:val="18"/>
          <w:color w:val="auto"/>
        </w:rPr>
      </w:pPr>
    </w:p>
    <w:p>
      <w:pPr>
        <w:jc w:val="both"/>
        <w:ind w:left="180" w:firstLine="652"/>
        <w:spacing w:after="0" w:line="254" w:lineRule="auto"/>
        <w:tabs>
          <w:tab w:leader="none" w:pos="1398"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 Redemption Opt-Out Election Notice</w:t>
      </w:r>
      <w:r>
        <w:rPr>
          <w:rFonts w:ascii="Times New Roman" w:cs="Times New Roman" w:eastAsia="Times New Roman" w:hAnsi="Times New Roman"/>
          <w:sz w:val="18"/>
          <w:szCs w:val="18"/>
          <w:color w:val="auto"/>
        </w:rPr>
        <w:t>. To make a Tax Redemption Opt-Out Election with respect to any Note (or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portion thereof in an Authorized Denomination), the Holder of such Note must (subject, in the case of a Global Note or any portion thereof, to the Depositary Procedures) deliver a notice (a “</w:t>
      </w:r>
      <w:r>
        <w:rPr>
          <w:rFonts w:ascii="Times New Roman" w:cs="Times New Roman" w:eastAsia="Times New Roman" w:hAnsi="Times New Roman"/>
          <w:sz w:val="18"/>
          <w:szCs w:val="18"/>
          <w:b w:val="1"/>
          <w:bCs w:val="1"/>
          <w:color w:val="auto"/>
        </w:rPr>
        <w:t>Tax Redemption Opt-Out Election Notice</w:t>
      </w:r>
      <w:r>
        <w:rPr>
          <w:rFonts w:ascii="Times New Roman" w:cs="Times New Roman" w:eastAsia="Times New Roman" w:hAnsi="Times New Roman"/>
          <w:sz w:val="18"/>
          <w:szCs w:val="18"/>
          <w:color w:val="auto"/>
        </w:rPr>
        <w:t xml:space="preserve">”) to the Paying Agent before the Close of Business on the second (2nd) Business Day immediately before the related Redemption Date, which notice must state: (x) if such Note is a Physical Note, the certificate number of such Note; (y) the principal amount of such Note as to which the Tax Redemption Opt-Out Election will apply, which must be an Authorized Denomination; and (z) that such Holder is making a Tax Redemption Opt-Out Election with respect to such Note (or such portion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such Note is a Global Note, then such notice must comply with the Depositary Procedures (and any such notice delivered in compliance with the Depositary Procedures will be deemed to satisfy the requirements of this </w:t>
      </w:r>
      <w:r>
        <w:rPr>
          <w:rFonts w:ascii="Times New Roman" w:cs="Times New Roman" w:eastAsia="Times New Roman" w:hAnsi="Times New Roman"/>
          <w:sz w:val="18"/>
          <w:szCs w:val="18"/>
          <w:b w:val="1"/>
          <w:bCs w:val="1"/>
          <w:color w:val="auto"/>
        </w:rPr>
        <w:t>Section 4.03(C)(ii)(1)</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left="180" w:firstLine="652"/>
        <w:spacing w:after="0" w:line="253" w:lineRule="auto"/>
        <w:tabs>
          <w:tab w:leader="none" w:pos="1645"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Withdrawal of Tax Redemption Opt-Out Election Notice</w:t>
      </w:r>
      <w:r>
        <w:rPr>
          <w:rFonts w:ascii="Times New Roman" w:cs="Times New Roman" w:eastAsia="Times New Roman" w:hAnsi="Times New Roman"/>
          <w:sz w:val="18"/>
          <w:szCs w:val="18"/>
          <w:color w:val="auto"/>
        </w:rPr>
        <w:t>. A Holder that has delivered a Tax Redemption Opt-Out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Election Notice with respect to any Note (or any portion thereof in an Authorized Denomination) may (subject, in the case of a Global Note or any portion thereof, to the Depositary Procedures) withdraw such Tax Redemption Opt-Out Election Notice by delivering a withdrawal notice to the Paying Agent at any time before the Close of Business on the second (2nd) Business Day immediately before the related Redemption Date (or, if the Company fails to pay the Redemption Price due on such Redemption Date in full, at any time until such time as the Company pays such Redemption Price in full), which withdrawal notice must state: (x) if such Note is a Physical Note, the certificate number of such Note; (y) the principal amount of such Note as to which the Tax Redemption Opt-Out Election is being withdrawn, which must be an Authorized Denomination; and (z) that such Holder is withdrawing the Tax Redemption Opt-Out Election with respect to such Note (or such portion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such Note is a Global Note, then such withdrawal notice must comply with the Depositary Procedures (and any such withdrawal notice delivered in compliance with the Depositary Procedures will be deemed to satisfy the requirements of this </w:t>
      </w:r>
      <w:r>
        <w:rPr>
          <w:rFonts w:ascii="Times New Roman" w:cs="Times New Roman" w:eastAsia="Times New Roman" w:hAnsi="Times New Roman"/>
          <w:sz w:val="18"/>
          <w:szCs w:val="18"/>
          <w:b w:val="1"/>
          <w:bCs w:val="1"/>
          <w:color w:val="auto"/>
        </w:rPr>
        <w:t>Section 4.03(C)(ii)(2)</w:t>
      </w:r>
      <w:r>
        <w:rPr>
          <w:rFonts w:ascii="Times New Roman" w:cs="Times New Roman" w:eastAsia="Times New Roman" w:hAnsi="Times New Roman"/>
          <w:sz w:val="18"/>
          <w:szCs w:val="18"/>
          <w:color w:val="auto"/>
        </w:rPr>
        <w:t>).</w:t>
      </w:r>
    </w:p>
    <w:p>
      <w:pPr>
        <w:spacing w:after="0" w:line="364" w:lineRule="exact"/>
        <w:rPr>
          <w:rFonts w:ascii="Times New Roman" w:cs="Times New Roman" w:eastAsia="Times New Roman" w:hAnsi="Times New Roman"/>
          <w:sz w:val="18"/>
          <w:szCs w:val="18"/>
          <w:color w:val="auto"/>
        </w:rPr>
      </w:pPr>
    </w:p>
    <w:p>
      <w:pPr>
        <w:ind w:left="4440" w:hanging="92"/>
        <w:spacing w:after="0"/>
        <w:tabs>
          <w:tab w:leader="none" w:pos="4440" w:val="left"/>
        </w:tabs>
        <w:numPr>
          <w:ilvl w:val="2"/>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9" w:right="339" w:bottom="1440" w:gutter="0" w:footer="0" w:header="0"/>
        </w:sectPr>
      </w:pPr>
    </w:p>
    <w:bookmarkStart w:id="52" w:name="page53"/>
    <w:bookmarkEnd w:id="52"/>
    <w:p>
      <w:pPr>
        <w:jc w:val="both"/>
        <w:ind w:left="4" w:firstLine="644"/>
        <w:spacing w:after="0" w:line="267" w:lineRule="auto"/>
        <w:tabs>
          <w:tab w:leader="none" w:pos="1336"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Right to Convert Not Affected</w:t>
      </w:r>
      <w:r>
        <w:rPr>
          <w:rFonts w:ascii="Times New Roman" w:cs="Times New Roman" w:eastAsia="Times New Roman" w:hAnsi="Times New Roman"/>
          <w:sz w:val="18"/>
          <w:szCs w:val="18"/>
          <w:color w:val="auto"/>
        </w:rPr>
        <w:t>. For the avoidance of doubt, a Tax Redemption will not affect any Holder’s right to Convert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(or the Company’s obligation, if the Conversion Date for such Conversion occurs before the applicable Redemption Date, to pay any Additional Amounts with respect to such Conversion).</w:t>
      </w:r>
    </w:p>
    <w:p>
      <w:pPr>
        <w:spacing w:after="0" w:line="173" w:lineRule="exact"/>
        <w:rPr>
          <w:rFonts w:ascii="Times New Roman" w:cs="Times New Roman" w:eastAsia="Times New Roman" w:hAnsi="Times New Roman"/>
          <w:sz w:val="18"/>
          <w:szCs w:val="18"/>
          <w:color w:val="auto"/>
        </w:rPr>
      </w:pPr>
    </w:p>
    <w:p>
      <w:pPr>
        <w:jc w:val="both"/>
        <w:ind w:left="-656" w:firstLine="656"/>
        <w:spacing w:after="0" w:line="257" w:lineRule="auto"/>
        <w:tabs>
          <w:tab w:leader="none" w:pos="53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Redemption Prohibited in Certain Circumstances</w:t>
      </w:r>
      <w:r>
        <w:rPr>
          <w:rFonts w:ascii="Times New Roman" w:cs="Times New Roman" w:eastAsia="Times New Roman" w:hAnsi="Times New Roman"/>
          <w:sz w:val="18"/>
          <w:szCs w:val="18"/>
          <w:color w:val="auto"/>
        </w:rPr>
        <w:t>. If the principal amount of the Notes has been accelerated and such acceleration has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been rescinded on or before the Redemption Date (including as a result of the payment of the related Redemption Price, and any related interest pursuant to the proviso to the first sentence of </w:t>
      </w:r>
      <w:r>
        <w:rPr>
          <w:rFonts w:ascii="Times New Roman" w:cs="Times New Roman" w:eastAsia="Times New Roman" w:hAnsi="Times New Roman"/>
          <w:sz w:val="18"/>
          <w:szCs w:val="18"/>
          <w:b w:val="1"/>
          <w:bCs w:val="1"/>
          <w:color w:val="auto"/>
        </w:rPr>
        <w:t>Section 4.03(F)</w:t>
      </w:r>
      <w:r>
        <w:rPr>
          <w:rFonts w:ascii="Times New Roman" w:cs="Times New Roman" w:eastAsia="Times New Roman" w:hAnsi="Times New Roman"/>
          <w:sz w:val="18"/>
          <w:szCs w:val="18"/>
          <w:color w:val="auto"/>
        </w:rPr>
        <w:t xml:space="preserve">, on such Redemption Date), then (i) the Company may not call for Redemption or otherwise redeem any Notes pursuant to this </w:t>
      </w:r>
      <w:r>
        <w:rPr>
          <w:rFonts w:ascii="Times New Roman" w:cs="Times New Roman" w:eastAsia="Times New Roman" w:hAnsi="Times New Roman"/>
          <w:sz w:val="18"/>
          <w:szCs w:val="18"/>
          <w:b w:val="1"/>
          <w:bCs w:val="1"/>
          <w:color w:val="auto"/>
        </w:rPr>
        <w:t>Section 4.03</w:t>
      </w:r>
      <w:r>
        <w:rPr>
          <w:rFonts w:ascii="Times New Roman" w:cs="Times New Roman" w:eastAsia="Times New Roman" w:hAnsi="Times New Roman"/>
          <w:sz w:val="18"/>
          <w:szCs w:val="18"/>
          <w:color w:val="auto"/>
        </w:rPr>
        <w:t>; and (ii) the Company will cause any Notes theretofore surrendered for such Redemption to be returned to the Holders thereof (or, if applicable with respect to Global Notes, cancel any instructions for book-entry transfer to the Company, the Trustee or the Paying Agent of the applicable beneficial interests in such Notes in accordance with the Depositary Procedures).</w:t>
      </w:r>
    </w:p>
    <w:p>
      <w:pPr>
        <w:spacing w:after="0" w:line="182" w:lineRule="exact"/>
        <w:rPr>
          <w:rFonts w:ascii="Times New Roman" w:cs="Times New Roman" w:eastAsia="Times New Roman" w:hAnsi="Times New Roman"/>
          <w:sz w:val="18"/>
          <w:szCs w:val="18"/>
          <w:color w:val="auto"/>
        </w:rPr>
      </w:pPr>
    </w:p>
    <w:p>
      <w:pPr>
        <w:jc w:val="both"/>
        <w:ind w:left="-656" w:firstLine="656"/>
        <w:spacing w:after="0" w:line="257" w:lineRule="auto"/>
        <w:tabs>
          <w:tab w:leader="none" w:pos="58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Redemption Date</w:t>
      </w:r>
      <w:r>
        <w:rPr>
          <w:rFonts w:ascii="Times New Roman" w:cs="Times New Roman" w:eastAsia="Times New Roman" w:hAnsi="Times New Roman"/>
          <w:sz w:val="18"/>
          <w:szCs w:val="18"/>
          <w:color w:val="auto"/>
        </w:rPr>
        <w:t>. The Redemption Date for any Redemption will be a Business Day of the Company’s choosing that is no more than fifty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five (55), nor less than thirty five (35), Scheduled Trading Days after the Redemption Notice Date for such Redemption;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in accordance with </w:t>
      </w:r>
      <w:r>
        <w:rPr>
          <w:rFonts w:ascii="Times New Roman" w:cs="Times New Roman" w:eastAsia="Times New Roman" w:hAnsi="Times New Roman"/>
          <w:sz w:val="18"/>
          <w:szCs w:val="18"/>
          <w:b w:val="1"/>
          <w:bCs w:val="1"/>
          <w:color w:val="auto"/>
        </w:rPr>
        <w:t>Section 5.03(A)(i)(3)</w:t>
      </w:r>
      <w:r>
        <w:rPr>
          <w:rFonts w:ascii="Times New Roman" w:cs="Times New Roman" w:eastAsia="Times New Roman" w:hAnsi="Times New Roman"/>
          <w:sz w:val="18"/>
          <w:szCs w:val="18"/>
          <w:color w:val="auto"/>
        </w:rPr>
        <w:t>, the Company has elected to settle all Conversions of Notes with a Conversion Date that occurs on or after such Redemption Notice Date and on or before the second (2nd) Business Day immediately before the Redemption Date by Physical Settlement, then the Company may instead elect to choose a Redemption Date that is a Business Day no more than forty five (45), nor less than fifteen (15), calendar days after such Redemption Notice Date.</w:t>
      </w:r>
    </w:p>
    <w:p>
      <w:pPr>
        <w:spacing w:after="0" w:line="182" w:lineRule="exact"/>
        <w:rPr>
          <w:rFonts w:ascii="Times New Roman" w:cs="Times New Roman" w:eastAsia="Times New Roman" w:hAnsi="Times New Roman"/>
          <w:sz w:val="18"/>
          <w:szCs w:val="18"/>
          <w:color w:val="auto"/>
        </w:rPr>
      </w:pPr>
    </w:p>
    <w:p>
      <w:pPr>
        <w:jc w:val="both"/>
        <w:ind w:left="-656" w:firstLine="656"/>
        <w:spacing w:after="0" w:line="253" w:lineRule="auto"/>
        <w:tabs>
          <w:tab w:leader="none" w:pos="61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Redemption Price</w:t>
      </w:r>
      <w:r>
        <w:rPr>
          <w:rFonts w:ascii="Times New Roman" w:cs="Times New Roman" w:eastAsia="Times New Roman" w:hAnsi="Times New Roman"/>
          <w:sz w:val="18"/>
          <w:szCs w:val="18"/>
          <w:color w:val="auto"/>
        </w:rPr>
        <w:t>. The Redemption Price for any Note called for Redemption is an amount in cash equal to the principal amount of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Note plus accrued and unpaid interest on such Note to, but excluding, the Redemption Date for such Redemption;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such Redemption Date is after a Regular Record Date and on or before the next Interest Payment Date, then (i) the Holder of such Note at the Close of Business on such Regular Record Date will be entitled, notwithstanding such Redemption, to receive, on or, at the Company’s election, before such Interest Payment Date, the unpaid interest that would have accrued on such Note to, but excluding, such Interest Payment Date (assuming, solely for these purposes, that such Note remained outstanding through such Interest Payment Date, if such Redemption Date is before such Interest Payment Date); and (ii) the Redemption Price will not include accrued and unpaid interest on such Note to, but excluding, such Redemption Date. For the avoidance of doubt, if an Interest Payment Date is not a Business Day within the meaning of </w:t>
      </w:r>
      <w:r>
        <w:rPr>
          <w:rFonts w:ascii="Times New Roman" w:cs="Times New Roman" w:eastAsia="Times New Roman" w:hAnsi="Times New Roman"/>
          <w:sz w:val="18"/>
          <w:szCs w:val="18"/>
          <w:b w:val="1"/>
          <w:bCs w:val="1"/>
          <w:color w:val="auto"/>
        </w:rPr>
        <w:t>Section 2.05(C)</w:t>
      </w:r>
      <w:r>
        <w:rPr>
          <w:rFonts w:ascii="Times New Roman" w:cs="Times New Roman" w:eastAsia="Times New Roman" w:hAnsi="Times New Roman"/>
          <w:sz w:val="18"/>
          <w:szCs w:val="18"/>
          <w:color w:val="auto"/>
        </w:rPr>
        <w:t xml:space="preserve"> and such Redemption Date occurs on the Business Day immediately after such Interest Payment Date, then (x) accrued and unpaid interest on Notes to, but excluding, such Interest Payment Date will be paid, in accordance with </w:t>
      </w:r>
      <w:r>
        <w:rPr>
          <w:rFonts w:ascii="Times New Roman" w:cs="Times New Roman" w:eastAsia="Times New Roman" w:hAnsi="Times New Roman"/>
          <w:sz w:val="18"/>
          <w:szCs w:val="18"/>
          <w:b w:val="1"/>
          <w:bCs w:val="1"/>
          <w:color w:val="auto"/>
        </w:rPr>
        <w:t>Section 2.05(C)</w:t>
      </w:r>
      <w:r>
        <w:rPr>
          <w:rFonts w:ascii="Times New Roman" w:cs="Times New Roman" w:eastAsia="Times New Roman" w:hAnsi="Times New Roman"/>
          <w:sz w:val="18"/>
          <w:szCs w:val="18"/>
          <w:color w:val="auto"/>
        </w:rPr>
        <w:t>, on the next Business Day to Holders as of the Close of Business on the immediately preceding Regular Record Date; and (y) the Redemption Price will include interest on Notes to be redeemed from, and including, such Interest Payment Date.</w:t>
      </w:r>
    </w:p>
    <w:p>
      <w:pPr>
        <w:spacing w:after="0" w:line="364" w:lineRule="exact"/>
        <w:rPr>
          <w:rFonts w:ascii="Times New Roman" w:cs="Times New Roman" w:eastAsia="Times New Roman" w:hAnsi="Times New Roman"/>
          <w:sz w:val="18"/>
          <w:szCs w:val="18"/>
          <w:color w:val="auto"/>
        </w:rPr>
      </w:pPr>
    </w:p>
    <w:p>
      <w:pPr>
        <w:ind w:left="4904" w:hanging="92"/>
        <w:spacing w:after="0"/>
        <w:tabs>
          <w:tab w:leader="none" w:pos="4904" w:val="left"/>
        </w:tabs>
        <w:numPr>
          <w:ilvl w:val="2"/>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9" w:right="339" w:bottom="1440" w:gutter="0" w:footer="0" w:header="0"/>
        </w:sectPr>
      </w:pPr>
    </w:p>
    <w:bookmarkStart w:id="53" w:name="page54"/>
    <w:bookmarkEnd w:id="53"/>
    <w:p>
      <w:pPr>
        <w:ind w:firstLine="656"/>
        <w:spacing w:after="0" w:line="284" w:lineRule="auto"/>
        <w:tabs>
          <w:tab w:leader="none" w:pos="135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Redemption Notice</w:t>
      </w:r>
      <w:r>
        <w:rPr>
          <w:rFonts w:ascii="Times New Roman" w:cs="Times New Roman" w:eastAsia="Times New Roman" w:hAnsi="Times New Roman"/>
          <w:sz w:val="18"/>
          <w:szCs w:val="18"/>
          <w:color w:val="auto"/>
        </w:rPr>
        <w:t>. To call any Notes for Redemption, the Company must send to each Holder of such Notes a written notice of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Redemption (a “</w:t>
      </w:r>
      <w:r>
        <w:rPr>
          <w:rFonts w:ascii="Times New Roman" w:cs="Times New Roman" w:eastAsia="Times New Roman" w:hAnsi="Times New Roman"/>
          <w:sz w:val="18"/>
          <w:szCs w:val="18"/>
          <w:b w:val="1"/>
          <w:bCs w:val="1"/>
          <w:color w:val="auto"/>
        </w:rPr>
        <w:t>Redemption Notice</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Such Redemption Notice must state:</w:t>
      </w:r>
    </w:p>
    <w:p>
      <w:pPr>
        <w:spacing w:after="0" w:line="225" w:lineRule="exact"/>
        <w:rPr>
          <w:sz w:val="20"/>
          <w:szCs w:val="20"/>
          <w:color w:val="auto"/>
        </w:rPr>
      </w:pPr>
    </w:p>
    <w:p>
      <w:pPr>
        <w:ind w:left="1920" w:hanging="616"/>
        <w:spacing w:after="0"/>
        <w:tabs>
          <w:tab w:leader="none" w:pos="19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such Notes have been called for Redemption, briefly describing the Company’s Redemption right under this Indenture;</w:t>
      </w:r>
    </w:p>
    <w:p>
      <w:pPr>
        <w:spacing w:after="0" w:line="225"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 for such Redemption;</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3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Redemption Price per $1,000 principal amount of Notes for such Redemption (and, if the Redemption Date is after a Regular Record Date and on or before the next Interest Payment Date, the amount, manner and timing of the interest payment payable pursuant to the proviso to the first sentence of </w:t>
      </w:r>
      <w:r>
        <w:rPr>
          <w:rFonts w:ascii="Times New Roman" w:cs="Times New Roman" w:eastAsia="Times New Roman" w:hAnsi="Times New Roman"/>
          <w:sz w:val="18"/>
          <w:szCs w:val="18"/>
          <w:b w:val="1"/>
          <w:bCs w:val="1"/>
          <w:color w:val="auto"/>
        </w:rPr>
        <w:t>Section 4.03(F)</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Paying Agent and the Conversion Agent;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4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Notes called for Redemption may be Converted at any time before the Close of Business on the second (2nd) Business Day immediately before the Redemption Date (or, if the Company fails to pay the Redemption Price due on such Redemption Date in full, at any time until such time as the Company pays such Redemption Price in full);</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201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Conversion Rate in effect on the Redemption Notice Date for such Redemption and a description and quantification of any adjustments to the Conversion Rate that may result from such Redemption (including pursuant to </w:t>
      </w:r>
      <w:r>
        <w:rPr>
          <w:rFonts w:ascii="Times New Roman" w:cs="Times New Roman" w:eastAsia="Times New Roman" w:hAnsi="Times New Roman"/>
          <w:sz w:val="18"/>
          <w:szCs w:val="18"/>
          <w:b w:val="1"/>
          <w:bCs w:val="1"/>
          <w:color w:val="auto"/>
        </w:rPr>
        <w:t>Section 5.07</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207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Settlement Method that will apply to all Conversions of Notes with a Conversion Date that occurs on or after such Redemption Notice Date and on or before the second (2nd) Business Day before such Redemption Date; and</w:t>
      </w:r>
    </w:p>
    <w:p>
      <w:pPr>
        <w:spacing w:after="0" w:line="161"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CUSIP and ISIN numbers, if any, of the Notes.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On or before the Redemption Notice Date, the Company will send a copy of such Redemption Notice to the Trustee, the Conversion Agent and the Paying Agent.</w:t>
      </w:r>
    </w:p>
    <w:p>
      <w:pPr>
        <w:spacing w:after="0" w:line="158" w:lineRule="exact"/>
        <w:rPr>
          <w:sz w:val="20"/>
          <w:szCs w:val="20"/>
          <w:color w:val="auto"/>
        </w:rPr>
      </w:pPr>
    </w:p>
    <w:p>
      <w:pPr>
        <w:jc w:val="both"/>
        <w:ind w:firstLine="656"/>
        <w:spacing w:after="0" w:line="259" w:lineRule="auto"/>
        <w:tabs>
          <w:tab w:leader="none" w:pos="128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Special Requirement for Notice of Tax Redemption</w:t>
      </w:r>
      <w:r>
        <w:rPr>
          <w:rFonts w:ascii="Times New Roman" w:cs="Times New Roman" w:eastAsia="Times New Roman" w:hAnsi="Times New Roman"/>
          <w:sz w:val="18"/>
          <w:szCs w:val="18"/>
          <w:color w:val="auto"/>
        </w:rPr>
        <w:t>. A Redemption Notice relating to a Tax Redemption must be sent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 xml:space="preserve">4.03(G) </w:t>
      </w:r>
      <w:r>
        <w:rPr>
          <w:rFonts w:ascii="Times New Roman" w:cs="Times New Roman" w:eastAsia="Times New Roman" w:hAnsi="Times New Roman"/>
          <w:sz w:val="18"/>
          <w:szCs w:val="18"/>
          <w:color w:val="auto"/>
        </w:rPr>
        <w:t>no earlier than sixty (60) Scheduled Trading Days before the earliest date on which the Company would have been required to make the related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or withholding (assuming a payment in respect of the Notes were then due), and the obligation to pay Additional Amounts must be in effect as of the date the Company sends such Redemption Notice and must be expected to remain in effect at the time of the next payment or delivery in respect of the Notes.</w:t>
      </w:r>
    </w:p>
    <w:p>
      <w:pPr>
        <w:spacing w:after="0" w:line="354"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1"/>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4" w:name="page55"/>
    <w:bookmarkEnd w:id="54"/>
    <w:p>
      <w:pPr>
        <w:ind w:left="624" w:hanging="624"/>
        <w:spacing w:after="0"/>
        <w:tabs>
          <w:tab w:leader="none" w:pos="62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Selection and Conversion of Notes to Be Redeemed in Part</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4" w:firstLine="644"/>
        <w:spacing w:after="0" w:line="266" w:lineRule="auto"/>
        <w:tabs>
          <w:tab w:leader="none" w:pos="1272"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less than all Notes then outstanding are called for Redemption, then the Notes to be redeemed will be selected by the Company as follows: (1) in the case of Global Notes, in accordance with the Depositary Procedures; and (2) in the case of Physical Notes, pro rata, by lot or by such other method the Company considers fair and appropriate.</w:t>
      </w:r>
    </w:p>
    <w:p>
      <w:pPr>
        <w:spacing w:after="0" w:line="175" w:lineRule="exact"/>
        <w:rPr>
          <w:rFonts w:ascii="Times New Roman" w:cs="Times New Roman" w:eastAsia="Times New Roman" w:hAnsi="Times New Roman"/>
          <w:sz w:val="18"/>
          <w:szCs w:val="18"/>
          <w:color w:val="auto"/>
        </w:rPr>
      </w:pPr>
    </w:p>
    <w:p>
      <w:pPr>
        <w:jc w:val="both"/>
        <w:ind w:left="4" w:firstLine="644"/>
        <w:spacing w:after="0" w:line="266" w:lineRule="auto"/>
        <w:tabs>
          <w:tab w:leader="none" w:pos="1416"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only a portion of a Note is subject to Redemption (including as a result of a Tax Redemption Opt-Out Election Notice that applies to only a portion of such Note) and such Note is Converted in part, then the Converted portion of such Note will be deemed to be from the portion of such Note that was subject to Redemption.</w:t>
      </w:r>
    </w:p>
    <w:p>
      <w:pPr>
        <w:spacing w:after="0" w:line="173" w:lineRule="exact"/>
        <w:rPr>
          <w:rFonts w:ascii="Times New Roman" w:cs="Times New Roman" w:eastAsia="Times New Roman" w:hAnsi="Times New Roman"/>
          <w:sz w:val="18"/>
          <w:szCs w:val="18"/>
          <w:color w:val="auto"/>
        </w:rPr>
      </w:pPr>
    </w:p>
    <w:p>
      <w:pPr>
        <w:jc w:val="both"/>
        <w:ind w:left="-656" w:firstLine="656"/>
        <w:spacing w:after="0" w:line="261" w:lineRule="auto"/>
        <w:tabs>
          <w:tab w:leader="none" w:pos="59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 of the Redemption Price</w:t>
      </w:r>
      <w:r>
        <w:rPr>
          <w:rFonts w:ascii="Times New Roman" w:cs="Times New Roman" w:eastAsia="Times New Roman" w:hAnsi="Times New Roman"/>
          <w:sz w:val="18"/>
          <w:szCs w:val="18"/>
          <w:color w:val="auto"/>
        </w:rPr>
        <w:t>. Without limiting the Company’s obligation to deposit the Redemption Price by the time prescribed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3.01(B)</w:t>
      </w:r>
      <w:r>
        <w:rPr>
          <w:rFonts w:ascii="Times New Roman" w:cs="Times New Roman" w:eastAsia="Times New Roman" w:hAnsi="Times New Roman"/>
          <w:sz w:val="18"/>
          <w:szCs w:val="18"/>
          <w:color w:val="auto"/>
        </w:rPr>
        <w:t>, the Company will cause the Redemption Price for a Note (or portion thereof) subject to Redemption to be paid to the Holder thereof 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before the applicable Redemption Date. For the avoidance of doubt, interest payable pursuant to the proviso to the first sentence of </w:t>
      </w:r>
      <w:r>
        <w:rPr>
          <w:rFonts w:ascii="Times New Roman" w:cs="Times New Roman" w:eastAsia="Times New Roman" w:hAnsi="Times New Roman"/>
          <w:sz w:val="18"/>
          <w:szCs w:val="18"/>
          <w:b w:val="1"/>
          <w:bCs w:val="1"/>
          <w:color w:val="auto"/>
        </w:rPr>
        <w:t>Section 4.03(F)</w:t>
      </w:r>
      <w:r>
        <w:rPr>
          <w:rFonts w:ascii="Times New Roman" w:cs="Times New Roman" w:eastAsia="Times New Roman" w:hAnsi="Times New Roman"/>
          <w:sz w:val="18"/>
          <w:szCs w:val="18"/>
          <w:color w:val="auto"/>
        </w:rPr>
        <w:t xml:space="preserve"> on any Note (or portion thereof) subject to Redemption must be paid pursuant to such proviso.</w:t>
      </w:r>
    </w:p>
    <w:p>
      <w:pPr>
        <w:spacing w:after="0" w:line="179" w:lineRule="exact"/>
        <w:rPr>
          <w:rFonts w:ascii="Times New Roman" w:cs="Times New Roman" w:eastAsia="Times New Roman" w:hAnsi="Times New Roman"/>
          <w:sz w:val="18"/>
          <w:szCs w:val="18"/>
          <w:color w:val="auto"/>
        </w:rPr>
      </w:pPr>
    </w:p>
    <w:p>
      <w:pPr>
        <w:jc w:val="both"/>
        <w:ind w:left="-656" w:firstLine="656"/>
        <w:spacing w:after="0" w:line="253" w:lineRule="auto"/>
        <w:tabs>
          <w:tab w:leader="none" w:pos="75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Special Provisions for Partial Calls</w:t>
      </w:r>
      <w:r>
        <w:rPr>
          <w:rFonts w:ascii="Times New Roman" w:cs="Times New Roman" w:eastAsia="Times New Roman" w:hAnsi="Times New Roman"/>
          <w:sz w:val="18"/>
          <w:szCs w:val="18"/>
          <w:color w:val="auto"/>
        </w:rPr>
        <w:t>. If the Company elects to redeem less than all of the outstanding Notes pursuant to a Provisional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Redemption, and the Holder of any Note, or any owner of a beneficial interest in any Global Note, is reasonably not able to determine, before the Close of Business on the thirty second (32nd) Scheduled Trading Day (or, if, in accordance with </w:t>
      </w:r>
      <w:r>
        <w:rPr>
          <w:rFonts w:ascii="Times New Roman" w:cs="Times New Roman" w:eastAsia="Times New Roman" w:hAnsi="Times New Roman"/>
          <w:sz w:val="18"/>
          <w:szCs w:val="18"/>
          <w:b w:val="1"/>
          <w:bCs w:val="1"/>
          <w:color w:val="auto"/>
        </w:rPr>
        <w:t>Section 5.03(A)(i)(3)</w:t>
      </w:r>
      <w:r>
        <w:rPr>
          <w:rFonts w:ascii="Times New Roman" w:cs="Times New Roman" w:eastAsia="Times New Roman" w:hAnsi="Times New Roman"/>
          <w:sz w:val="18"/>
          <w:szCs w:val="18"/>
          <w:color w:val="auto"/>
        </w:rPr>
        <w:t xml:space="preserve">, the Company has elected to settle all Conversions of Notes with a Conversion Date that occurs on or after the Redemption Notice Date for such Redemption and on or before the second (2nd) Business Day immediately before the Redemption Date by Physical Settlement, the tenth (10th) calendar day) before the Redemption Date for such Provisional Redemption, whether such Note or beneficial interest, as applicable, is to be redeemed pursuant to such Provisional Redemption, then such Holder or owner, as applicable, will be entitled to Convert such Note or beneficial interest, as applicable, at any time before the Close of Business on the second (2nd) Business Day immediately before such Redemption Date, and each such Conversion will be deemed to be of a Note called for Provisional Redemption for purposes of this </w:t>
      </w:r>
      <w:r>
        <w:rPr>
          <w:rFonts w:ascii="Times New Roman" w:cs="Times New Roman" w:eastAsia="Times New Roman" w:hAnsi="Times New Roman"/>
          <w:sz w:val="18"/>
          <w:szCs w:val="18"/>
          <w:b w:val="1"/>
          <w:bCs w:val="1"/>
          <w:color w:val="auto"/>
        </w:rPr>
        <w:t>Section 4.03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Sections 5.01(C)(i)(4)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5.07</w:t>
      </w:r>
      <w:r>
        <w:rPr>
          <w:rFonts w:ascii="Times New Roman" w:cs="Times New Roman" w:eastAsia="Times New Roman" w:hAnsi="Times New Roman"/>
          <w:sz w:val="18"/>
          <w:szCs w:val="18"/>
          <w:color w:val="auto"/>
        </w:rPr>
        <w:t xml:space="preserve"> and the definition of Make-Whole Fundamental Change. For the avoidance of doubt, each reference in this Indenture or the Notes to (x) any Note that is called for Redemption (or similar language) includes any Note that is deemed to be called for Provisional Redemption pursuant to this </w:t>
      </w:r>
      <w:r>
        <w:rPr>
          <w:rFonts w:ascii="Times New Roman" w:cs="Times New Roman" w:eastAsia="Times New Roman" w:hAnsi="Times New Roman"/>
          <w:sz w:val="18"/>
          <w:szCs w:val="18"/>
          <w:b w:val="1"/>
          <w:bCs w:val="1"/>
          <w:color w:val="auto"/>
        </w:rPr>
        <w:t>Section 4.03(K)</w:t>
      </w:r>
      <w:r>
        <w:rPr>
          <w:rFonts w:ascii="Times New Roman" w:cs="Times New Roman" w:eastAsia="Times New Roman" w:hAnsi="Times New Roman"/>
          <w:sz w:val="18"/>
          <w:szCs w:val="18"/>
          <w:color w:val="auto"/>
        </w:rPr>
        <w:t xml:space="preserve">; and (y) any Note that is not called for Redemption (or similar language) excludes any Note that is deemed to be called for Provisional Redemption pursuant to this </w:t>
      </w:r>
      <w:r>
        <w:rPr>
          <w:rFonts w:ascii="Times New Roman" w:cs="Times New Roman" w:eastAsia="Times New Roman" w:hAnsi="Times New Roman"/>
          <w:sz w:val="18"/>
          <w:szCs w:val="18"/>
          <w:b w:val="1"/>
          <w:bCs w:val="1"/>
          <w:color w:val="auto"/>
        </w:rPr>
        <w:t>Section 4.03(K)</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left="-656" w:firstLine="656"/>
        <w:spacing w:after="0" w:line="268" w:lineRule="auto"/>
        <w:tabs>
          <w:tab w:leader="none" w:pos="56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Repurchases or Other Acquisitions Other Than by Redemption Not Affected</w:t>
      </w:r>
      <w:r>
        <w:rPr>
          <w:rFonts w:ascii="Times New Roman" w:cs="Times New Roman" w:eastAsia="Times New Roman" w:hAnsi="Times New Roman"/>
          <w:sz w:val="18"/>
          <w:szCs w:val="18"/>
          <w:color w:val="auto"/>
        </w:rPr>
        <w:t>. For the avoidance of doubt, nothing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4.03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 or otherwise apply to any repurchase or other acquisition, by the Company or its Affiliates, or any other Person, of any Notes not by Redemption (including in open market transactions, private or public tender or exchange offers or otherwise).</w:t>
      </w:r>
    </w:p>
    <w:p>
      <w:pPr>
        <w:spacing w:after="0" w:line="345" w:lineRule="exact"/>
        <w:rPr>
          <w:rFonts w:ascii="Times New Roman" w:cs="Times New Roman" w:eastAsia="Times New Roman" w:hAnsi="Times New Roman"/>
          <w:sz w:val="18"/>
          <w:szCs w:val="18"/>
          <w:color w:val="auto"/>
        </w:rPr>
      </w:pPr>
    </w:p>
    <w:p>
      <w:pPr>
        <w:ind w:left="4904" w:hanging="92"/>
        <w:spacing w:after="0"/>
        <w:tabs>
          <w:tab w:leader="none" w:pos="4904" w:val="left"/>
        </w:tabs>
        <w:numPr>
          <w:ilvl w:val="2"/>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9" w:right="339" w:bottom="1440" w:gutter="0" w:footer="0" w:header="0"/>
        </w:sectPr>
      </w:pPr>
    </w:p>
    <w:bookmarkStart w:id="55" w:name="page56"/>
    <w:bookmarkEnd w:id="55"/>
    <w:p>
      <w:pPr>
        <w:ind w:left="3740"/>
        <w:spacing w:after="0"/>
        <w:tabs>
          <w:tab w:leader="none" w:pos="4880" w:val="left"/>
        </w:tabs>
        <w:rPr>
          <w:sz w:val="20"/>
          <w:szCs w:val="20"/>
          <w:color w:val="auto"/>
        </w:rPr>
      </w:pPr>
      <w:r>
        <w:rPr>
          <w:rFonts w:ascii="Times New Roman" w:cs="Times New Roman" w:eastAsia="Times New Roman" w:hAnsi="Times New Roman"/>
          <w:sz w:val="18"/>
          <w:szCs w:val="18"/>
          <w:b w:val="1"/>
          <w:bCs w:val="1"/>
          <w:color w:val="auto"/>
        </w:rPr>
        <w:t>Article 5.</w:t>
      </w:r>
      <w:r>
        <w:rPr>
          <w:sz w:val="20"/>
          <w:szCs w:val="20"/>
          <w:color w:val="auto"/>
        </w:rPr>
        <w:tab/>
      </w:r>
      <w:r>
        <w:rPr>
          <w:rFonts w:ascii="Times New Roman" w:cs="Times New Roman" w:eastAsia="Times New Roman" w:hAnsi="Times New Roman"/>
          <w:sz w:val="18"/>
          <w:szCs w:val="18"/>
          <w:b w:val="1"/>
          <w:bCs w:val="1"/>
          <w:color w:val="auto"/>
        </w:rPr>
        <w:t>THE CONVERSION OF NOTES</w:t>
      </w:r>
    </w:p>
    <w:p>
      <w:pPr>
        <w:spacing w:after="0" w:line="22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5.01.</w:t>
        <w:tab/>
        <w:t>R</w:t>
      </w:r>
      <w:r>
        <w:rPr>
          <w:rFonts w:ascii="Times New Roman" w:cs="Times New Roman" w:eastAsia="Times New Roman" w:hAnsi="Times New Roman"/>
          <w:sz w:val="12"/>
          <w:szCs w:val="12"/>
          <w:b w:val="1"/>
          <w:bCs w:val="1"/>
          <w:color w:val="auto"/>
        </w:rPr>
        <w:t>ight to</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onvert</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1460" w:hanging="804"/>
        <w:spacing w:after="0"/>
        <w:tabs>
          <w:tab w:leader="none" w:pos="14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Subject to the provisions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each Holder may, at its option, Convert such Holder’s Notes into Conversion</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w:t>
      </w:r>
    </w:p>
    <w:p>
      <w:pPr>
        <w:spacing w:after="0" w:line="204" w:lineRule="exact"/>
        <w:rPr>
          <w:rFonts w:ascii="Times New Roman" w:cs="Times New Roman" w:eastAsia="Times New Roman" w:hAnsi="Times New Roman"/>
          <w:sz w:val="18"/>
          <w:szCs w:val="18"/>
          <w:color w:val="auto"/>
        </w:rPr>
      </w:pPr>
    </w:p>
    <w:p>
      <w:pPr>
        <w:ind w:firstLine="656"/>
        <w:spacing w:after="0" w:line="284" w:lineRule="auto"/>
        <w:tabs>
          <w:tab w:leader="none" w:pos="141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Conversions in Part</w:t>
      </w:r>
      <w:r>
        <w:rPr>
          <w:rFonts w:ascii="Times New Roman" w:cs="Times New Roman" w:eastAsia="Times New Roman" w:hAnsi="Times New Roman"/>
          <w:sz w:val="18"/>
          <w:szCs w:val="18"/>
          <w:color w:val="auto"/>
        </w:rPr>
        <w:t>. Subject to the terms of this Indenture, Notes may be Converted in part, but only in Authorized Denominations.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Provisions of this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xml:space="preserve"> applying to the Conversion of a Note in whole will equally apply to Conversions of a permitted portion of a Note.</w:t>
      </w:r>
    </w:p>
    <w:p>
      <w:pPr>
        <w:spacing w:after="0" w:line="158"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When Notes May Be Converted</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5.01(C)(ii)</w:t>
      </w:r>
      <w:r>
        <w:rPr>
          <w:rFonts w:ascii="Times New Roman" w:cs="Times New Roman" w:eastAsia="Times New Roman" w:hAnsi="Times New Roman"/>
          <w:sz w:val="18"/>
          <w:szCs w:val="18"/>
          <w:color w:val="auto"/>
        </w:rPr>
        <w:t>, a Note may be Converted only in the following circumstances:</w:t>
      </w:r>
    </w:p>
    <w:p>
      <w:pPr>
        <w:spacing w:after="0" w:line="227" w:lineRule="exact"/>
        <w:rPr>
          <w:rFonts w:ascii="Times New Roman" w:cs="Times New Roman" w:eastAsia="Times New Roman" w:hAnsi="Times New Roman"/>
          <w:sz w:val="18"/>
          <w:szCs w:val="18"/>
          <w:color w:val="auto"/>
        </w:rPr>
      </w:pPr>
    </w:p>
    <w:p>
      <w:pPr>
        <w:jc w:val="both"/>
        <w:ind w:left="1300" w:firstLine="652"/>
        <w:spacing w:after="0" w:line="258" w:lineRule="auto"/>
        <w:tabs>
          <w:tab w:leader="none" w:pos="2715"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 Upon Satisfaction of Ordinary Share Sale Price Condition</w:t>
      </w:r>
      <w:r>
        <w:rPr>
          <w:rFonts w:ascii="Times New Roman" w:cs="Times New Roman" w:eastAsia="Times New Roman" w:hAnsi="Times New Roman"/>
          <w:sz w:val="18"/>
          <w:szCs w:val="18"/>
          <w:color w:val="auto"/>
        </w:rPr>
        <w:t>. A Holder may Convert its Notes during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calendar quarter (and only during such calendar quarter) commencing after the calendar quarter ending on September 30, 2026, if the Last Reported Sale Price per Ordinary Share exceeds one hundred and thirty percent (130%) of the Conversion Price for each of at least twenty (20) Trading Days (whether or not consecutive) during the thirty (30) consecutive Trading Days ending on, and including, the last Trading Day of the immediately preceding calendar quarter.</w:t>
      </w:r>
    </w:p>
    <w:p>
      <w:pPr>
        <w:spacing w:after="0" w:line="183" w:lineRule="exact"/>
        <w:rPr>
          <w:rFonts w:ascii="Times New Roman" w:cs="Times New Roman" w:eastAsia="Times New Roman" w:hAnsi="Times New Roman"/>
          <w:sz w:val="18"/>
          <w:szCs w:val="18"/>
          <w:color w:val="auto"/>
        </w:rPr>
      </w:pPr>
    </w:p>
    <w:p>
      <w:pPr>
        <w:jc w:val="both"/>
        <w:ind w:left="1300" w:firstLine="652"/>
        <w:spacing w:after="0" w:line="257" w:lineRule="auto"/>
        <w:tabs>
          <w:tab w:leader="none" w:pos="2639"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 Upon Satisfaction of Note Trading Price Condition</w:t>
      </w:r>
      <w:r>
        <w:rPr>
          <w:rFonts w:ascii="Times New Roman" w:cs="Times New Roman" w:eastAsia="Times New Roman" w:hAnsi="Times New Roman"/>
          <w:sz w:val="18"/>
          <w:szCs w:val="18"/>
          <w:color w:val="auto"/>
        </w:rPr>
        <w:t>. A Holder may Convert its Notes during the five (5)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consecutive Business Days immediately after any ten (10) consecutive Trading Day period (such ten (10) consecutive Trading Day period, the “</w:t>
      </w:r>
      <w:r>
        <w:rPr>
          <w:rFonts w:ascii="Times New Roman" w:cs="Times New Roman" w:eastAsia="Times New Roman" w:hAnsi="Times New Roman"/>
          <w:sz w:val="18"/>
          <w:szCs w:val="18"/>
          <w:b w:val="1"/>
          <w:bCs w:val="1"/>
          <w:color w:val="auto"/>
        </w:rPr>
        <w:t>Measurement Period</w:t>
      </w:r>
      <w:r>
        <w:rPr>
          <w:rFonts w:ascii="Times New Roman" w:cs="Times New Roman" w:eastAsia="Times New Roman" w:hAnsi="Times New Roman"/>
          <w:sz w:val="18"/>
          <w:szCs w:val="18"/>
          <w:color w:val="auto"/>
        </w:rPr>
        <w:t>”) if the Trading Price per $1,000 principal amount of Notes, as determined following a request by a Holder in accordance with the procedures set forth below, for each Trading Day of the Measurement Period was less than ninety eight percent (98%) of the product of the Last Reported Sale Price per Ordinary Share on such Trading Day and the Conversion Rate on such Trading Day. The condition set forth in the preceding sentence is referred to in this Indenture as the “</w:t>
      </w:r>
      <w:r>
        <w:rPr>
          <w:rFonts w:ascii="Times New Roman" w:cs="Times New Roman" w:eastAsia="Times New Roman" w:hAnsi="Times New Roman"/>
          <w:sz w:val="18"/>
          <w:szCs w:val="18"/>
          <w:b w:val="1"/>
          <w:bCs w:val="1"/>
          <w:color w:val="auto"/>
        </w:rPr>
        <w:t>Trading Price Condition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left="1300"/>
        <w:spacing w:after="0" w:line="253" w:lineRule="auto"/>
        <w:rPr>
          <w:sz w:val="20"/>
          <w:szCs w:val="20"/>
          <w:color w:val="auto"/>
        </w:rPr>
      </w:pPr>
      <w:r>
        <w:rPr>
          <w:rFonts w:ascii="Times New Roman" w:cs="Times New Roman" w:eastAsia="Times New Roman" w:hAnsi="Times New Roman"/>
          <w:sz w:val="18"/>
          <w:szCs w:val="18"/>
          <w:color w:val="auto"/>
        </w:rPr>
        <w:t xml:space="preserve">The Trading Price will be determined by the Bid Solicitation Agent pursuant to this </w:t>
      </w:r>
      <w:r>
        <w:rPr>
          <w:rFonts w:ascii="Times New Roman" w:cs="Times New Roman" w:eastAsia="Times New Roman" w:hAnsi="Times New Roman"/>
          <w:sz w:val="18"/>
          <w:szCs w:val="18"/>
          <w:b w:val="1"/>
          <w:bCs w:val="1"/>
          <w:color w:val="auto"/>
        </w:rPr>
        <w:t>Section 5.01(C)(i)(2)</w:t>
      </w:r>
      <w:r>
        <w:rPr>
          <w:rFonts w:ascii="Times New Roman" w:cs="Times New Roman" w:eastAsia="Times New Roman" w:hAnsi="Times New Roman"/>
          <w:sz w:val="18"/>
          <w:szCs w:val="18"/>
          <w:color w:val="auto"/>
        </w:rPr>
        <w:t xml:space="preserve"> and the definition of “Trading Price.” The Bid Solicitation Agent (if not the Company) will have no obligation to determine the Trading Price of the Notes unless the Company has requested such determination in writing, and the Company will have no obligation to make such request (or seek bids itself) unless a Holder provides the Company with reasonable evidence that the Trading Price per $1,000 principal amount of Notes would be less than ninety eight percent (98%) of the product of the Last Reported Sale Price per Ordinary Share and the Conversion Rate. If a Holder provides such evidence, then the Company will (if acting as Bid Solicitation Agent), or will instruct the Bid Solicitation Agent to, determine the Trading Price of the Notes beginning on the next Trading Day and on each successive Trading Day until the Trading Price per $1,000 principal amount of Notes is greater than or equal to ninety eight percent (98%) of the product of the Last Reported Sale Price per Ordinary Share on such Trading Day and the Conversion Rate on such Trading Day. If the Trading Price Condition has been met as set forth above, then the Company will notify the Holders, the Trustee and the Conversion Agent of the same. If, on any Trading Day after the Trading Price Condition has been met as set forth above, the Trading Price per $1,000 principal amount of Notes is greater than or equal to ninety eight percent (98%) of the product of the Last Reported Sale Price per Ordinary Share on such Trading Day and the Conversion Rate on such Trading Day, then the Company will notify the Holders, the Trustee and the Conversion Agent of the same.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p>
      <w:pPr>
        <w:ind w:left="1500" w:hanging="668"/>
        <w:spacing w:after="0"/>
        <w:tabs>
          <w:tab w:leader="none" w:pos="15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 Upon Specified Corporate Events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120" w:hanging="640"/>
        <w:spacing w:after="0"/>
        <w:tabs>
          <w:tab w:leader="none" w:pos="21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Distributions</w:t>
      </w:r>
      <w:r>
        <w:rPr>
          <w:rFonts w:ascii="Times New Roman" w:cs="Times New Roman" w:eastAsia="Times New Roman" w:hAnsi="Times New Roman"/>
          <w:sz w:val="18"/>
          <w:szCs w:val="18"/>
          <w:color w:val="auto"/>
        </w:rPr>
        <w:t>. If the Company elects to:</w:t>
      </w:r>
    </w:p>
    <w:p>
      <w:pPr>
        <w:spacing w:after="0" w:line="227" w:lineRule="exact"/>
        <w:rPr>
          <w:rFonts w:ascii="Times New Roman" w:cs="Times New Roman" w:eastAsia="Times New Roman" w:hAnsi="Times New Roman"/>
          <w:sz w:val="18"/>
          <w:szCs w:val="18"/>
          <w:color w:val="auto"/>
        </w:rPr>
      </w:pPr>
    </w:p>
    <w:p>
      <w:pPr>
        <w:jc w:val="both"/>
        <w:ind w:left="1480" w:firstLine="648"/>
        <w:spacing w:after="0" w:line="254" w:lineRule="auto"/>
        <w:tabs>
          <w:tab w:leader="none" w:pos="3126"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distribute, to all or substantially all holders of Ordinary Shares, any rights, options or warrants (other than rights issued pursuant to a shareholder rights plan, so long as such rights have not separated from the Ordinary Shares and are not exercisable until the occurrence of a triggering event, except that such rights will be deemed to be distributed under this </w:t>
      </w:r>
      <w:r>
        <w:rPr>
          <w:rFonts w:ascii="Times New Roman" w:cs="Times New Roman" w:eastAsia="Times New Roman" w:hAnsi="Times New Roman"/>
          <w:sz w:val="18"/>
          <w:szCs w:val="18"/>
          <w:b w:val="1"/>
          <w:bCs w:val="1"/>
          <w:color w:val="auto"/>
        </w:rPr>
        <w:t>clause (I)</w:t>
      </w:r>
      <w:r>
        <w:rPr>
          <w:rFonts w:ascii="Times New Roman" w:cs="Times New Roman" w:eastAsia="Times New Roman" w:hAnsi="Times New Roman"/>
          <w:sz w:val="18"/>
          <w:szCs w:val="18"/>
          <w:color w:val="auto"/>
        </w:rPr>
        <w:t xml:space="preserve"> upon their separation from the Ordinary Shares or upon the occurrence of such triggering event) entitling them, for a period of not more than sixty (60) calendar days after the record date of such distribution, to subscribe for or purchase Ordinary Shares at a price per share that is less than the average of the Last Reported Sale Prices per Ordinary Share for the ten (10) consecutive Trading Days ending on, and including, the Trading Day immediately before the date such distribution is announced (determined in the manner set forth in the third paragraph of </w:t>
      </w:r>
      <w:r>
        <w:rPr>
          <w:rFonts w:ascii="Times New Roman" w:cs="Times New Roman" w:eastAsia="Times New Roman" w:hAnsi="Times New Roman"/>
          <w:sz w:val="18"/>
          <w:szCs w:val="18"/>
          <w:b w:val="1"/>
          <w:bCs w:val="1"/>
          <w:color w:val="auto"/>
        </w:rPr>
        <w:t>Section 5.05(A)(ii)</w:t>
      </w:r>
      <w:r>
        <w:rPr>
          <w:rFonts w:ascii="Times New Roman" w:cs="Times New Roman" w:eastAsia="Times New Roman" w:hAnsi="Times New Roman"/>
          <w:sz w:val="18"/>
          <w:szCs w:val="18"/>
          <w:color w:val="auto"/>
        </w:rPr>
        <w:t>); or</w:t>
      </w:r>
    </w:p>
    <w:p>
      <w:pPr>
        <w:spacing w:after="0" w:line="188" w:lineRule="exact"/>
        <w:rPr>
          <w:sz w:val="20"/>
          <w:szCs w:val="20"/>
          <w:color w:val="auto"/>
        </w:rPr>
      </w:pPr>
    </w:p>
    <w:p>
      <w:pPr>
        <w:jc w:val="both"/>
        <w:ind w:left="1480" w:firstLine="648"/>
        <w:spacing w:after="0" w:line="261" w:lineRule="auto"/>
        <w:tabs>
          <w:tab w:leader="none" w:pos="290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to all or substantially all holders of Ordinary Shares, assets or securities of the Company or rights to purchase the Company’s securities, which distribution per Ordinary Share has a value, as reasonably determined by the Board of Directors, exceeding ten percent (10%) of the Last Reported Sale Price per Ordinary Share on the Trading Day immediately before the date such distribution is announced,</w:t>
      </w:r>
    </w:p>
    <w:p>
      <w:pPr>
        <w:spacing w:after="0" w:line="350" w:lineRule="exact"/>
        <w:rPr>
          <w:rFonts w:ascii="Times New Roman" w:cs="Times New Roman" w:eastAsia="Times New Roman" w:hAnsi="Times New Roman"/>
          <w:sz w:val="18"/>
          <w:szCs w:val="18"/>
          <w:color w:val="auto"/>
        </w:rPr>
      </w:pPr>
    </w:p>
    <w:p>
      <w:pPr>
        <w:ind w:left="4440" w:hanging="92"/>
        <w:spacing w:after="0"/>
        <w:tabs>
          <w:tab w:leader="none" w:pos="4440" w:val="left"/>
        </w:tabs>
        <w:numPr>
          <w:ilvl w:val="1"/>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9" w:right="339" w:bottom="1440" w:gutter="0" w:footer="0" w:header="0"/>
        </w:sectPr>
      </w:pPr>
    </w:p>
    <w:bookmarkStart w:id="57" w:name="page58"/>
    <w:bookmarkEnd w:id="57"/>
    <w:p>
      <w:pPr>
        <w:jc w:val="both"/>
        <w:ind w:left="840"/>
        <w:spacing w:after="0" w:line="252" w:lineRule="auto"/>
        <w:rPr>
          <w:sz w:val="20"/>
          <w:szCs w:val="20"/>
          <w:color w:val="auto"/>
        </w:rPr>
      </w:pPr>
      <w:r>
        <w:rPr>
          <w:rFonts w:ascii="Times New Roman" w:cs="Times New Roman" w:eastAsia="Times New Roman" w:hAnsi="Times New Roman"/>
          <w:sz w:val="18"/>
          <w:szCs w:val="18"/>
          <w:color w:val="auto"/>
        </w:rPr>
        <w:t xml:space="preserve">then, in either case, (x) the Company will send notice of such distribution, and of the related right to Convert Notes, to Holders, the Trustee and the Conversion Agent at least thirty five (35) Scheduled Trading Days before the Ex-Dividend Date for such distribution (or, if later in the case of any such separation of rights issued pursuant to a shareholder rights plan or the occurrence of any such triggering event under a shareholder rights plan, as soon as reasonably practicable after the Company becomes aware that such separation or triggering event has occurred or will occur); and (y) once the Company has sent such notice, Holders may Convert their Notes at any time until the earlier of the Close of Business on the Business Day immediately before such Ex-Dividend Date and the Company’s announcement that such distribution will not take place;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Notes will not become Convertible pursuant to </w:t>
      </w:r>
      <w:r>
        <w:rPr>
          <w:rFonts w:ascii="Times New Roman" w:cs="Times New Roman" w:eastAsia="Times New Roman" w:hAnsi="Times New Roman"/>
          <w:sz w:val="18"/>
          <w:szCs w:val="18"/>
          <w:b w:val="1"/>
          <w:bCs w:val="1"/>
          <w:color w:val="auto"/>
        </w:rPr>
        <w:t>clause (y)</w:t>
      </w:r>
      <w:r>
        <w:rPr>
          <w:rFonts w:ascii="Times New Roman" w:cs="Times New Roman" w:eastAsia="Times New Roman" w:hAnsi="Times New Roman"/>
          <w:sz w:val="18"/>
          <w:szCs w:val="18"/>
          <w:color w:val="auto"/>
        </w:rPr>
        <w:t xml:space="preserve"> above (but the Company will be required to send notice of such distribution pursuant to </w:t>
      </w:r>
      <w:r>
        <w:rPr>
          <w:rFonts w:ascii="Times New Roman" w:cs="Times New Roman" w:eastAsia="Times New Roman" w:hAnsi="Times New Roman"/>
          <w:sz w:val="18"/>
          <w:szCs w:val="18"/>
          <w:b w:val="1"/>
          <w:bCs w:val="1"/>
          <w:color w:val="auto"/>
        </w:rPr>
        <w:t>clause (x)</w:t>
      </w:r>
      <w:r>
        <w:rPr>
          <w:rFonts w:ascii="Times New Roman" w:cs="Times New Roman" w:eastAsia="Times New Roman" w:hAnsi="Times New Roman"/>
          <w:sz w:val="18"/>
          <w:szCs w:val="18"/>
          <w:color w:val="auto"/>
        </w:rPr>
        <w:t xml:space="preserve"> above) on account of such distribution if each Holder participates, at the same time and on the same terms as holders of Ordinary Shares, and solely by virtue of being a Holder, in such distribution without having to Convert such Holder’s Notes and as if such Holder held a number of Ordinary Shares equal to the product of (i) the Conversion Rate in effect on the record date for such distribution; and (ii) the aggregate principal amount (expressed in thousands) of Notes held by such Holder on such record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if the Company is then otherwise permitted to settle Conversions of Notes by Physical Settlement (and, for the avoidance of doubt, the Company has not elected another Settlement Method to apply, including pursuant to </w:t>
      </w:r>
      <w:r>
        <w:rPr>
          <w:rFonts w:ascii="Times New Roman" w:cs="Times New Roman" w:eastAsia="Times New Roman" w:hAnsi="Times New Roman"/>
          <w:sz w:val="18"/>
          <w:szCs w:val="18"/>
          <w:b w:val="1"/>
          <w:bCs w:val="1"/>
          <w:color w:val="auto"/>
        </w:rPr>
        <w:t>Section 5.03(A)(i)(1)</w:t>
      </w:r>
      <w:r>
        <w:rPr>
          <w:rFonts w:ascii="Times New Roman" w:cs="Times New Roman" w:eastAsia="Times New Roman" w:hAnsi="Times New Roman"/>
          <w:sz w:val="18"/>
          <w:szCs w:val="18"/>
          <w:color w:val="auto"/>
        </w:rPr>
        <w:t>), then the Company may instead elect to provide such notice at least ten (10) Scheduled Trading Days before such Ex-Dividend Date, in which case (x) the Company must settle all Conversions of Notes with a Conversion Date occurring on or after the date the Company provides such notice and on or before the Business Day immediately before the Ex-Dividend Date for such distribution (or any earlier announcement by the Company that such distribution will not take place) by Physical Settlement; and (y) such notice must state that all such Conversions will be settled by Physical Settlement.</w:t>
      </w:r>
    </w:p>
    <w:p>
      <w:pPr>
        <w:spacing w:after="0" w:line="187" w:lineRule="exact"/>
        <w:rPr>
          <w:sz w:val="20"/>
          <w:szCs w:val="20"/>
          <w:color w:val="auto"/>
        </w:rPr>
      </w:pPr>
    </w:p>
    <w:p>
      <w:pPr>
        <w:jc w:val="both"/>
        <w:ind w:left="840" w:firstLine="640"/>
        <w:spacing w:after="0" w:line="253" w:lineRule="auto"/>
        <w:tabs>
          <w:tab w:leader="none" w:pos="204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Corporate Events</w:t>
      </w:r>
      <w:r>
        <w:rPr>
          <w:rFonts w:ascii="Times New Roman" w:cs="Times New Roman" w:eastAsia="Times New Roman" w:hAnsi="Times New Roman"/>
          <w:sz w:val="18"/>
          <w:szCs w:val="18"/>
          <w:color w:val="auto"/>
        </w:rPr>
        <w:t xml:space="preserve">. If a Fundamental Change, Make-Whole Fundamental Change (other than a Make-Whole Fundamental Change pursuant to </w:t>
      </w:r>
      <w:r>
        <w:rPr>
          <w:rFonts w:ascii="Times New Roman" w:cs="Times New Roman" w:eastAsia="Times New Roman" w:hAnsi="Times New Roman"/>
          <w:sz w:val="18"/>
          <w:szCs w:val="18"/>
          <w:b w:val="1"/>
          <w:bCs w:val="1"/>
          <w:color w:val="auto"/>
        </w:rPr>
        <w:t>clause (B)</w:t>
      </w:r>
      <w:r>
        <w:rPr>
          <w:rFonts w:ascii="Times New Roman" w:cs="Times New Roman" w:eastAsia="Times New Roman" w:hAnsi="Times New Roman"/>
          <w:sz w:val="18"/>
          <w:szCs w:val="18"/>
          <w:color w:val="auto"/>
        </w:rPr>
        <w:t xml:space="preserve"> of the definition thereof) or Ordinary Share Change Event occurs (other than a merger or other business combination transaction that is effected solely to change the Company’s jurisdiction of incorporation or organization or the jurisdiction of incorporation or organization of the issuer of the Ordinary Shares or Reference Property Units and, in each case, that does not constitute a Fundamental Change or a Make-Whole Fundamental Change), then, in each case, Holders may Convert their Notes at any time from, and including, the effective date of such transaction or event to, and including, the thirty fifth (35th) Trading Day after such effective date (or, if such transaction or event also constitutes a Fundamental Change (other than an Exempted Fundamental Change), to, but excluding, the related Fundamental Change Repurchase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Company does not provide the notice referred to in the immediately following sentence by the Business Day after such effective date, then the last day on which the Notes are Convertible pursuant to this sentence will be extended by the number of Business Days from, and including, the Business Day after such effective date to, but excluding, the date the Company provides such notice. No later than the Business Day after such effective date, the Company will send notice to the Holders, the Trustee and the Conversion Agent of such transaction or event, such effective date and the related right to Convert Notes.</w:t>
      </w:r>
    </w:p>
    <w:p>
      <w:pPr>
        <w:spacing w:after="0" w:line="358" w:lineRule="exact"/>
        <w:rPr>
          <w:rFonts w:ascii="Times New Roman" w:cs="Times New Roman" w:eastAsia="Times New Roman" w:hAnsi="Times New Roman"/>
          <w:sz w:val="18"/>
          <w:szCs w:val="18"/>
          <w:color w:val="auto"/>
        </w:rPr>
      </w:pPr>
    </w:p>
    <w:p>
      <w:pPr>
        <w:ind w:left="4440" w:hanging="92"/>
        <w:spacing w:after="0"/>
        <w:tabs>
          <w:tab w:leader="none" w:pos="4440" w:val="left"/>
        </w:tabs>
        <w:numPr>
          <w:ilvl w:val="1"/>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58" w:name="page59"/>
    <w:bookmarkEnd w:id="58"/>
    <w:p>
      <w:pPr>
        <w:jc w:val="both"/>
        <w:ind w:left="640" w:firstLine="652"/>
        <w:spacing w:after="0" w:line="261" w:lineRule="auto"/>
        <w:tabs>
          <w:tab w:leader="none" w:pos="206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 Upon Redemption</w:t>
      </w:r>
      <w:r>
        <w:rPr>
          <w:rFonts w:ascii="Times New Roman" w:cs="Times New Roman" w:eastAsia="Times New Roman" w:hAnsi="Times New Roman"/>
          <w:sz w:val="18"/>
          <w:szCs w:val="18"/>
          <w:color w:val="auto"/>
        </w:rPr>
        <w:t>. If the Company calls any Note for Redemption, then the Holder of such Note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Convert such Note at any time before the Close of Business on the second (2nd) Business Day immediately before the related Redemption Date (or, if the Company fails to pay the Redemption Price due on such Redemption Date in full, at any time until such time as the Company pays such Redemption Price in full).</w:t>
      </w:r>
    </w:p>
    <w:p>
      <w:pPr>
        <w:spacing w:after="0" w:line="179" w:lineRule="exact"/>
        <w:rPr>
          <w:rFonts w:ascii="Times New Roman" w:cs="Times New Roman" w:eastAsia="Times New Roman" w:hAnsi="Times New Roman"/>
          <w:sz w:val="18"/>
          <w:szCs w:val="18"/>
          <w:color w:val="auto"/>
        </w:rPr>
      </w:pPr>
    </w:p>
    <w:p>
      <w:pPr>
        <w:ind w:left="640" w:right="20" w:firstLine="652"/>
        <w:spacing w:after="0" w:line="284" w:lineRule="auto"/>
        <w:tabs>
          <w:tab w:leader="none" w:pos="206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Conversions During Free Convertibility Period</w:t>
      </w:r>
      <w:r>
        <w:rPr>
          <w:rFonts w:ascii="Times New Roman" w:cs="Times New Roman" w:eastAsia="Times New Roman" w:hAnsi="Times New Roman"/>
          <w:sz w:val="18"/>
          <w:szCs w:val="18"/>
          <w:color w:val="auto"/>
        </w:rPr>
        <w:t>. A Holder may Convert its Notes at any time from, and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1, 2033 until the Close of Business on the second (2nd) Scheduled Trading Day immediately before the Maturity Date.</w:t>
      </w:r>
    </w:p>
    <w:p>
      <w:pPr>
        <w:spacing w:after="0" w:line="15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For the avoidance of doubt, the Notes may become Convertible pursuant to any one or more of the preceding sub-paragraphs of this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5.01(C)(i) </w:t>
      </w:r>
      <w:r>
        <w:rPr>
          <w:rFonts w:ascii="Times New Roman" w:cs="Times New Roman" w:eastAsia="Times New Roman" w:hAnsi="Times New Roman"/>
          <w:sz w:val="18"/>
          <w:szCs w:val="18"/>
          <w:color w:val="auto"/>
        </w:rPr>
        <w:t>and the Notes ceasing to be Convertible pursuant to a particular sub-paragraph of this</w:t>
      </w:r>
      <w:r>
        <w:rPr>
          <w:rFonts w:ascii="Times New Roman" w:cs="Times New Roman" w:eastAsia="Times New Roman" w:hAnsi="Times New Roman"/>
          <w:sz w:val="18"/>
          <w:szCs w:val="18"/>
          <w:b w:val="1"/>
          <w:bCs w:val="1"/>
          <w:color w:val="auto"/>
        </w:rPr>
        <w:t xml:space="preserve"> Section 5.01(C)(i) </w:t>
      </w:r>
      <w:r>
        <w:rPr>
          <w:rFonts w:ascii="Times New Roman" w:cs="Times New Roman" w:eastAsia="Times New Roman" w:hAnsi="Times New Roman"/>
          <w:sz w:val="18"/>
          <w:szCs w:val="18"/>
          <w:color w:val="auto"/>
        </w:rPr>
        <w:t>will not preclude the Notes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from being Convertible pursuant to any other sub-paragraph of this </w:t>
      </w:r>
      <w:r>
        <w:rPr>
          <w:rFonts w:ascii="Times New Roman" w:cs="Times New Roman" w:eastAsia="Times New Roman" w:hAnsi="Times New Roman"/>
          <w:sz w:val="18"/>
          <w:szCs w:val="18"/>
          <w:b w:val="1"/>
          <w:bCs w:val="1"/>
          <w:color w:val="auto"/>
        </w:rPr>
        <w:t>Section 5.01(C)(i)</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ind w:left="1260" w:hanging="616"/>
        <w:spacing w:after="0"/>
        <w:tabs>
          <w:tab w:leader="none" w:pos="12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Limitations and Closed Periods</w:t>
      </w:r>
      <w:r>
        <w:rPr>
          <w:rFonts w:ascii="Times New Roman" w:cs="Times New Roman" w:eastAsia="Times New Roman" w:hAnsi="Times New Roman"/>
          <w:sz w:val="18"/>
          <w:szCs w:val="18"/>
          <w:color w:val="auto"/>
        </w:rPr>
        <w:t>. Notwithstanding anything to the contrary in this Indenture or the Notes:</w:t>
      </w:r>
    </w:p>
    <w:p>
      <w:pPr>
        <w:spacing w:after="0" w:line="227" w:lineRule="exact"/>
        <w:rPr>
          <w:rFonts w:ascii="Times New Roman" w:cs="Times New Roman" w:eastAsia="Times New Roman" w:hAnsi="Times New Roman"/>
          <w:sz w:val="18"/>
          <w:szCs w:val="18"/>
          <w:color w:val="auto"/>
        </w:rPr>
      </w:pPr>
    </w:p>
    <w:p>
      <w:pPr>
        <w:ind w:left="640" w:firstLine="652"/>
        <w:spacing w:after="0" w:line="282" w:lineRule="auto"/>
        <w:tabs>
          <w:tab w:leader="none" w:pos="1858"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may be surrendered for Conversion only after the Open of Business and before the Close of Business on a day that is a Business Day;</w:t>
      </w:r>
    </w:p>
    <w:p>
      <w:pPr>
        <w:spacing w:after="0" w:line="161" w:lineRule="exact"/>
        <w:rPr>
          <w:rFonts w:ascii="Times New Roman" w:cs="Times New Roman" w:eastAsia="Times New Roman" w:hAnsi="Times New Roman"/>
          <w:sz w:val="18"/>
          <w:szCs w:val="18"/>
          <w:color w:val="auto"/>
        </w:rPr>
      </w:pPr>
    </w:p>
    <w:p>
      <w:pPr>
        <w:ind w:left="640" w:firstLine="652"/>
        <w:spacing w:after="0" w:line="282" w:lineRule="auto"/>
        <w:tabs>
          <w:tab w:leader="none" w:pos="2136"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may any Note be Converted after the Close of Business on the second (2nd) Scheduled Trading Day immediately before the Maturity Date;</w:t>
      </w:r>
    </w:p>
    <w:p>
      <w:pPr>
        <w:spacing w:after="0" w:line="157" w:lineRule="exact"/>
        <w:rPr>
          <w:rFonts w:ascii="Times New Roman" w:cs="Times New Roman" w:eastAsia="Times New Roman" w:hAnsi="Times New Roman"/>
          <w:sz w:val="18"/>
          <w:szCs w:val="18"/>
          <w:color w:val="auto"/>
        </w:rPr>
      </w:pPr>
    </w:p>
    <w:p>
      <w:pPr>
        <w:jc w:val="both"/>
        <w:ind w:left="640" w:firstLine="652"/>
        <w:spacing w:after="0" w:line="268" w:lineRule="auto"/>
        <w:tabs>
          <w:tab w:leader="none" w:pos="1916"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calls any Note for Redemption pursuant to </w:t>
      </w:r>
      <w:r>
        <w:rPr>
          <w:rFonts w:ascii="Times New Roman" w:cs="Times New Roman" w:eastAsia="Times New Roman" w:hAnsi="Times New Roman"/>
          <w:sz w:val="18"/>
          <w:szCs w:val="18"/>
          <w:b w:val="1"/>
          <w:bCs w:val="1"/>
          <w:color w:val="auto"/>
        </w:rPr>
        <w:t>Section 4.03</w:t>
      </w:r>
      <w:r>
        <w:rPr>
          <w:rFonts w:ascii="Times New Roman" w:cs="Times New Roman" w:eastAsia="Times New Roman" w:hAnsi="Times New Roman"/>
          <w:sz w:val="18"/>
          <w:szCs w:val="18"/>
          <w:color w:val="auto"/>
        </w:rPr>
        <w:t>, then the Holder of such Note may not Convert such Note after the Close of Business on the second (2nd) Business Day immediately before the applicable Redemption Date, except to the extent the Company fails to pay the Redemption Price for such Note in accordance with this Indenture; and</w:t>
      </w:r>
    </w:p>
    <w:p>
      <w:pPr>
        <w:spacing w:after="0" w:line="170" w:lineRule="exact"/>
        <w:rPr>
          <w:rFonts w:ascii="Times New Roman" w:cs="Times New Roman" w:eastAsia="Times New Roman" w:hAnsi="Times New Roman"/>
          <w:sz w:val="18"/>
          <w:szCs w:val="18"/>
          <w:color w:val="auto"/>
        </w:rPr>
      </w:pPr>
    </w:p>
    <w:p>
      <w:pPr>
        <w:jc w:val="both"/>
        <w:ind w:left="640" w:firstLine="652"/>
        <w:spacing w:after="0" w:line="262" w:lineRule="auto"/>
        <w:tabs>
          <w:tab w:leader="none" w:pos="1912"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Fundamental Change Repurchase Notice is validly delivered pursuant to </w:t>
      </w:r>
      <w:r>
        <w:rPr>
          <w:rFonts w:ascii="Times New Roman" w:cs="Times New Roman" w:eastAsia="Times New Roman" w:hAnsi="Times New Roman"/>
          <w:sz w:val="18"/>
          <w:szCs w:val="18"/>
          <w:b w:val="1"/>
          <w:bCs w:val="1"/>
          <w:color w:val="auto"/>
        </w:rPr>
        <w:t>Section 4.02(F)</w:t>
      </w:r>
      <w:r>
        <w:rPr>
          <w:rFonts w:ascii="Times New Roman" w:cs="Times New Roman" w:eastAsia="Times New Roman" w:hAnsi="Times New Roman"/>
          <w:sz w:val="18"/>
          <w:szCs w:val="18"/>
          <w:color w:val="auto"/>
        </w:rPr>
        <w:t xml:space="preserve"> with respect to any Note, then such Note may not be Converted, except to the extent (a) such Note is not subject to such notice; (b) such notice is withdrawn in accordance with </w:t>
      </w:r>
      <w:r>
        <w:rPr>
          <w:rFonts w:ascii="Times New Roman" w:cs="Times New Roman" w:eastAsia="Times New Roman" w:hAnsi="Times New Roman"/>
          <w:sz w:val="18"/>
          <w:szCs w:val="18"/>
          <w:b w:val="1"/>
          <w:bCs w:val="1"/>
          <w:color w:val="auto"/>
        </w:rPr>
        <w:t>Section 4.02(F)</w:t>
      </w:r>
      <w:r>
        <w:rPr>
          <w:rFonts w:ascii="Times New Roman" w:cs="Times New Roman" w:eastAsia="Times New Roman" w:hAnsi="Times New Roman"/>
          <w:sz w:val="18"/>
          <w:szCs w:val="18"/>
          <w:color w:val="auto"/>
        </w:rPr>
        <w:t>; or (c) the Company fails to pay the Fundamental Change Repurchase Price for such Note in accordance with this Indenture.</w:t>
      </w:r>
    </w:p>
    <w:p>
      <w:pPr>
        <w:spacing w:after="0" w:line="351" w:lineRule="exact"/>
        <w:rPr>
          <w:rFonts w:ascii="Times New Roman" w:cs="Times New Roman" w:eastAsia="Times New Roman" w:hAnsi="Times New Roman"/>
          <w:sz w:val="18"/>
          <w:szCs w:val="18"/>
          <w:color w:val="auto"/>
        </w:rPr>
      </w:pPr>
    </w:p>
    <w:p>
      <w:pPr>
        <w:ind w:left="4900" w:hanging="92"/>
        <w:spacing w:after="0"/>
        <w:tabs>
          <w:tab w:leader="none" w:pos="4900" w:val="left"/>
        </w:tabs>
        <w:numPr>
          <w:ilvl w:val="2"/>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19" w:right="339" w:bottom="1440" w:gutter="0" w:footer="0" w:header="0"/>
        </w:sectPr>
      </w:pPr>
    </w:p>
    <w:bookmarkStart w:id="59" w:name="page60"/>
    <w:bookmarkEnd w:id="59"/>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5.02.</w:t>
        <w:tab/>
        <w:t>C</w:t>
      </w:r>
      <w:r>
        <w:rPr>
          <w:rFonts w:ascii="Times New Roman" w:cs="Times New Roman" w:eastAsia="Times New Roman" w:hAnsi="Times New Roman"/>
          <w:sz w:val="12"/>
          <w:szCs w:val="12"/>
          <w:b w:val="1"/>
          <w:bCs w:val="1"/>
          <w:color w:val="auto"/>
        </w:rPr>
        <w:t>onversion</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rocedures</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ind w:left="1320" w:hanging="664"/>
        <w:spacing w:after="0"/>
        <w:tabs>
          <w:tab w:leader="none" w:pos="132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jc w:val="both"/>
        <w:ind w:left="660" w:firstLine="644"/>
        <w:spacing w:after="0" w:line="268" w:lineRule="auto"/>
        <w:tabs>
          <w:tab w:leader="none" w:pos="2036"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Global Notes</w:t>
      </w:r>
      <w:r>
        <w:rPr>
          <w:rFonts w:ascii="Times New Roman" w:cs="Times New Roman" w:eastAsia="Times New Roman" w:hAnsi="Times New Roman"/>
          <w:sz w:val="18"/>
          <w:szCs w:val="18"/>
          <w:color w:val="auto"/>
        </w:rPr>
        <w:t>. To Convert a beneficial interest in a Global Note that is Convertible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5.01(C)</w:t>
      </w:r>
      <w:r>
        <w:rPr>
          <w:rFonts w:ascii="Times New Roman" w:cs="Times New Roman" w:eastAsia="Times New Roman" w:hAnsi="Times New Roman"/>
          <w:sz w:val="18"/>
          <w:szCs w:val="18"/>
          <w:color w:val="auto"/>
        </w:rPr>
        <w:t>, the owner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such beneficial interest must (1) comply with the Depositary Procedures for Converting such beneficial interest (at which time such Conversion will become irrevocable); and (2) pay any amounts due pursuant to </w:t>
      </w:r>
      <w:r>
        <w:rPr>
          <w:rFonts w:ascii="Times New Roman" w:cs="Times New Roman" w:eastAsia="Times New Roman" w:hAnsi="Times New Roman"/>
          <w:sz w:val="18"/>
          <w:szCs w:val="18"/>
          <w:b w:val="1"/>
          <w:bCs w:val="1"/>
          <w:color w:val="auto"/>
        </w:rPr>
        <w:t>Section 5.02(D)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Section 5.02(E)</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color w:val="auto"/>
        </w:rPr>
      </w:pPr>
    </w:p>
    <w:p>
      <w:pPr>
        <w:jc w:val="both"/>
        <w:ind w:left="660" w:firstLine="644"/>
        <w:spacing w:after="0" w:line="259" w:lineRule="auto"/>
        <w:tabs>
          <w:tab w:leader="none" w:pos="2041"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Physical Notes</w:t>
      </w:r>
      <w:r>
        <w:rPr>
          <w:rFonts w:ascii="Times New Roman" w:cs="Times New Roman" w:eastAsia="Times New Roman" w:hAnsi="Times New Roman"/>
          <w:sz w:val="18"/>
          <w:szCs w:val="18"/>
          <w:color w:val="auto"/>
        </w:rPr>
        <w:t>. To Convert all or a portion of a Physical Note that is Convertible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5.01(C)</w:t>
      </w:r>
      <w:r>
        <w:rPr>
          <w:rFonts w:ascii="Times New Roman" w:cs="Times New Roman" w:eastAsia="Times New Roman" w:hAnsi="Times New Roman"/>
          <w:sz w:val="18"/>
          <w:szCs w:val="18"/>
          <w:color w:val="auto"/>
        </w:rPr>
        <w:t>, the Holder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such Note must (1) complete, manually sign and deliver to the Conversion Agent the Conversion Notice attached to such Physical Note or a facsimile of such Conversion Notice; (2) deliver such Physical Note to the Conversion Agent (at which time such Conversion will become irrevocable); (3) furnish any endorsements and transfer documents that the Company or the Conversion Agent may require; and (4) pay any amounts due pursuant to </w:t>
      </w:r>
      <w:r>
        <w:rPr>
          <w:rFonts w:ascii="Times New Roman" w:cs="Times New Roman" w:eastAsia="Times New Roman" w:hAnsi="Times New Roman"/>
          <w:sz w:val="18"/>
          <w:szCs w:val="18"/>
          <w:b w:val="1"/>
          <w:bCs w:val="1"/>
          <w:color w:val="auto"/>
        </w:rPr>
        <w:t>Section 5.02(D)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Section 5.02(E)</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jc w:val="both"/>
        <w:ind w:firstLine="656"/>
        <w:spacing w:after="0" w:line="257" w:lineRule="auto"/>
        <w:tabs>
          <w:tab w:leader="none" w:pos="1302"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 of Converting a Note</w:t>
      </w:r>
      <w:r>
        <w:rPr>
          <w:rFonts w:ascii="Times New Roman" w:cs="Times New Roman" w:eastAsia="Times New Roman" w:hAnsi="Times New Roman"/>
          <w:sz w:val="18"/>
          <w:szCs w:val="18"/>
          <w:color w:val="auto"/>
        </w:rPr>
        <w:t>. At the Close of Business on the Conversion Date for a Note (or any portion thereof) to be Converted,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Note (or such portion) will (unless there occurs a Default in the delivery of the Conversion Consideration or interest due, pursuant to </w:t>
      </w:r>
      <w:r>
        <w:rPr>
          <w:rFonts w:ascii="Times New Roman" w:cs="Times New Roman" w:eastAsia="Times New Roman" w:hAnsi="Times New Roman"/>
          <w:sz w:val="18"/>
          <w:szCs w:val="18"/>
          <w:b w:val="1"/>
          <w:bCs w:val="1"/>
          <w:color w:val="auto"/>
        </w:rPr>
        <w:t>Section 5.03(B)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5.02(D)</w:t>
      </w:r>
      <w:r>
        <w:rPr>
          <w:rFonts w:ascii="Times New Roman" w:cs="Times New Roman" w:eastAsia="Times New Roman" w:hAnsi="Times New Roman"/>
          <w:sz w:val="18"/>
          <w:szCs w:val="18"/>
          <w:color w:val="auto"/>
        </w:rPr>
        <w:t>, upon such Conversion) be redeemed for an amount equal to the principal amount of such Note and the Holder irrevocably directs the Company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apply the principal amount payable to it in acquiring the Conversion Consideration, with the result that such Note will cease to be outstanding (and, for the avoidance of doubt, no Person will be deemed to be a Holder of such Note (or such portion thereof) as of the Close of Business on such Conversion Date), except to the extent provided in </w:t>
      </w:r>
      <w:r>
        <w:rPr>
          <w:rFonts w:ascii="Times New Roman" w:cs="Times New Roman" w:eastAsia="Times New Roman" w:hAnsi="Times New Roman"/>
          <w:sz w:val="18"/>
          <w:szCs w:val="18"/>
          <w:b w:val="1"/>
          <w:bCs w:val="1"/>
          <w:color w:val="auto"/>
        </w:rPr>
        <w:t>Section 5.02(D)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Section 5.08</w:t>
      </w:r>
      <w:r>
        <w:rPr>
          <w:rFonts w:ascii="Times New Roman" w:cs="Times New Roman" w:eastAsia="Times New Roman" w:hAnsi="Times New Roman"/>
          <w:sz w:val="18"/>
          <w:szCs w:val="18"/>
          <w:color w:val="auto"/>
        </w:rPr>
        <w:t>.</w:t>
      </w:r>
    </w:p>
    <w:p>
      <w:pPr>
        <w:spacing w:after="0" w:line="182" w:lineRule="exact"/>
        <w:rPr>
          <w:rFonts w:ascii="Times New Roman" w:cs="Times New Roman" w:eastAsia="Times New Roman" w:hAnsi="Times New Roman"/>
          <w:sz w:val="18"/>
          <w:szCs w:val="18"/>
          <w:color w:val="auto"/>
        </w:rPr>
      </w:pPr>
    </w:p>
    <w:p>
      <w:pPr>
        <w:jc w:val="both"/>
        <w:ind w:firstLine="656"/>
        <w:spacing w:after="0" w:line="267" w:lineRule="auto"/>
        <w:tabs>
          <w:tab w:leader="none" w:pos="1288"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Holder of Record of Conversion Shares</w:t>
      </w:r>
      <w:r>
        <w:rPr>
          <w:rFonts w:ascii="Times New Roman" w:cs="Times New Roman" w:eastAsia="Times New Roman" w:hAnsi="Times New Roman"/>
          <w:sz w:val="18"/>
          <w:szCs w:val="18"/>
          <w:color w:val="auto"/>
        </w:rPr>
        <w:t>. The Person in whose name any Ordinary Share is issuable upon Conversion of any Note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deemed to become the holder of record of such share as of the Close of Business on (i) the Conversion Date for such Conversion, in the case of Physical Settlement; or (ii) the last VWAP Trading Day of the Observation Period for such Conversion, in the case of Combination Settlement.</w:t>
      </w:r>
    </w:p>
    <w:p>
      <w:pPr>
        <w:spacing w:after="0" w:line="173" w:lineRule="exact"/>
        <w:rPr>
          <w:rFonts w:ascii="Times New Roman" w:cs="Times New Roman" w:eastAsia="Times New Roman" w:hAnsi="Times New Roman"/>
          <w:sz w:val="18"/>
          <w:szCs w:val="18"/>
          <w:color w:val="auto"/>
        </w:rPr>
      </w:pPr>
    </w:p>
    <w:p>
      <w:pPr>
        <w:jc w:val="both"/>
        <w:ind w:firstLine="656"/>
        <w:spacing w:after="0" w:line="253" w:lineRule="auto"/>
        <w:tabs>
          <w:tab w:leader="none" w:pos="1239"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Interest Payable Upon Conversion in Certain Circumstances</w:t>
      </w:r>
      <w:r>
        <w:rPr>
          <w:rFonts w:ascii="Times New Roman" w:cs="Times New Roman" w:eastAsia="Times New Roman" w:hAnsi="Times New Roman"/>
          <w:sz w:val="18"/>
          <w:szCs w:val="18"/>
          <w:color w:val="auto"/>
        </w:rPr>
        <w:t>. If the Conversion Date of a Note is after a Regular Record Date and before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next Interest Payment Date, then (i) the Holder of such Note at the Close of Business on such Regular Record Date will be entitled, notwithstanding such Conversion (and, for the avoidance of doubt, notwithstanding anything set forth in the proviso to this sentence), to receive, on or, at the Company’s election, before such Interest Payment Date, the unpaid interest that would have accrued on such Note to, but excluding, such Interest Payment Date (assuming, solely for these purposes, that such Note remained outstanding through such Interest Payment Date); and (ii) the Holder surrendering such Note for Conversion must deliver to the Conversion Agent, at the time of such surrender, an amount of cash equal to the amount of such interest referred to in </w:t>
      </w:r>
      <w:r>
        <w:rPr>
          <w:rFonts w:ascii="Times New Roman" w:cs="Times New Roman" w:eastAsia="Times New Roman" w:hAnsi="Times New Roman"/>
          <w:sz w:val="18"/>
          <w:szCs w:val="18"/>
          <w:b w:val="1"/>
          <w:bCs w:val="1"/>
          <w:color w:val="auto"/>
        </w:rPr>
        <w:t xml:space="preserve">clause (i) </w:t>
      </w:r>
      <w:r>
        <w:rPr>
          <w:rFonts w:ascii="Times New Roman" w:cs="Times New Roman" w:eastAsia="Times New Roman" w:hAnsi="Times New Roman"/>
          <w:sz w:val="18"/>
          <w:szCs w:val="18"/>
          <w:color w:val="auto"/>
        </w:rPr>
        <w:t>above;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Holder surrendering such Note for Conversion need not deliver such cash (v) if the Company has specified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Redemption Date that is after such Regular Record Date and on or before the second (2nd) Business Day immediately after such Interest Payment Date;</w:t>
      </w:r>
    </w:p>
    <w:p>
      <w:pPr>
        <w:spacing w:after="0" w:line="2" w:lineRule="exact"/>
        <w:rPr>
          <w:rFonts w:ascii="Times New Roman" w:cs="Times New Roman" w:eastAsia="Times New Roman" w:hAnsi="Times New Roman"/>
          <w:sz w:val="18"/>
          <w:szCs w:val="18"/>
          <w:color w:val="auto"/>
        </w:rPr>
      </w:pPr>
    </w:p>
    <w:p>
      <w:pPr>
        <w:jc w:val="both"/>
        <w:ind w:firstLine="8"/>
        <w:spacing w:after="0" w:line="251" w:lineRule="auto"/>
        <w:tabs>
          <w:tab w:leader="none" w:pos="30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Conversion Date occurs after the Regular Record Date immediately before the Maturity Date; (x) if the Company has specified a Fundamental Change Repurchase Date that is after such Regular Record Date and on or before the Business Day immediately after such Interest Payment Date; or (y) to the extent of any Additional Interest, Special Interest, overdue interest or interest that has accrued on any overdue interest. For the avoidance of doubt, as a result of, and without limiting the generality of, the foregoing, if a Note is Converted with a Conversion Date that is after the Regular Record Date immediately before the Maturity Date, then the Company will pay, as provided above, the interest that would have accrued on such Note to, but excluding, the Maturity Date. For the avoidance of doubt, if the Conversion Date of a Note to be Converted is on an Interest Payment Date, then the Holder of such Note at the Close of Business on the Regular Record Date immediately before such Interest Payment Date will be entitled to receive, on such Interest Payment Date, the unpaid interest that has accrued on such Note to, but excluding, such Interest Payment Date, and such Note, when surrendered for Conversion, need not be accompanied by any cash amount pursuant to the first sentence of this </w:t>
      </w:r>
      <w:r>
        <w:rPr>
          <w:rFonts w:ascii="Times New Roman" w:cs="Times New Roman" w:eastAsia="Times New Roman" w:hAnsi="Times New Roman"/>
          <w:sz w:val="18"/>
          <w:szCs w:val="18"/>
          <w:b w:val="1"/>
          <w:bCs w:val="1"/>
          <w:color w:val="auto"/>
        </w:rPr>
        <w:t>Section 5.02(D)</w:t>
      </w:r>
      <w:r>
        <w:rPr>
          <w:rFonts w:ascii="Times New Roman" w:cs="Times New Roman" w:eastAsia="Times New Roman" w:hAnsi="Times New Roman"/>
          <w:sz w:val="18"/>
          <w:szCs w:val="18"/>
          <w:color w:val="auto"/>
        </w:rPr>
        <w:t>.</w:t>
      </w:r>
    </w:p>
    <w:p>
      <w:pPr>
        <w:spacing w:after="0" w:line="364"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3"/>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p>
      <w:pPr>
        <w:jc w:val="both"/>
        <w:ind w:firstLine="656"/>
        <w:spacing w:after="0" w:line="261" w:lineRule="auto"/>
        <w:tabs>
          <w:tab w:leader="none" w:pos="129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Taxes and Duties</w:t>
      </w:r>
      <w:r>
        <w:rPr>
          <w:rFonts w:ascii="Times New Roman" w:cs="Times New Roman" w:eastAsia="Times New Roman" w:hAnsi="Times New Roman"/>
          <w:sz w:val="18"/>
          <w:szCs w:val="18"/>
          <w:color w:val="auto"/>
        </w:rPr>
        <w:t>. If a Holder Converts a Note, the Company will pay any documentary, stamp or similar issue or transfer tax or duty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on the issue or delivery of any Ordinary Shares upon such Conversion;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any tax or duty is due because such Holder requested such shares to be registered in a name other than such Holder’s name, then such Holder will pay such tax or duty and, until having received a sum sufficient to pay such tax or duty, the Conversion Agent may refuse to deliver any such shares to be issued in a name other than that of such Holder.</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121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 Agent to Notify Company of Conversions</w:t>
      </w:r>
      <w:r>
        <w:rPr>
          <w:rFonts w:ascii="Times New Roman" w:cs="Times New Roman" w:eastAsia="Times New Roman" w:hAnsi="Times New Roman"/>
          <w:sz w:val="18"/>
          <w:szCs w:val="18"/>
          <w:color w:val="auto"/>
        </w:rPr>
        <w:t>. If any Note is submitted for Conversion to the Conversion Agent or the Conversion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Agent receives any notice of Conversion with respect to a Note, then the Conversion Agent will promptly notify the Company and the Trustee of such occurrence, together with any other information reasonably requested by the Company, and will cooperate with the Company to determine the Conversion Date for such Note.</w:t>
      </w:r>
    </w:p>
    <w:p>
      <w:pPr>
        <w:spacing w:after="0" w:line="178"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5.03.</w:t>
        <w:tab/>
        <w:t>S</w:t>
      </w:r>
      <w:r>
        <w:rPr>
          <w:rFonts w:ascii="Times New Roman" w:cs="Times New Roman" w:eastAsia="Times New Roman" w:hAnsi="Times New Roman"/>
          <w:sz w:val="12"/>
          <w:szCs w:val="12"/>
          <w:b w:val="1"/>
          <w:bCs w:val="1"/>
          <w:color w:val="auto"/>
        </w:rPr>
        <w:t>ettlement</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2"/>
          <w:szCs w:val="12"/>
          <w:b w:val="1"/>
          <w:bCs w:val="1"/>
          <w:color w:val="auto"/>
        </w:rPr>
        <w:t>pon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onversion</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jc w:val="both"/>
        <w:ind w:firstLine="656"/>
        <w:spacing w:after="0" w:line="257" w:lineRule="auto"/>
        <w:tabs>
          <w:tab w:leader="none" w:pos="128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Settlement Method</w:t>
      </w:r>
      <w:r>
        <w:rPr>
          <w:rFonts w:ascii="Times New Roman" w:cs="Times New Roman" w:eastAsia="Times New Roman" w:hAnsi="Times New Roman"/>
          <w:sz w:val="18"/>
          <w:szCs w:val="18"/>
          <w:color w:val="auto"/>
        </w:rPr>
        <w:t>. Upon the Conversion of any Note, the Company must redeem such Note for an amount equal to the principal amount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such Note and the Holder irrevocably directs the Company to apply such principal amount payable to it in acquiring the relevant Conversion Consideration. In such circumstances, the Company will settle such Conversion by paying or delivering, as applicable and as provided in this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xml:space="preserve">, either (x) Ordinary Shares, together, if applicable, with cash in lieu of fractional shares as provided in </w:t>
      </w:r>
      <w:r>
        <w:rPr>
          <w:rFonts w:ascii="Times New Roman" w:cs="Times New Roman" w:eastAsia="Times New Roman" w:hAnsi="Times New Roman"/>
          <w:sz w:val="18"/>
          <w:szCs w:val="18"/>
          <w:b w:val="1"/>
          <w:bCs w:val="1"/>
          <w:color w:val="auto"/>
        </w:rPr>
        <w:t>Section 5.03(B)(i)(1)</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color w:val="auto"/>
        </w:rPr>
        <w:t>Physical Settlement</w:t>
      </w:r>
      <w:r>
        <w:rPr>
          <w:rFonts w:ascii="Times New Roman" w:cs="Times New Roman" w:eastAsia="Times New Roman" w:hAnsi="Times New Roman"/>
          <w:sz w:val="18"/>
          <w:szCs w:val="18"/>
          <w:color w:val="auto"/>
        </w:rPr>
        <w:t xml:space="preserve">”); (y) solely cash as provided in </w:t>
      </w:r>
      <w:r>
        <w:rPr>
          <w:rFonts w:ascii="Times New Roman" w:cs="Times New Roman" w:eastAsia="Times New Roman" w:hAnsi="Times New Roman"/>
          <w:sz w:val="18"/>
          <w:szCs w:val="18"/>
          <w:b w:val="1"/>
          <w:bCs w:val="1"/>
          <w:color w:val="auto"/>
        </w:rPr>
        <w:t>Section 5.03(B)(i)(2)</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color w:val="auto"/>
        </w:rPr>
        <w:t>Cash Settlement</w:t>
      </w:r>
      <w:r>
        <w:rPr>
          <w:rFonts w:ascii="Times New Roman" w:cs="Times New Roman" w:eastAsia="Times New Roman" w:hAnsi="Times New Roman"/>
          <w:sz w:val="18"/>
          <w:szCs w:val="18"/>
          <w:color w:val="auto"/>
        </w:rPr>
        <w:t xml:space="preserve">”); or (z) a combination of cash and Ordinary Shares, together, if applicable, with cash in lieu of fractional shares as provided in </w:t>
      </w:r>
      <w:r>
        <w:rPr>
          <w:rFonts w:ascii="Times New Roman" w:cs="Times New Roman" w:eastAsia="Times New Roman" w:hAnsi="Times New Roman"/>
          <w:sz w:val="18"/>
          <w:szCs w:val="18"/>
          <w:b w:val="1"/>
          <w:bCs w:val="1"/>
          <w:color w:val="auto"/>
        </w:rPr>
        <w:t>Section 5.03(B)(i)(3)</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color w:val="auto"/>
        </w:rPr>
        <w:t>Combination Settlement</w:t>
      </w:r>
      <w:r>
        <w:rPr>
          <w:rFonts w:ascii="Times New Roman" w:cs="Times New Roman" w:eastAsia="Times New Roman" w:hAnsi="Times New Roman"/>
          <w:sz w:val="18"/>
          <w:szCs w:val="18"/>
          <w:color w:val="auto"/>
        </w:rPr>
        <w:t>”).</w:t>
      </w:r>
    </w:p>
    <w:p>
      <w:pPr>
        <w:spacing w:after="0" w:line="182" w:lineRule="exact"/>
        <w:rPr>
          <w:rFonts w:ascii="Times New Roman" w:cs="Times New Roman" w:eastAsia="Times New Roman" w:hAnsi="Times New Roman"/>
          <w:sz w:val="18"/>
          <w:szCs w:val="18"/>
          <w:color w:val="auto"/>
        </w:rPr>
      </w:pPr>
    </w:p>
    <w:p>
      <w:pPr>
        <w:ind w:left="660" w:firstLine="644"/>
        <w:spacing w:after="0" w:line="284" w:lineRule="auto"/>
        <w:tabs>
          <w:tab w:leader="none" w:pos="1878"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Company’s Right to Elect Settlement Method</w:t>
      </w:r>
      <w:r>
        <w:rPr>
          <w:rFonts w:ascii="Times New Roman" w:cs="Times New Roman" w:eastAsia="Times New Roman" w:hAnsi="Times New Roman"/>
          <w:sz w:val="18"/>
          <w:szCs w:val="18"/>
          <w:color w:val="auto"/>
        </w:rPr>
        <w:t>. The Company will have the right to elect the Settlement Method applicable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any Conversion of a Note;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w:t>
      </w:r>
    </w:p>
    <w:p>
      <w:pPr>
        <w:spacing w:after="0" w:line="156" w:lineRule="exact"/>
        <w:rPr>
          <w:rFonts w:ascii="Times New Roman" w:cs="Times New Roman" w:eastAsia="Times New Roman" w:hAnsi="Times New Roman"/>
          <w:sz w:val="18"/>
          <w:szCs w:val="18"/>
          <w:color w:val="auto"/>
        </w:rPr>
      </w:pPr>
    </w:p>
    <w:p>
      <w:pPr>
        <w:jc w:val="both"/>
        <w:ind w:left="1300" w:firstLine="652"/>
        <w:spacing w:after="0" w:line="268" w:lineRule="auto"/>
        <w:tabs>
          <w:tab w:leader="none" w:pos="2545"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b w:val="1"/>
          <w:bCs w:val="1"/>
          <w:color w:val="auto"/>
        </w:rPr>
        <w:t>clause (3)</w:t>
      </w:r>
      <w:r>
        <w:rPr>
          <w:rFonts w:ascii="Times New Roman" w:cs="Times New Roman" w:eastAsia="Times New Roman" w:hAnsi="Times New Roman"/>
          <w:sz w:val="18"/>
          <w:szCs w:val="18"/>
          <w:color w:val="auto"/>
        </w:rPr>
        <w:t xml:space="preserve"> below, all Conversions of Notes with a Conversion Date that occurs on or after September 1, 2033 will be settled using the same Settlement Method, and the Company will send notice of such Settlement Method to Holders no later than the Open of Business on September 1, 2033;</w:t>
      </w:r>
    </w:p>
    <w:p>
      <w:pPr>
        <w:spacing w:after="0" w:line="345"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3"/>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1" w:name="page62"/>
    <w:bookmarkEnd w:id="61"/>
    <w:p>
      <w:pPr>
        <w:jc w:val="both"/>
        <w:ind w:left="640" w:firstLine="652"/>
        <w:spacing w:after="0" w:line="268" w:lineRule="auto"/>
        <w:tabs>
          <w:tab w:leader="none" w:pos="193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b w:val="1"/>
          <w:bCs w:val="1"/>
          <w:color w:val="auto"/>
        </w:rPr>
        <w:t>clause (3)</w:t>
      </w:r>
      <w:r>
        <w:rPr>
          <w:rFonts w:ascii="Times New Roman" w:cs="Times New Roman" w:eastAsia="Times New Roman" w:hAnsi="Times New Roman"/>
          <w:sz w:val="18"/>
          <w:szCs w:val="18"/>
          <w:color w:val="auto"/>
        </w:rPr>
        <w:t xml:space="preserve"> below, if the Company elects a Settlement Method with respect to the Conversion of any Note whose Conversion Date occurs before September 1, 2033, then the Company will send notice of such Settlement Method to the Holder of such Note no later than the Close of Business on the Business Day immediately after such Conversion Date;</w:t>
      </w:r>
    </w:p>
    <w:p>
      <w:pPr>
        <w:spacing w:after="0" w:line="174" w:lineRule="exact"/>
        <w:rPr>
          <w:rFonts w:ascii="Times New Roman" w:cs="Times New Roman" w:eastAsia="Times New Roman" w:hAnsi="Times New Roman"/>
          <w:sz w:val="18"/>
          <w:szCs w:val="18"/>
          <w:color w:val="auto"/>
        </w:rPr>
      </w:pPr>
    </w:p>
    <w:p>
      <w:pPr>
        <w:jc w:val="both"/>
        <w:ind w:left="640" w:firstLine="652"/>
        <w:spacing w:after="0" w:line="255" w:lineRule="auto"/>
        <w:tabs>
          <w:tab w:leader="none" w:pos="190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Notes are called for Redemption, then (a) the Company will specify, in the related Redemption Notice (and, in the case of a Redemption of less than all outstanding Notes, in a notice simultaneously sent to all Holders of Notes not called for Redemption) sent pursuant to </w:t>
      </w:r>
      <w:r>
        <w:rPr>
          <w:rFonts w:ascii="Times New Roman" w:cs="Times New Roman" w:eastAsia="Times New Roman" w:hAnsi="Times New Roman"/>
          <w:sz w:val="18"/>
          <w:szCs w:val="18"/>
          <w:b w:val="1"/>
          <w:bCs w:val="1"/>
          <w:color w:val="auto"/>
        </w:rPr>
        <w:t>Section 4.03(G)</w:t>
      </w:r>
      <w:r>
        <w:rPr>
          <w:rFonts w:ascii="Times New Roman" w:cs="Times New Roman" w:eastAsia="Times New Roman" w:hAnsi="Times New Roman"/>
          <w:sz w:val="18"/>
          <w:szCs w:val="18"/>
          <w:color w:val="auto"/>
        </w:rPr>
        <w:t xml:space="preserve">, the Settlement Method that will apply to all Conversions of Notes with a Conversion Date that occurs on or after the related Redemption Notice Date and on or before the second (2nd) Business Day before the related Redemption Date; and (b) if such Redemption Date occurs on or after September 1, 2033, then such Settlement Method must be the same Settlement Method that, pursuant to </w:t>
      </w:r>
      <w:r>
        <w:rPr>
          <w:rFonts w:ascii="Times New Roman" w:cs="Times New Roman" w:eastAsia="Times New Roman" w:hAnsi="Times New Roman"/>
          <w:sz w:val="18"/>
          <w:szCs w:val="18"/>
          <w:b w:val="1"/>
          <w:bCs w:val="1"/>
          <w:color w:val="auto"/>
        </w:rPr>
        <w:t>clause (1)</w:t>
      </w:r>
      <w:r>
        <w:rPr>
          <w:rFonts w:ascii="Times New Roman" w:cs="Times New Roman" w:eastAsia="Times New Roman" w:hAnsi="Times New Roman"/>
          <w:sz w:val="18"/>
          <w:szCs w:val="18"/>
          <w:color w:val="auto"/>
        </w:rPr>
        <w:t xml:space="preserve"> above, applies to all Conversions of Notes with a Conversion Date that occurs on or after September 1, 2033;</w:t>
      </w:r>
    </w:p>
    <w:p>
      <w:pPr>
        <w:spacing w:after="0" w:line="188" w:lineRule="exact"/>
        <w:rPr>
          <w:rFonts w:ascii="Times New Roman" w:cs="Times New Roman" w:eastAsia="Times New Roman" w:hAnsi="Times New Roman"/>
          <w:sz w:val="18"/>
          <w:szCs w:val="18"/>
          <w:color w:val="auto"/>
        </w:rPr>
      </w:pPr>
    </w:p>
    <w:p>
      <w:pPr>
        <w:jc w:val="both"/>
        <w:ind w:left="640" w:right="20" w:firstLine="652"/>
        <w:spacing w:after="0" w:line="266" w:lineRule="auto"/>
        <w:tabs>
          <w:tab w:leader="none" w:pos="181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will use the same Settlement Method for all Conversions of Notes with the same Conversion Date (and, for the avoidance of doubt, the Company will not be obligated to use the same Settlement Method with respect to Conversions of Notes with different Conversion Dates, except as provided in </w:t>
      </w:r>
      <w:r>
        <w:rPr>
          <w:rFonts w:ascii="Times New Roman" w:cs="Times New Roman" w:eastAsia="Times New Roman" w:hAnsi="Times New Roman"/>
          <w:sz w:val="18"/>
          <w:szCs w:val="18"/>
          <w:b w:val="1"/>
          <w:bCs w:val="1"/>
          <w:color w:val="auto"/>
        </w:rPr>
        <w:t>clause (1)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 xml:space="preserve"> above);</w:t>
      </w:r>
    </w:p>
    <w:p>
      <w:pPr>
        <w:spacing w:after="0" w:line="175" w:lineRule="exact"/>
        <w:rPr>
          <w:rFonts w:ascii="Times New Roman" w:cs="Times New Roman" w:eastAsia="Times New Roman" w:hAnsi="Times New Roman"/>
          <w:sz w:val="18"/>
          <w:szCs w:val="18"/>
          <w:color w:val="auto"/>
        </w:rPr>
      </w:pPr>
    </w:p>
    <w:p>
      <w:pPr>
        <w:jc w:val="both"/>
        <w:ind w:left="640" w:firstLine="652"/>
        <w:spacing w:after="0" w:line="266" w:lineRule="auto"/>
        <w:tabs>
          <w:tab w:leader="none" w:pos="189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does not timely elect a Settlement Method with respect to the Conversion of a Note, then the Company will be deemed to have elected the Default Settlement Method (and, for the avoidance of doubt, the failure to timely make such election will not constitute a Default or Event of Default);</w:t>
      </w:r>
    </w:p>
    <w:p>
      <w:pPr>
        <w:spacing w:after="0" w:line="175" w:lineRule="exact"/>
        <w:rPr>
          <w:rFonts w:ascii="Times New Roman" w:cs="Times New Roman" w:eastAsia="Times New Roman" w:hAnsi="Times New Roman"/>
          <w:sz w:val="18"/>
          <w:szCs w:val="18"/>
          <w:color w:val="auto"/>
        </w:rPr>
      </w:pPr>
    </w:p>
    <w:p>
      <w:pPr>
        <w:jc w:val="both"/>
        <w:ind w:left="640" w:firstLine="652"/>
        <w:spacing w:after="0" w:line="261" w:lineRule="auto"/>
        <w:tabs>
          <w:tab w:leader="none" w:pos="206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timely elects Combination Settlement with respect to the Conversion of a Note but does not timely notify the Holder of such Note of the applicable Specified Dollar Amount, then the Specified Dollar Amount for such Conversion will be deemed to be $1,000 per $1,000 principal amount of Notes (and, for the avoidance of doubt, the failure to timely send such notification will not constitute a Default or Event of Default); and</w:t>
      </w:r>
    </w:p>
    <w:p>
      <w:pPr>
        <w:spacing w:after="0" w:line="175" w:lineRule="exact"/>
        <w:rPr>
          <w:rFonts w:ascii="Times New Roman" w:cs="Times New Roman" w:eastAsia="Times New Roman" w:hAnsi="Times New Roman"/>
          <w:sz w:val="18"/>
          <w:szCs w:val="18"/>
          <w:color w:val="auto"/>
        </w:rPr>
      </w:pPr>
    </w:p>
    <w:p>
      <w:pPr>
        <w:ind w:left="1960" w:hanging="668"/>
        <w:spacing w:after="0"/>
        <w:tabs>
          <w:tab w:leader="none" w:pos="19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Settlement Method will be subject to </w:t>
      </w:r>
      <w:r>
        <w:rPr>
          <w:rFonts w:ascii="Times New Roman" w:cs="Times New Roman" w:eastAsia="Times New Roman" w:hAnsi="Times New Roman"/>
          <w:sz w:val="18"/>
          <w:szCs w:val="18"/>
          <w:b w:val="1"/>
          <w:bCs w:val="1"/>
          <w:color w:val="auto"/>
        </w:rPr>
        <w:t>Sections 4.03(E)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5.01(C)(i)(3)(a)</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or before the time the Company sends any notice referred to in the preceding sentence, the Company will send a copy of such notice to the Trustee and the Conversion Agent, but the failure to timely send such copy will not affect the validity of any Settlement Method election.</w:t>
      </w:r>
    </w:p>
    <w:p>
      <w:pPr>
        <w:spacing w:after="0" w:line="33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4"/>
          <w:szCs w:val="14"/>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sectPr>
      </w:pPr>
    </w:p>
    <w:bookmarkStart w:id="62" w:name="page63"/>
    <w:bookmarkEnd w:id="62"/>
    <w:p>
      <w:pPr>
        <w:jc w:val="both"/>
        <w:ind w:left="4" w:firstLine="644"/>
        <w:spacing w:after="0" w:line="252" w:lineRule="auto"/>
        <w:tabs>
          <w:tab w:leader="none" w:pos="1313"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Company’s Right to Irrevocably Fix or Eliminate Settlement Methods</w:t>
      </w:r>
      <w:r>
        <w:rPr>
          <w:rFonts w:ascii="Times New Roman" w:cs="Times New Roman" w:eastAsia="Times New Roman" w:hAnsi="Times New Roman"/>
          <w:sz w:val="18"/>
          <w:szCs w:val="18"/>
          <w:color w:val="auto"/>
        </w:rPr>
        <w:t>. The Company will have the right, exercisable at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election by sending notice of such exercise to the Holders (with a copy to the Trustee and the Conversion Agent), to (1) irrevocably fix the Settlement Method that will apply to all Conversions of Notes with a Conversion Date that occurs on or after the date such notice is sent to Holders; or (2) irrevocably eliminate any one or more (but not all) Settlement Methods (including eliminating Combination Settlement with a particular Specified Dollar Amount or range of Specified Dollar Amounts) with respect to all Conversions of Notes with a Conversion Date that occurs on or after the date such notice is sent to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in each case, that (w) the Settlement Method so elected pursuant to </w:t>
      </w:r>
      <w:r>
        <w:rPr>
          <w:rFonts w:ascii="Times New Roman" w:cs="Times New Roman" w:eastAsia="Times New Roman" w:hAnsi="Times New Roman"/>
          <w:sz w:val="18"/>
          <w:szCs w:val="18"/>
          <w:b w:val="1"/>
          <w:bCs w:val="1"/>
          <w:color w:val="auto"/>
        </w:rPr>
        <w:t>clause (1)</w:t>
      </w:r>
      <w:r>
        <w:rPr>
          <w:rFonts w:ascii="Times New Roman" w:cs="Times New Roman" w:eastAsia="Times New Roman" w:hAnsi="Times New Roman"/>
          <w:sz w:val="18"/>
          <w:szCs w:val="18"/>
          <w:color w:val="auto"/>
        </w:rPr>
        <w:t xml:space="preserve"> above, or the Settlement Method(s) remaining after any elimination pursuant to </w:t>
      </w:r>
      <w:r>
        <w:rPr>
          <w:rFonts w:ascii="Times New Roman" w:cs="Times New Roman" w:eastAsia="Times New Roman" w:hAnsi="Times New Roman"/>
          <w:sz w:val="18"/>
          <w:szCs w:val="18"/>
          <w:b w:val="1"/>
          <w:bCs w:val="1"/>
          <w:color w:val="auto"/>
        </w:rPr>
        <w:t>clause (2)</w:t>
      </w:r>
      <w:r>
        <w:rPr>
          <w:rFonts w:ascii="Times New Roman" w:cs="Times New Roman" w:eastAsia="Times New Roman" w:hAnsi="Times New Roman"/>
          <w:sz w:val="18"/>
          <w:szCs w:val="18"/>
          <w:color w:val="auto"/>
        </w:rPr>
        <w:t xml:space="preserve"> above, as applicable, must be a Settlement Method or Settlement Method(s), as applicable, that the Company is then permitted to elect (for the avoidance of doubt, including pursuant to, and subject to, the other provisions of this </w:t>
      </w:r>
      <w:r>
        <w:rPr>
          <w:rFonts w:ascii="Times New Roman" w:cs="Times New Roman" w:eastAsia="Times New Roman" w:hAnsi="Times New Roman"/>
          <w:sz w:val="18"/>
          <w:szCs w:val="18"/>
          <w:b w:val="1"/>
          <w:bCs w:val="1"/>
          <w:color w:val="auto"/>
        </w:rPr>
        <w:t>Section 5.03(A)</w:t>
      </w:r>
      <w:r>
        <w:rPr>
          <w:rFonts w:ascii="Times New Roman" w:cs="Times New Roman" w:eastAsia="Times New Roman" w:hAnsi="Times New Roman"/>
          <w:sz w:val="18"/>
          <w:szCs w:val="18"/>
          <w:color w:val="auto"/>
        </w:rPr>
        <w:t xml:space="preserve">); (x) no such irrevocable election will affect any Settlement Method theretofore elected (or deemed to be elected) with respect to any Note pursuant to this Indenture (including pursuant to </w:t>
      </w:r>
      <w:r>
        <w:rPr>
          <w:rFonts w:ascii="Times New Roman" w:cs="Times New Roman" w:eastAsia="Times New Roman" w:hAnsi="Times New Roman"/>
          <w:sz w:val="18"/>
          <w:szCs w:val="18"/>
          <w:b w:val="1"/>
          <w:bCs w:val="1"/>
          <w:color w:val="auto"/>
        </w:rPr>
        <w:t>Section 8.01(G)</w:t>
      </w:r>
      <w:r>
        <w:rPr>
          <w:rFonts w:ascii="Times New Roman" w:cs="Times New Roman" w:eastAsia="Times New Roman" w:hAnsi="Times New Roman"/>
          <w:sz w:val="18"/>
          <w:szCs w:val="18"/>
          <w:color w:val="auto"/>
        </w:rPr>
        <w:t xml:space="preserve"> or this </w:t>
      </w:r>
      <w:r>
        <w:rPr>
          <w:rFonts w:ascii="Times New Roman" w:cs="Times New Roman" w:eastAsia="Times New Roman" w:hAnsi="Times New Roman"/>
          <w:sz w:val="18"/>
          <w:szCs w:val="18"/>
          <w:b w:val="1"/>
          <w:bCs w:val="1"/>
          <w:color w:val="auto"/>
        </w:rPr>
        <w:t>Section 5.03(A)</w:t>
      </w:r>
      <w:r>
        <w:rPr>
          <w:rFonts w:ascii="Times New Roman" w:cs="Times New Roman" w:eastAsia="Times New Roman" w:hAnsi="Times New Roman"/>
          <w:sz w:val="18"/>
          <w:szCs w:val="18"/>
          <w:color w:val="auto"/>
        </w:rPr>
        <w:t xml:space="preserve">); (y) upon any such irrevocable election pursuant to </w:t>
      </w:r>
      <w:r>
        <w:rPr>
          <w:rFonts w:ascii="Times New Roman" w:cs="Times New Roman" w:eastAsia="Times New Roman" w:hAnsi="Times New Roman"/>
          <w:sz w:val="18"/>
          <w:szCs w:val="18"/>
          <w:b w:val="1"/>
          <w:bCs w:val="1"/>
          <w:color w:val="auto"/>
        </w:rPr>
        <w:t>clause (1)</w:t>
      </w:r>
      <w:r>
        <w:rPr>
          <w:rFonts w:ascii="Times New Roman" w:cs="Times New Roman" w:eastAsia="Times New Roman" w:hAnsi="Times New Roman"/>
          <w:sz w:val="18"/>
          <w:szCs w:val="18"/>
          <w:color w:val="auto"/>
        </w:rPr>
        <w:t xml:space="preserve"> above, the Default Settlement Method will automatically be deemed to be set to the Settlement Method so fixed; and (z) upon any such irrevocable election pursuant to </w:t>
      </w:r>
      <w:r>
        <w:rPr>
          <w:rFonts w:ascii="Times New Roman" w:cs="Times New Roman" w:eastAsia="Times New Roman" w:hAnsi="Times New Roman"/>
          <w:sz w:val="18"/>
          <w:szCs w:val="18"/>
          <w:b w:val="1"/>
          <w:bCs w:val="1"/>
          <w:color w:val="auto"/>
        </w:rPr>
        <w:t>clause (2)</w:t>
      </w:r>
      <w:r>
        <w:rPr>
          <w:rFonts w:ascii="Times New Roman" w:cs="Times New Roman" w:eastAsia="Times New Roman" w:hAnsi="Times New Roman"/>
          <w:sz w:val="18"/>
          <w:szCs w:val="18"/>
          <w:color w:val="auto"/>
        </w:rPr>
        <w:t xml:space="preserve"> above, the Company will, if needed, simultaneously change the Default Settlement Method to a Settlement Method that is consistent with such irrevocable election. Such notice, if sent, must set forth the applicable Settlement Method(s) so elected or eliminated, as applicable, and the Default Settlement Method applicable immediately after such election, and expressly state that the election is irrevocable and applicable to all Conversions of Notes with a Conversion Date that occurs on or after the date such notice is sent to Holders. For the avoidance of doubt, such an irrevocable election, if made, will be effective without the need to amend this Indenture or the Notes, including pursuant to </w:t>
      </w:r>
      <w:r>
        <w:rPr>
          <w:rFonts w:ascii="Times New Roman" w:cs="Times New Roman" w:eastAsia="Times New Roman" w:hAnsi="Times New Roman"/>
          <w:sz w:val="18"/>
          <w:szCs w:val="18"/>
          <w:b w:val="1"/>
          <w:bCs w:val="1"/>
          <w:color w:val="auto"/>
        </w:rPr>
        <w:t>Section 8.01(G)</w:t>
      </w:r>
      <w:r>
        <w:rPr>
          <w:rFonts w:ascii="Times New Roman" w:cs="Times New Roman" w:eastAsia="Times New Roman" w:hAnsi="Times New Roman"/>
          <w:sz w:val="18"/>
          <w:szCs w:val="18"/>
          <w:color w:val="auto"/>
        </w:rPr>
        <w:t xml:space="preserve"> (it being understood, however, that the Company may nonetheless choose to execute such an amendment at its option).</w:t>
      </w:r>
    </w:p>
    <w:p>
      <w:pPr>
        <w:spacing w:after="0" w:line="191" w:lineRule="exact"/>
        <w:rPr>
          <w:rFonts w:ascii="Times New Roman" w:cs="Times New Roman" w:eastAsia="Times New Roman" w:hAnsi="Times New Roman"/>
          <w:sz w:val="18"/>
          <w:szCs w:val="18"/>
          <w:color w:val="auto"/>
        </w:rPr>
      </w:pPr>
    </w:p>
    <w:p>
      <w:pPr>
        <w:jc w:val="both"/>
        <w:ind w:left="4" w:firstLine="644"/>
        <w:spacing w:after="0" w:line="261" w:lineRule="auto"/>
        <w:tabs>
          <w:tab w:leader="none" w:pos="1444"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Requirement to Publicly Disclose the Fixed or Default Settlement Method. </w:t>
      </w:r>
      <w:r>
        <w:rPr>
          <w:rFonts w:ascii="Times New Roman" w:cs="Times New Roman" w:eastAsia="Times New Roman" w:hAnsi="Times New Roman"/>
          <w:sz w:val="18"/>
          <w:szCs w:val="18"/>
          <w:color w:val="auto"/>
        </w:rPr>
        <w:t>If the Company changes the Default Settlement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Method pursuant to </w:t>
      </w:r>
      <w:r>
        <w:rPr>
          <w:rFonts w:ascii="Times New Roman" w:cs="Times New Roman" w:eastAsia="Times New Roman" w:hAnsi="Times New Roman"/>
          <w:sz w:val="18"/>
          <w:szCs w:val="18"/>
          <w:b w:val="1"/>
          <w:bCs w:val="1"/>
          <w:color w:val="auto"/>
        </w:rPr>
        <w:t>clause (x)</w:t>
      </w:r>
      <w:r>
        <w:rPr>
          <w:rFonts w:ascii="Times New Roman" w:cs="Times New Roman" w:eastAsia="Times New Roman" w:hAnsi="Times New Roman"/>
          <w:sz w:val="18"/>
          <w:szCs w:val="18"/>
          <w:color w:val="auto"/>
        </w:rPr>
        <w:t xml:space="preserve"> of the proviso to the definition of such term or irrevocably fixes the Settlement Method(s) pursuant to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5.03(A)(ii)</w:t>
      </w:r>
      <w:r>
        <w:rPr>
          <w:rFonts w:ascii="Times New Roman" w:cs="Times New Roman" w:eastAsia="Times New Roman" w:hAnsi="Times New Roman"/>
          <w:sz w:val="18"/>
          <w:szCs w:val="18"/>
          <w:color w:val="auto"/>
        </w:rPr>
        <w:t>, then the Company will, substantially concurrently therewith, either post the Default Settlement Method or fixed Settlement Method(s),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applicable, on its website or disclose the same in a report on Form 8-K (or any successor form) that is filed with, or furnished to, the SEC.</w:t>
      </w:r>
    </w:p>
    <w:p>
      <w:pPr>
        <w:spacing w:after="0" w:line="179"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 Consideration</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jc w:val="both"/>
        <w:ind w:left="4" w:firstLine="644"/>
        <w:spacing w:after="0" w:line="268" w:lineRule="auto"/>
        <w:tabs>
          <w:tab w:leader="none" w:pos="1186"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Sections 5.03(B)(ii)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5.03(B)(iii)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5.09(A)(2)</w:t>
      </w:r>
      <w:r>
        <w:rPr>
          <w:rFonts w:ascii="Times New Roman" w:cs="Times New Roman" w:eastAsia="Times New Roman" w:hAnsi="Times New Roman"/>
          <w:sz w:val="18"/>
          <w:szCs w:val="18"/>
          <w:color w:val="auto"/>
        </w:rPr>
        <w:t>, the type and amount of consideration (the “</w:t>
      </w: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 due in respect of each $1,000 principal amount of a Note to be Converted that the Company applies the redemption proceeds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the Holder with will be as follows:</w:t>
      </w:r>
    </w:p>
    <w:p>
      <w:pPr>
        <w:spacing w:after="0" w:line="174" w:lineRule="exact"/>
        <w:rPr>
          <w:rFonts w:ascii="Times New Roman" w:cs="Times New Roman" w:eastAsia="Times New Roman" w:hAnsi="Times New Roman"/>
          <w:sz w:val="18"/>
          <w:szCs w:val="18"/>
          <w:color w:val="auto"/>
        </w:rPr>
      </w:pPr>
    </w:p>
    <w:p>
      <w:pPr>
        <w:ind w:left="644" w:firstLine="652"/>
        <w:spacing w:after="0" w:line="282" w:lineRule="auto"/>
        <w:tabs>
          <w:tab w:leader="none" w:pos="1816" w:val="left"/>
        </w:tabs>
        <w:numPr>
          <w:ilvl w:val="2"/>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Physical Settlement applies to such Conversion, a number of Ordinary Shares equal to the Conversion Rate in effect on the Conversion Date for such Conversion;</w:t>
      </w:r>
    </w:p>
    <w:p>
      <w:pPr>
        <w:spacing w:after="0" w:line="161" w:lineRule="exact"/>
        <w:rPr>
          <w:rFonts w:ascii="Times New Roman" w:cs="Times New Roman" w:eastAsia="Times New Roman" w:hAnsi="Times New Roman"/>
          <w:sz w:val="18"/>
          <w:szCs w:val="18"/>
          <w:color w:val="auto"/>
        </w:rPr>
      </w:pPr>
    </w:p>
    <w:p>
      <w:pPr>
        <w:ind w:left="644" w:firstLine="652"/>
        <w:spacing w:after="0" w:line="282" w:lineRule="auto"/>
        <w:tabs>
          <w:tab w:leader="none" w:pos="1992" w:val="left"/>
        </w:tabs>
        <w:numPr>
          <w:ilvl w:val="2"/>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Cash Settlement applies to such Conversion, cash in an amount equal to the sum of the Daily Conversion Values for each VWAP Trading Day in the Observation Period for such Conversion; or</w:t>
      </w:r>
    </w:p>
    <w:p>
      <w:pPr>
        <w:spacing w:after="0" w:line="332" w:lineRule="exact"/>
        <w:rPr>
          <w:rFonts w:ascii="Times New Roman" w:cs="Times New Roman" w:eastAsia="Times New Roman" w:hAnsi="Times New Roman"/>
          <w:sz w:val="18"/>
          <w:szCs w:val="18"/>
          <w:color w:val="auto"/>
        </w:rPr>
      </w:pPr>
    </w:p>
    <w:p>
      <w:pPr>
        <w:ind w:left="4904" w:hanging="92"/>
        <w:spacing w:after="0"/>
        <w:tabs>
          <w:tab w:leader="none" w:pos="4904" w:val="left"/>
        </w:tabs>
        <w:numPr>
          <w:ilvl w:val="3"/>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9" w:right="339" w:bottom="1440" w:gutter="0" w:footer="0" w:header="0"/>
        </w:sectPr>
      </w:pPr>
    </w:p>
    <w:bookmarkStart w:id="63" w:name="page64"/>
    <w:bookmarkEnd w:id="63"/>
    <w:p>
      <w:pPr>
        <w:jc w:val="both"/>
        <w:ind w:left="644" w:firstLine="652"/>
        <w:spacing w:after="0" w:line="266" w:lineRule="auto"/>
        <w:tabs>
          <w:tab w:leader="none" w:pos="2073"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Combination Settlement applies to such Conversion, consideration consisting of (a) a number of Ordinary Shares equal to the sum of the Daily Share Amounts for each VWAP Trading Day in the Observation Period for such Conversion; and (b) an amount of cash equal to the sum of the Daily Cash Amounts for each VWAP Trading Day in such Observation Period.</w:t>
      </w:r>
    </w:p>
    <w:p>
      <w:pPr>
        <w:spacing w:after="0" w:line="173" w:lineRule="exact"/>
        <w:rPr>
          <w:rFonts w:ascii="Times New Roman" w:cs="Times New Roman" w:eastAsia="Times New Roman" w:hAnsi="Times New Roman"/>
          <w:sz w:val="18"/>
          <w:szCs w:val="18"/>
          <w:color w:val="auto"/>
        </w:rPr>
      </w:pPr>
    </w:p>
    <w:p>
      <w:pPr>
        <w:jc w:val="both"/>
        <w:ind w:left="4" w:firstLine="644"/>
        <w:spacing w:after="0" w:line="256" w:lineRule="auto"/>
        <w:tabs>
          <w:tab w:leader="none" w:pos="1304"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Cash in Lieu of Fractional Shares</w:t>
      </w:r>
      <w:r>
        <w:rPr>
          <w:rFonts w:ascii="Times New Roman" w:cs="Times New Roman" w:eastAsia="Times New Roman" w:hAnsi="Times New Roman"/>
          <w:sz w:val="18"/>
          <w:szCs w:val="18"/>
          <w:color w:val="auto"/>
        </w:rPr>
        <w:t>. If Physical Settlement or Combination Settlement applies to the Conversion of any Note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number of Ordinary Shares deliverable pursuant to </w:t>
      </w:r>
      <w:r>
        <w:rPr>
          <w:rFonts w:ascii="Times New Roman" w:cs="Times New Roman" w:eastAsia="Times New Roman" w:hAnsi="Times New Roman"/>
          <w:sz w:val="18"/>
          <w:szCs w:val="18"/>
          <w:b w:val="1"/>
          <w:bCs w:val="1"/>
          <w:color w:val="auto"/>
        </w:rPr>
        <w:t>Section 5.03(B)(i)</w:t>
      </w:r>
      <w:r>
        <w:rPr>
          <w:rFonts w:ascii="Times New Roman" w:cs="Times New Roman" w:eastAsia="Times New Roman" w:hAnsi="Times New Roman"/>
          <w:sz w:val="18"/>
          <w:szCs w:val="18"/>
          <w:color w:val="auto"/>
        </w:rPr>
        <w:t xml:space="preserve"> upon such Conversion is not a whole number, then such number will be rounded down to the nearest whole number and the Company will deliver, in addition to the other consideration due upon such Conversion, cash in lieu of the related fractional share in an amount equal to the product of (1) such fraction and (2) (x) the Daily VWAP on the Conversion Date for such Conversion (or, if such Conversion Date is not a VWAP Trading Day, the immediately preceding VWAP Trading Day), in the case of Physical Settlement; or (y) the Daily VWAP on the last VWAP Trading Day of the Observation Period for such Conversion, in the case of Combination Settlement.</w:t>
      </w:r>
    </w:p>
    <w:p>
      <w:pPr>
        <w:spacing w:after="0" w:line="182" w:lineRule="exact"/>
        <w:rPr>
          <w:rFonts w:ascii="Times New Roman" w:cs="Times New Roman" w:eastAsia="Times New Roman" w:hAnsi="Times New Roman"/>
          <w:sz w:val="18"/>
          <w:szCs w:val="18"/>
          <w:color w:val="auto"/>
        </w:rPr>
      </w:pPr>
    </w:p>
    <w:p>
      <w:pPr>
        <w:jc w:val="both"/>
        <w:ind w:left="4" w:firstLine="644"/>
        <w:spacing w:after="0" w:line="267" w:lineRule="auto"/>
        <w:tabs>
          <w:tab w:leader="none" w:pos="1205"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 of Multiple Notes by a Single Holder</w:t>
      </w:r>
      <w:r>
        <w:rPr>
          <w:rFonts w:ascii="Times New Roman" w:cs="Times New Roman" w:eastAsia="Times New Roman" w:hAnsi="Times New Roman"/>
          <w:sz w:val="18"/>
          <w:szCs w:val="18"/>
          <w:color w:val="auto"/>
        </w:rPr>
        <w:t>. If a Holder Converts more than one (1) Note on a single Conversion Date, then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Conversion Consideration due in respect of such Conversion will (in the case of any Global Note, to the extent permitted by, and practicable under, the Depositary Procedures) be computed based on the total principal amount of Notes Converted on such Conversion Date by such Holder.</w:t>
      </w:r>
    </w:p>
    <w:p>
      <w:pPr>
        <w:spacing w:after="0" w:line="173" w:lineRule="exact"/>
        <w:rPr>
          <w:rFonts w:ascii="Times New Roman" w:cs="Times New Roman" w:eastAsia="Times New Roman" w:hAnsi="Times New Roman"/>
          <w:sz w:val="18"/>
          <w:szCs w:val="18"/>
          <w:color w:val="auto"/>
        </w:rPr>
      </w:pPr>
    </w:p>
    <w:p>
      <w:pPr>
        <w:jc w:val="both"/>
        <w:ind w:left="4" w:firstLine="644"/>
        <w:spacing w:after="0" w:line="261" w:lineRule="auto"/>
        <w:tabs>
          <w:tab w:leader="none" w:pos="1312"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 of Calculation of Conversion Consideration</w:t>
      </w:r>
      <w:r>
        <w:rPr>
          <w:rFonts w:ascii="Times New Roman" w:cs="Times New Roman" w:eastAsia="Times New Roman" w:hAnsi="Times New Roman"/>
          <w:sz w:val="18"/>
          <w:szCs w:val="18"/>
          <w:color w:val="auto"/>
        </w:rPr>
        <w:t>. If Cash Settlement or Combination Settlement applies to the Conversion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Note, then the Company will determine the Conversion Consideration due thereupon promptly following the last VWAP Trading Day of the applicable Observation Period and will promptly thereafter send notice to the Trustee and the Conversion Agent of the same and the calculation thereof in reasonable detail. Neither the Trustee nor the Conversion Agent will have any duty to make any such determination.</w:t>
      </w:r>
    </w:p>
    <w:p>
      <w:pPr>
        <w:spacing w:after="0" w:line="177" w:lineRule="exact"/>
        <w:rPr>
          <w:rFonts w:ascii="Times New Roman" w:cs="Times New Roman" w:eastAsia="Times New Roman" w:hAnsi="Times New Roman"/>
          <w:sz w:val="18"/>
          <w:szCs w:val="18"/>
          <w:color w:val="auto"/>
        </w:rPr>
      </w:pPr>
    </w:p>
    <w:p>
      <w:pPr>
        <w:jc w:val="both"/>
        <w:ind w:left="-656" w:firstLine="656"/>
        <w:spacing w:after="0" w:line="253" w:lineRule="auto"/>
        <w:tabs>
          <w:tab w:leader="none" w:pos="74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of the Conversion Consideration</w:t>
      </w:r>
      <w:r>
        <w:rPr>
          <w:rFonts w:ascii="Times New Roman" w:cs="Times New Roman" w:eastAsia="Times New Roman" w:hAnsi="Times New Roman"/>
          <w:sz w:val="18"/>
          <w:szCs w:val="18"/>
          <w:color w:val="auto"/>
        </w:rPr>
        <w:t>. Except as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Sections 5.05(D)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5.09</w:t>
      </w:r>
      <w:r>
        <w:rPr>
          <w:rFonts w:ascii="Times New Roman" w:cs="Times New Roman" w:eastAsia="Times New Roman" w:hAnsi="Times New Roman"/>
          <w:sz w:val="18"/>
          <w:szCs w:val="18"/>
          <w:color w:val="auto"/>
        </w:rPr>
        <w:t>, the Company will pay or deliver,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applicable, the Conversion Consideration due upon the Conversion of any Note to the Holder as follows: (i) if Cash Settlement or Combination Settlement applies to such Conversion, on or before the second (2nd) Business Day immediately after the last VWAP Trading Day of the Observation Period for such Conversion; and (ii) if Physical Settlement applies to such Conversion, on or before the second (2nd) Business Day immediately after the Conversion Date for such Conversion;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Physical Settlement applies to the Conversion of any Note with a Conversion Date that is after the Regular Record Date immediately before the Maturity Date, or of any Note that has been called for Redemption with a Conversion Date that occurs during the fifteen (15) calendar days preceding the related Redemption Date, then, solely for purposes of such Conversion, (x) the Company will pay or deliver, as applicable, the Conversion Consideration due upon such Conversion on or before the Maturity Date (or, if the Maturity Date is not a Business Day, the next Business Day), in the case of a Conversion of any Note with a Conversion Date that is after the Regular Record Date immediately before the Maturity Date, or the related Redemption Date, in the case of a Conversion of any Note that has been called for Redemption with a Conversion Date that occurs during the fifteen (15) calendar days preceding such Redemption Date; and (y) the Conversion Date will instead be deemed to be the second (2nd) Business Day immediately before the date referred to in </w:t>
      </w:r>
      <w:r>
        <w:rPr>
          <w:rFonts w:ascii="Times New Roman" w:cs="Times New Roman" w:eastAsia="Times New Roman" w:hAnsi="Times New Roman"/>
          <w:sz w:val="18"/>
          <w:szCs w:val="18"/>
          <w:b w:val="1"/>
          <w:bCs w:val="1"/>
          <w:color w:val="auto"/>
        </w:rPr>
        <w:t>clause (x)</w:t>
      </w:r>
      <w:r>
        <w:rPr>
          <w:rFonts w:ascii="Times New Roman" w:cs="Times New Roman" w:eastAsia="Times New Roman" w:hAnsi="Times New Roman"/>
          <w:sz w:val="18"/>
          <w:szCs w:val="18"/>
          <w:color w:val="auto"/>
        </w:rPr>
        <w:t>.</w:t>
      </w:r>
    </w:p>
    <w:p>
      <w:pPr>
        <w:spacing w:after="0" w:line="364" w:lineRule="exact"/>
        <w:rPr>
          <w:rFonts w:ascii="Times New Roman" w:cs="Times New Roman" w:eastAsia="Times New Roman" w:hAnsi="Times New Roman"/>
          <w:sz w:val="18"/>
          <w:szCs w:val="18"/>
          <w:color w:val="auto"/>
        </w:rPr>
      </w:pPr>
    </w:p>
    <w:p>
      <w:pPr>
        <w:ind w:left="4904" w:hanging="92"/>
        <w:spacing w:after="0"/>
        <w:tabs>
          <w:tab w:leader="none" w:pos="4904" w:val="left"/>
        </w:tabs>
        <w:numPr>
          <w:ilvl w:val="3"/>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64" w:name="page65"/>
    <w:bookmarkEnd w:id="64"/>
    <w:p>
      <w:pPr>
        <w:jc w:val="both"/>
        <w:ind w:firstLine="656"/>
        <w:spacing w:after="0" w:line="256" w:lineRule="auto"/>
        <w:tabs>
          <w:tab w:leader="none" w:pos="122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Deemed Payment of Principal and Interest; Settlement of Accrued Interest Notwithstanding Conversion</w:t>
      </w:r>
      <w:r>
        <w:rPr>
          <w:rFonts w:ascii="Times New Roman" w:cs="Times New Roman" w:eastAsia="Times New Roman" w:hAnsi="Times New Roman"/>
          <w:sz w:val="18"/>
          <w:szCs w:val="18"/>
          <w:color w:val="auto"/>
        </w:rPr>
        <w:t>. If a Holder Converts a Note, then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Company will not adjust the Conversion Rate to account for any accrued and unpaid interest on such Note, and, except as provided in </w:t>
      </w:r>
      <w:r>
        <w:rPr>
          <w:rFonts w:ascii="Times New Roman" w:cs="Times New Roman" w:eastAsia="Times New Roman" w:hAnsi="Times New Roman"/>
          <w:sz w:val="18"/>
          <w:szCs w:val="18"/>
          <w:b w:val="1"/>
          <w:bCs w:val="1"/>
          <w:color w:val="auto"/>
        </w:rPr>
        <w:t>Section 5.02(D)</w:t>
      </w:r>
      <w:r>
        <w:rPr>
          <w:rFonts w:ascii="Times New Roman" w:cs="Times New Roman" w:eastAsia="Times New Roman" w:hAnsi="Times New Roman"/>
          <w:sz w:val="18"/>
          <w:szCs w:val="18"/>
          <w:color w:val="auto"/>
        </w:rPr>
        <w:t xml:space="preserve">, the Company’s delivery of the Conversion Consideration due in respect of such Conversion will fully satisfy and discharge the Company’s obligation to pay the principal of, and accrued and unpaid interest, if any, on, such Note to, but excluding the Conversion Date. As a result, except as provided in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5.02(D)</w:t>
      </w:r>
      <w:r>
        <w:rPr>
          <w:rFonts w:ascii="Times New Roman" w:cs="Times New Roman" w:eastAsia="Times New Roman" w:hAnsi="Times New Roman"/>
          <w:sz w:val="18"/>
          <w:szCs w:val="18"/>
          <w:color w:val="auto"/>
        </w:rPr>
        <w:t>, any accrued and unpaid interest on, a Converted Note will be deemed to be paid in full rather than cancelled, extinguished or forfeited. In addition,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b w:val="1"/>
          <w:bCs w:val="1"/>
          <w:color w:val="auto"/>
        </w:rPr>
        <w:t>Section 5.02(D)</w:t>
      </w:r>
      <w:r>
        <w:rPr>
          <w:rFonts w:ascii="Times New Roman" w:cs="Times New Roman" w:eastAsia="Times New Roman" w:hAnsi="Times New Roman"/>
          <w:sz w:val="18"/>
          <w:szCs w:val="18"/>
          <w:color w:val="auto"/>
        </w:rPr>
        <w:t>, if the Conversion Consideration for a Note consists of both cash and Ordinary Shares, then accrued and unpaid interest that is paid therewith will be deemed to be paid first out of such cash.</w:t>
      </w:r>
    </w:p>
    <w:p>
      <w:pPr>
        <w:spacing w:after="0" w:line="181"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5.04.</w:t>
        <w:tab/>
        <w:t>S</w:t>
      </w:r>
      <w:r>
        <w:rPr>
          <w:rFonts w:ascii="Times New Roman" w:cs="Times New Roman" w:eastAsia="Times New Roman" w:hAnsi="Times New Roman"/>
          <w:sz w:val="12"/>
          <w:szCs w:val="12"/>
          <w:b w:val="1"/>
          <w:bCs w:val="1"/>
          <w:color w:val="auto"/>
        </w:rPr>
        <w:t>tatus of</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rdinary</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hares</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ssued</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2"/>
          <w:szCs w:val="12"/>
          <w:b w:val="1"/>
          <w:bCs w:val="1"/>
          <w:color w:val="auto"/>
        </w:rPr>
        <w:t>pon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onversion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Each Conversion Share, if any, delivered upon Conversion of any Note will be a newly issued share (except that any Conversion Share delivered by a designated financial institution pursuant to </w:t>
      </w:r>
      <w:r>
        <w:rPr>
          <w:rFonts w:ascii="Times New Roman" w:cs="Times New Roman" w:eastAsia="Times New Roman" w:hAnsi="Times New Roman"/>
          <w:sz w:val="18"/>
          <w:szCs w:val="18"/>
          <w:b w:val="1"/>
          <w:bCs w:val="1"/>
          <w:color w:val="auto"/>
        </w:rPr>
        <w:t>Section 5.08</w:t>
      </w:r>
      <w:r>
        <w:rPr>
          <w:rFonts w:ascii="Times New Roman" w:cs="Times New Roman" w:eastAsia="Times New Roman" w:hAnsi="Times New Roman"/>
          <w:sz w:val="18"/>
          <w:szCs w:val="18"/>
          <w:color w:val="auto"/>
        </w:rPr>
        <w:t xml:space="preserve"> need not be a newly issued share) and will be duly authorized, validly issued, fully paid, non-assessable, free from preemptive rights and free of any lien or adverse claim (except to the extent of any lien or adverse claim created by the action or inaction of the Holder of such Note or the Person to whom such Conversion Share will be delivered). If the Ordinary Shares are then listed on any securities exchange, or quoted on any inter-dealer quotation system, then the Company will use commercially reasonable efforts to cause each Conversion Share, when delivered upon Conversion of any Note, to be admitted for listing on such exchange or quotation on such system.</w:t>
      </w:r>
    </w:p>
    <w:p>
      <w:pPr>
        <w:spacing w:after="0" w:line="183"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5.05.</w:t>
        <w:tab/>
        <w:t>A</w:t>
      </w:r>
      <w:r>
        <w:rPr>
          <w:rFonts w:ascii="Times New Roman" w:cs="Times New Roman" w:eastAsia="Times New Roman" w:hAnsi="Times New Roman"/>
          <w:sz w:val="12"/>
          <w:szCs w:val="12"/>
          <w:b w:val="1"/>
          <w:bCs w:val="1"/>
          <w:color w:val="auto"/>
        </w:rPr>
        <w:t>djustments to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onversion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ate</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ind w:left="1320" w:hanging="664"/>
        <w:spacing w:after="0"/>
        <w:tabs>
          <w:tab w:leader="none" w:pos="13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Events Requiring an Adjustment to the Conversion Rate</w:t>
      </w:r>
      <w:r>
        <w:rPr>
          <w:rFonts w:ascii="Times New Roman" w:cs="Times New Roman" w:eastAsia="Times New Roman" w:hAnsi="Times New Roman"/>
          <w:sz w:val="18"/>
          <w:szCs w:val="18"/>
          <w:color w:val="auto"/>
        </w:rPr>
        <w:t>. The Conversion Rate will be adjusted from time to time as follows:</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982"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Share Dividends, Splits and Combinations</w:t>
      </w:r>
      <w:r>
        <w:rPr>
          <w:rFonts w:ascii="Times New Roman" w:cs="Times New Roman" w:eastAsia="Times New Roman" w:hAnsi="Times New Roman"/>
          <w:sz w:val="18"/>
          <w:szCs w:val="18"/>
          <w:color w:val="auto"/>
        </w:rPr>
        <w:t>. If the Company issues solely Ordinary Shares as a dividend or distribution on all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substantially all shares of the Ordinary Shares, or if the Company effects a share split or a share combination of the Ordinary Shares (in each case excluding an issuance solely pursuant to an Ordinary Share Change Event, as to which </w:t>
      </w:r>
      <w:r>
        <w:rPr>
          <w:rFonts w:ascii="Times New Roman" w:cs="Times New Roman" w:eastAsia="Times New Roman" w:hAnsi="Times New Roman"/>
          <w:sz w:val="18"/>
          <w:szCs w:val="18"/>
          <w:b w:val="1"/>
          <w:bCs w:val="1"/>
          <w:color w:val="auto"/>
        </w:rPr>
        <w:t>Section 5.09</w:t>
      </w:r>
      <w:r>
        <w:rPr>
          <w:rFonts w:ascii="Times New Roman" w:cs="Times New Roman" w:eastAsia="Times New Roman" w:hAnsi="Times New Roman"/>
          <w:sz w:val="18"/>
          <w:szCs w:val="18"/>
          <w:color w:val="auto"/>
        </w:rPr>
        <w:t xml:space="preserve"> will apply), then the Conversion Rate will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127000</wp:posOffset>
            </wp:positionV>
            <wp:extent cx="1002665" cy="419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002665"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5" w:name="page66"/>
    <w:bookmarkEnd w:id="65"/>
    <w:tbl>
      <w:tblPr>
        <w:tblLayout w:type="fixed"/>
        <w:tblInd w:w="66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480" w:type="dxa"/>
            <w:vAlign w:val="bottom"/>
          </w:tcPr>
          <w:p>
            <w:pPr>
              <w:spacing w:after="0"/>
              <w:rPr>
                <w:sz w:val="20"/>
                <w:szCs w:val="20"/>
                <w:color w:val="auto"/>
              </w:rPr>
            </w:pPr>
          </w:p>
        </w:tc>
        <w:tc>
          <w:tcPr>
            <w:tcW w:w="9560" w:type="dxa"/>
            <w:vAlign w:val="bottom"/>
          </w:tcPr>
          <w:p>
            <w:pPr>
              <w:spacing w:after="0"/>
              <w:rPr>
                <w:sz w:val="20"/>
                <w:szCs w:val="20"/>
                <w:color w:val="auto"/>
              </w:rPr>
            </w:pPr>
          </w:p>
        </w:tc>
      </w:tr>
      <w:tr>
        <w:trPr>
          <w:trHeight w:val="414"/>
        </w:trPr>
        <w:tc>
          <w:tcPr>
            <w:tcW w:w="5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CR</w:t>
            </w:r>
            <w:r>
              <w:rPr>
                <w:rFonts w:ascii="Times New Roman" w:cs="Times New Roman" w:eastAsia="Times New Roman" w:hAnsi="Times New Roman"/>
                <w:sz w:val="29"/>
                <w:szCs w:val="29"/>
                <w:i w:val="1"/>
                <w:iCs w:val="1"/>
                <w:color w:val="auto"/>
                <w:vertAlign w:val="subscript"/>
              </w:rPr>
              <w:t>0</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Conversion Rate in effect immediately before the Open of Business on the Ex-Dividend Date for such dividend or</w:t>
            </w:r>
          </w:p>
        </w:tc>
      </w:tr>
      <w:tr>
        <w:trPr>
          <w:trHeight w:val="216"/>
        </w:trPr>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distribution, or immediately before the Open of Business on the Effective Date of such share split or share combination, as</w:t>
            </w:r>
          </w:p>
        </w:tc>
      </w:tr>
      <w:tr>
        <w:trPr>
          <w:trHeight w:val="234"/>
        </w:trPr>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applicable;</w:t>
            </w:r>
          </w:p>
        </w:tc>
      </w:tr>
      <w:tr>
        <w:trPr>
          <w:trHeight w:val="414"/>
        </w:trPr>
        <w:tc>
          <w:tcPr>
            <w:tcW w:w="5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CR</w:t>
            </w:r>
            <w:r>
              <w:rPr>
                <w:rFonts w:ascii="Times New Roman" w:cs="Times New Roman" w:eastAsia="Times New Roman" w:hAnsi="Times New Roman"/>
                <w:sz w:val="29"/>
                <w:szCs w:val="29"/>
                <w:i w:val="1"/>
                <w:iCs w:val="1"/>
                <w:color w:val="auto"/>
                <w:vertAlign w:val="subscript"/>
              </w:rPr>
              <w:t>1</w:t>
            </w:r>
          </w:p>
        </w:tc>
        <w:tc>
          <w:tcPr>
            <w:tcW w:w="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Conversion Rate in effect immediately after the Open of Business on such Ex-Dividend Date or Effective Date, as</w:t>
            </w:r>
          </w:p>
        </w:tc>
      </w:tr>
      <w:tr>
        <w:trPr>
          <w:trHeight w:val="234"/>
        </w:trPr>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applicable;</w:t>
            </w:r>
          </w:p>
        </w:tc>
      </w:tr>
      <w:tr>
        <w:trPr>
          <w:trHeight w:val="414"/>
        </w:trPr>
        <w:tc>
          <w:tcPr>
            <w:tcW w:w="5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OS</w:t>
            </w:r>
            <w:r>
              <w:rPr>
                <w:rFonts w:ascii="Times New Roman" w:cs="Times New Roman" w:eastAsia="Times New Roman" w:hAnsi="Times New Roman"/>
                <w:sz w:val="29"/>
                <w:szCs w:val="29"/>
                <w:i w:val="1"/>
                <w:iCs w:val="1"/>
                <w:color w:val="auto"/>
                <w:vertAlign w:val="subscript"/>
              </w:rPr>
              <w:t>0</w:t>
            </w:r>
          </w:p>
        </w:tc>
        <w:tc>
          <w:tcPr>
            <w:tcW w:w="4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number of Ordinary Shares outstanding immediately before the Open of Business on such Ex-Dividend Date or Effective</w:t>
            </w:r>
          </w:p>
        </w:tc>
      </w:tr>
      <w:tr>
        <w:trPr>
          <w:trHeight w:val="234"/>
        </w:trPr>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Date, as applicable, without giving effect to such dividend, distribution, share split or share combination; and</w:t>
            </w:r>
          </w:p>
        </w:tc>
      </w:tr>
      <w:tr>
        <w:trPr>
          <w:trHeight w:val="414"/>
        </w:trPr>
        <w:tc>
          <w:tcPr>
            <w:tcW w:w="5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OS</w:t>
            </w:r>
            <w:r>
              <w:rPr>
                <w:rFonts w:ascii="Times New Roman" w:cs="Times New Roman" w:eastAsia="Times New Roman" w:hAnsi="Times New Roman"/>
                <w:sz w:val="29"/>
                <w:szCs w:val="29"/>
                <w:i w:val="1"/>
                <w:iCs w:val="1"/>
                <w:color w:val="auto"/>
                <w:vertAlign w:val="subscript"/>
              </w:rPr>
              <w:t>1</w:t>
            </w:r>
          </w:p>
        </w:tc>
        <w:tc>
          <w:tcPr>
            <w:tcW w:w="4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number of Ordinary Shares outstanding immediately after giving effect to such dividend, distribution, share split or share</w:t>
            </w:r>
          </w:p>
        </w:tc>
      </w:tr>
      <w:tr>
        <w:trPr>
          <w:trHeight w:val="234"/>
        </w:trPr>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combination.</w:t>
            </w:r>
          </w:p>
        </w:tc>
      </w:tr>
    </w:tbl>
    <w:p>
      <w:pPr>
        <w:spacing w:after="0" w:line="194" w:lineRule="exact"/>
        <w:rPr>
          <w:sz w:val="20"/>
          <w:szCs w:val="20"/>
          <w:color w:val="auto"/>
        </w:rPr>
      </w:pPr>
    </w:p>
    <w:p>
      <w:pPr>
        <w:jc w:val="both"/>
        <w:ind w:left="660"/>
        <w:spacing w:after="0" w:line="262" w:lineRule="auto"/>
        <w:rPr>
          <w:sz w:val="20"/>
          <w:szCs w:val="20"/>
          <w:color w:val="auto"/>
        </w:rPr>
      </w:pPr>
      <w:r>
        <w:rPr>
          <w:rFonts w:ascii="Times New Roman" w:cs="Times New Roman" w:eastAsia="Times New Roman" w:hAnsi="Times New Roman"/>
          <w:sz w:val="18"/>
          <w:szCs w:val="18"/>
          <w:color w:val="auto"/>
        </w:rPr>
        <w:t xml:space="preserve">If any dividend, distribution, share split or share combination of the type described in this </w:t>
      </w:r>
      <w:r>
        <w:rPr>
          <w:rFonts w:ascii="Times New Roman" w:cs="Times New Roman" w:eastAsia="Times New Roman" w:hAnsi="Times New Roman"/>
          <w:sz w:val="18"/>
          <w:szCs w:val="18"/>
          <w:b w:val="1"/>
          <w:bCs w:val="1"/>
          <w:color w:val="auto"/>
        </w:rPr>
        <w:t>Section 5.05(A)(i)</w:t>
      </w:r>
      <w:r>
        <w:rPr>
          <w:rFonts w:ascii="Times New Roman" w:cs="Times New Roman" w:eastAsia="Times New Roman" w:hAnsi="Times New Roman"/>
          <w:sz w:val="18"/>
          <w:szCs w:val="18"/>
          <w:color w:val="auto"/>
        </w:rPr>
        <w:t xml:space="preserve"> is declared or announced, but not so paid or made, then the Conversion Rate will be readjusted, effective as of the date the Board of Directors determines not to pay such dividend or distribution or to effect such share split or share combination, to the Conversion Rate that would then be in effect had such dividend, distribution, share split or share combination not been declared or announced.</w:t>
      </w:r>
    </w:p>
    <w:p>
      <w:pPr>
        <w:spacing w:after="0" w:line="178" w:lineRule="exact"/>
        <w:rPr>
          <w:sz w:val="20"/>
          <w:szCs w:val="20"/>
          <w:color w:val="auto"/>
        </w:rPr>
      </w:pPr>
    </w:p>
    <w:p>
      <w:pPr>
        <w:jc w:val="both"/>
        <w:ind w:left="660" w:firstLine="644"/>
        <w:spacing w:after="0" w:line="257" w:lineRule="auto"/>
        <w:tabs>
          <w:tab w:leader="none" w:pos="1901"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Rights, Options and Warrants</w:t>
      </w:r>
      <w:r>
        <w:rPr>
          <w:rFonts w:ascii="Times New Roman" w:cs="Times New Roman" w:eastAsia="Times New Roman" w:hAnsi="Times New Roman"/>
          <w:sz w:val="18"/>
          <w:szCs w:val="18"/>
          <w:color w:val="auto"/>
        </w:rPr>
        <w:t>. If the Company distributes, to all or substantially all holders of Ordinary Shares, rights, options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warrants (other than rights issued or otherwise distributed pursuant to a shareholder rights plan, as to which </w:t>
      </w:r>
      <w:r>
        <w:rPr>
          <w:rFonts w:ascii="Times New Roman" w:cs="Times New Roman" w:eastAsia="Times New Roman" w:hAnsi="Times New Roman"/>
          <w:sz w:val="18"/>
          <w:szCs w:val="18"/>
          <w:b w:val="1"/>
          <w:bCs w:val="1"/>
          <w:color w:val="auto"/>
        </w:rPr>
        <w:t>Sections 5.05(A)(iii)(1)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5.05(F)</w:t>
      </w:r>
      <w:r>
        <w:rPr>
          <w:rFonts w:ascii="Times New Roman" w:cs="Times New Roman" w:eastAsia="Times New Roman" w:hAnsi="Times New Roman"/>
          <w:sz w:val="18"/>
          <w:szCs w:val="18"/>
          <w:color w:val="auto"/>
        </w:rPr>
        <w:t xml:space="preserve"> will apply) entitling such holders, for a period of not more than sixty (60) calendar days after the record date of such distribution, to subscribe for or purchase Ordinary Shares at a price per share that is less than the average of the Last Reported Sale Prices per Ordinary Share for the ten (10) consecutive Trading Days ending on, and including, the Trading Day immediately before the date such distribution is announced, then the Conversion Rate will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128270</wp:posOffset>
            </wp:positionV>
            <wp:extent cx="1200150" cy="419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00150"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where:</w:t>
            </w:r>
          </w:p>
        </w:tc>
        <w:tc>
          <w:tcPr>
            <w:tcW w:w="480" w:type="dxa"/>
            <w:vAlign w:val="bottom"/>
          </w:tcPr>
          <w:p>
            <w:pPr>
              <w:spacing w:after="0"/>
              <w:rPr>
                <w:sz w:val="20"/>
                <w:szCs w:val="20"/>
                <w:color w:val="auto"/>
              </w:rPr>
            </w:pPr>
          </w:p>
        </w:tc>
        <w:tc>
          <w:tcPr>
            <w:tcW w:w="9560" w:type="dxa"/>
            <w:vAlign w:val="bottom"/>
          </w:tcPr>
          <w:p>
            <w:pPr>
              <w:spacing w:after="0"/>
              <w:rPr>
                <w:sz w:val="20"/>
                <w:szCs w:val="20"/>
                <w:color w:val="auto"/>
              </w:rPr>
            </w:pPr>
          </w:p>
        </w:tc>
      </w:tr>
      <w:tr>
        <w:trPr>
          <w:trHeight w:val="449"/>
        </w:trPr>
        <w:tc>
          <w:tcPr>
            <w:tcW w:w="1200" w:type="dxa"/>
            <w:vAlign w:val="bottom"/>
          </w:tcPr>
          <w:p>
            <w:pPr>
              <w:ind w:left="660"/>
              <w:spacing w:after="0"/>
              <w:rPr>
                <w:sz w:val="20"/>
                <w:szCs w:val="20"/>
                <w:color w:val="auto"/>
              </w:rPr>
            </w:pPr>
            <w:r>
              <w:rPr>
                <w:rFonts w:ascii="Times New Roman" w:cs="Times New Roman" w:eastAsia="Times New Roman" w:hAnsi="Times New Roman"/>
                <w:sz w:val="18"/>
                <w:szCs w:val="18"/>
                <w:i w:val="1"/>
                <w:iCs w:val="1"/>
                <w:color w:val="auto"/>
              </w:rPr>
              <w:t>CR</w:t>
            </w:r>
            <w:r>
              <w:rPr>
                <w:rFonts w:ascii="Times New Roman" w:cs="Times New Roman" w:eastAsia="Times New Roman" w:hAnsi="Times New Roman"/>
                <w:sz w:val="29"/>
                <w:szCs w:val="29"/>
                <w:i w:val="1"/>
                <w:iCs w:val="1"/>
                <w:color w:val="auto"/>
                <w:vertAlign w:val="subscript"/>
              </w:rPr>
              <w:t>0</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Conversion Rate in effect immediately before the Open of Business on the Ex-Dividend Date for such distribution;</w:t>
            </w:r>
          </w:p>
        </w:tc>
      </w:tr>
      <w:tr>
        <w:trPr>
          <w:trHeight w:val="432"/>
        </w:trPr>
        <w:tc>
          <w:tcPr>
            <w:tcW w:w="1200" w:type="dxa"/>
            <w:vAlign w:val="bottom"/>
          </w:tcPr>
          <w:p>
            <w:pPr>
              <w:ind w:left="660"/>
              <w:spacing w:after="0"/>
              <w:rPr>
                <w:sz w:val="20"/>
                <w:szCs w:val="20"/>
                <w:color w:val="auto"/>
              </w:rPr>
            </w:pPr>
            <w:r>
              <w:rPr>
                <w:rFonts w:ascii="Times New Roman" w:cs="Times New Roman" w:eastAsia="Times New Roman" w:hAnsi="Times New Roman"/>
                <w:sz w:val="18"/>
                <w:szCs w:val="18"/>
                <w:i w:val="1"/>
                <w:iCs w:val="1"/>
                <w:color w:val="auto"/>
              </w:rPr>
              <w:t>CR</w:t>
            </w:r>
            <w:r>
              <w:rPr>
                <w:rFonts w:ascii="Times New Roman" w:cs="Times New Roman" w:eastAsia="Times New Roman" w:hAnsi="Times New Roman"/>
                <w:sz w:val="29"/>
                <w:szCs w:val="29"/>
                <w:i w:val="1"/>
                <w:iCs w:val="1"/>
                <w:color w:val="auto"/>
                <w:vertAlign w:val="subscript"/>
              </w:rPr>
              <w:t>1</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Conversion Rate in effect immediately after the Open of Business on such Ex-Dividend Date;</w:t>
            </w:r>
          </w:p>
        </w:tc>
      </w:tr>
      <w:tr>
        <w:trPr>
          <w:trHeight w:val="415"/>
        </w:trPr>
        <w:tc>
          <w:tcPr>
            <w:tcW w:w="1200" w:type="dxa"/>
            <w:vAlign w:val="bottom"/>
          </w:tcPr>
          <w:p>
            <w:pPr>
              <w:ind w:left="660"/>
              <w:spacing w:after="0"/>
              <w:rPr>
                <w:sz w:val="20"/>
                <w:szCs w:val="20"/>
                <w:color w:val="auto"/>
              </w:rPr>
            </w:pPr>
            <w:r>
              <w:rPr>
                <w:rFonts w:ascii="Times New Roman" w:cs="Times New Roman" w:eastAsia="Times New Roman" w:hAnsi="Times New Roman"/>
                <w:sz w:val="18"/>
                <w:szCs w:val="18"/>
                <w:i w:val="1"/>
                <w:iCs w:val="1"/>
                <w:color w:val="auto"/>
              </w:rPr>
              <w:t>OS</w:t>
            </w:r>
          </w:p>
        </w:tc>
        <w:tc>
          <w:tcPr>
            <w:tcW w:w="4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number of Ordinary Shares outstanding immediately before the Open of Business on such Ex-Dividend Date;</w:t>
            </w:r>
          </w:p>
        </w:tc>
      </w:tr>
      <w:tr>
        <w:trPr>
          <w:trHeight w:val="557"/>
        </w:trPr>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560" w:type="dxa"/>
            <w:vAlign w:val="bottom"/>
          </w:tcPr>
          <w:p>
            <w:pPr>
              <w:jc w:val="right"/>
              <w:ind w:right="5375"/>
              <w:spacing w:after="0"/>
              <w:rPr>
                <w:sz w:val="20"/>
                <w:szCs w:val="20"/>
                <w:color w:val="auto"/>
              </w:rPr>
            </w:pPr>
            <w:r>
              <w:rPr>
                <w:rFonts w:ascii="Times New Roman" w:cs="Times New Roman" w:eastAsia="Times New Roman" w:hAnsi="Times New Roman"/>
                <w:sz w:val="14"/>
                <w:szCs w:val="14"/>
                <w:color w:val="auto"/>
              </w:rPr>
              <w:t>- 56 -</w:t>
            </w:r>
          </w:p>
        </w:tc>
      </w:tr>
      <w:tr>
        <w:trPr>
          <w:trHeight w:val="44"/>
        </w:trPr>
        <w:tc>
          <w:tcPr>
            <w:tcW w:w="12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56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21" w:right="339" w:bottom="1440" w:gutter="0" w:footer="0" w:header="0"/>
        </w:sectPr>
      </w:pPr>
    </w:p>
    <w:bookmarkStart w:id="66" w:name="page67"/>
    <w:bookmarkEnd w:id="66"/>
    <w:p>
      <w:pPr>
        <w:ind w:left="644" w:hanging="644"/>
        <w:spacing w:after="0"/>
        <w:tabs>
          <w:tab w:leader="none" w:pos="644" w:val="left"/>
        </w:tabs>
        <w:numPr>
          <w:ilvl w:val="0"/>
          <w:numId w:val="8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the total number of Ordinary Shares issuable pursuant to such rights, options or warrants; and</w:t>
      </w:r>
    </w:p>
    <w:p>
      <w:pPr>
        <w:spacing w:after="0" w:line="225" w:lineRule="exact"/>
        <w:rPr>
          <w:sz w:val="20"/>
          <w:szCs w:val="20"/>
          <w:color w:val="auto"/>
        </w:rPr>
      </w:pPr>
    </w:p>
    <w:p>
      <w:pPr>
        <w:ind w:left="624" w:hanging="624"/>
        <w:spacing w:after="0"/>
        <w:tabs>
          <w:tab w:leader="none" w:pos="624" w:val="left"/>
        </w:tabs>
        <w:numPr>
          <w:ilvl w:val="0"/>
          <w:numId w:val="8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 number of Ordinary Shares obtained by dividing (x) the aggregate price payable to exercise such rights, options or warrants by</w:t>
      </w:r>
    </w:p>
    <w:p>
      <w:pPr>
        <w:spacing w:after="0" w:line="27" w:lineRule="exact"/>
        <w:rPr>
          <w:rFonts w:ascii="Times New Roman" w:cs="Times New Roman" w:eastAsia="Times New Roman" w:hAnsi="Times New Roman"/>
          <w:sz w:val="18"/>
          <w:szCs w:val="18"/>
          <w:i w:val="1"/>
          <w:iCs w:val="1"/>
          <w:color w:val="auto"/>
        </w:rPr>
      </w:pPr>
    </w:p>
    <w:p>
      <w:pPr>
        <w:ind w:left="1304" w:hanging="8"/>
        <w:spacing w:after="0" w:line="260" w:lineRule="auto"/>
        <w:tabs>
          <w:tab w:leader="none" w:pos="1571"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of the Last Reported Sale Prices per Ordinary Share for the ten (10) consecutive Trading Days ending on, and including, the Trading Day immediately before the date such distribution is announced.</w:t>
      </w:r>
    </w:p>
    <w:p>
      <w:pPr>
        <w:spacing w:after="0" w:line="181" w:lineRule="exact"/>
        <w:rPr>
          <w:sz w:val="20"/>
          <w:szCs w:val="20"/>
          <w:color w:val="auto"/>
        </w:rPr>
      </w:pPr>
    </w:p>
    <w:p>
      <w:pPr>
        <w:jc w:val="both"/>
        <w:ind w:left="4"/>
        <w:spacing w:after="0" w:line="256" w:lineRule="auto"/>
        <w:rPr>
          <w:sz w:val="20"/>
          <w:szCs w:val="20"/>
          <w:color w:val="auto"/>
        </w:rPr>
      </w:pPr>
      <w:r>
        <w:rPr>
          <w:rFonts w:ascii="Times New Roman" w:cs="Times New Roman" w:eastAsia="Times New Roman" w:hAnsi="Times New Roman"/>
          <w:sz w:val="18"/>
          <w:szCs w:val="18"/>
          <w:color w:val="auto"/>
        </w:rPr>
        <w:t>To the extent such rights, options or warrants are not so distributed, the Conversion Rate will be readjusted to the Conversion Rate that would then be in effect had the increase to the Conversion Rate for such distribution been made on the basis of only the rights, options or warrants, if any, actually distributed. In addition, to the extent that Ordinary Shares are not delivered after the expiration of such rights, options or warrants (including as a result of such rights, options or warrants not being exercised), the Conversion Rate will be readjusted to the Conversion Rate that would then be in effect had the increase to the Conversion Rate for such distribution been made on the basis of delivery of only the number of Ordinary Shares actually delivered upon exercise of such rights, options or warrants.</w:t>
      </w:r>
    </w:p>
    <w:p>
      <w:pPr>
        <w:spacing w:after="0" w:line="183" w:lineRule="exact"/>
        <w:rPr>
          <w:sz w:val="20"/>
          <w:szCs w:val="20"/>
          <w:color w:val="auto"/>
        </w:rPr>
      </w:pPr>
    </w:p>
    <w:p>
      <w:pPr>
        <w:jc w:val="both"/>
        <w:ind w:left="4"/>
        <w:spacing w:after="0" w:line="256" w:lineRule="auto"/>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b w:val="1"/>
          <w:bCs w:val="1"/>
          <w:color w:val="auto"/>
        </w:rPr>
        <w:t>Section 5.05(A)(ii)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Section 5.01(C)(i)(3)(a)(I)</w:t>
      </w:r>
      <w:r>
        <w:rPr>
          <w:rFonts w:ascii="Times New Roman" w:cs="Times New Roman" w:eastAsia="Times New Roman" w:hAnsi="Times New Roman"/>
          <w:sz w:val="18"/>
          <w:szCs w:val="18"/>
          <w:color w:val="auto"/>
        </w:rPr>
        <w:t>, in determining whether any rights, options or warrants entitle holders of Ordinary Shares to subscribe for or purchase Ordinary Shares at a price per share that is less than the average of the Last Reported Sale Prices per Ordinary Share for the ten (10) consecutive Trading Days ending on, and including, the Trading Day immediately before the date the distribution of such rights, options or warrants is announced, and in determining the aggregate price payable to exercise such rights, options or warrants, there will be taken into account any consideration the Company receives for such rights, options or warrants and any amount payable on exercise thereof, with the value of such consideration, if not cash, to be determined by the Company in good faith and in a commercially reasonable manner.</w:t>
      </w:r>
    </w:p>
    <w:p>
      <w:pPr>
        <w:spacing w:after="0" w:line="185" w:lineRule="exact"/>
        <w:rPr>
          <w:sz w:val="20"/>
          <w:szCs w:val="20"/>
          <w:color w:val="auto"/>
        </w:rPr>
      </w:pPr>
    </w:p>
    <w:p>
      <w:pPr>
        <w:ind w:left="1324" w:hanging="676"/>
        <w:spacing w:after="0"/>
        <w:tabs>
          <w:tab w:leader="none" w:pos="132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Spin-Offs and Other Distributed Property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44" w:firstLine="652"/>
        <w:spacing w:after="0" w:line="267" w:lineRule="auto"/>
        <w:tabs>
          <w:tab w:leader="none" w:pos="1889"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Distributions Other than Spin-Offs</w:t>
      </w:r>
      <w:r>
        <w:rPr>
          <w:rFonts w:ascii="Times New Roman" w:cs="Times New Roman" w:eastAsia="Times New Roman" w:hAnsi="Times New Roman"/>
          <w:sz w:val="18"/>
          <w:szCs w:val="18"/>
          <w:color w:val="auto"/>
        </w:rPr>
        <w:t>. If the Company distributes shares of its Capital Stock, evidences of its indebtedness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other assets or property of the Company, or rights, options or warrants to acquire Capital Stock of the Company or other securities, to all or substantially all holders of the Ordinary Shares, excluding:</w:t>
      </w:r>
    </w:p>
    <w:p>
      <w:pPr>
        <w:spacing w:after="0" w:line="175" w:lineRule="exact"/>
        <w:rPr>
          <w:rFonts w:ascii="Times New Roman" w:cs="Times New Roman" w:eastAsia="Times New Roman" w:hAnsi="Times New Roman"/>
          <w:sz w:val="18"/>
          <w:szCs w:val="18"/>
          <w:color w:val="auto"/>
        </w:rPr>
      </w:pPr>
    </w:p>
    <w:p>
      <w:pPr>
        <w:ind w:left="1304" w:firstLine="640"/>
        <w:spacing w:after="0" w:line="282" w:lineRule="auto"/>
        <w:tabs>
          <w:tab w:leader="none" w:pos="2580" w:val="left"/>
        </w:tabs>
        <w:numPr>
          <w:ilvl w:val="2"/>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dividends, distributions, rights, options or warrants for which an adjustment to the Conversion Rate is required (or would be required without regard to </w:t>
      </w:r>
      <w:r>
        <w:rPr>
          <w:rFonts w:ascii="Times New Roman" w:cs="Times New Roman" w:eastAsia="Times New Roman" w:hAnsi="Times New Roman"/>
          <w:sz w:val="18"/>
          <w:szCs w:val="18"/>
          <w:b w:val="1"/>
          <w:bCs w:val="1"/>
          <w:color w:val="auto"/>
        </w:rPr>
        <w:t>Section 5.05(C)</w:t>
      </w:r>
      <w:r>
        <w:rPr>
          <w:rFonts w:ascii="Times New Roman" w:cs="Times New Roman" w:eastAsia="Times New Roman" w:hAnsi="Times New Roman"/>
          <w:sz w:val="18"/>
          <w:szCs w:val="18"/>
          <w:color w:val="auto"/>
        </w:rPr>
        <w:t xml:space="preserve">) pursuant to </w:t>
      </w:r>
      <w:r>
        <w:rPr>
          <w:rFonts w:ascii="Times New Roman" w:cs="Times New Roman" w:eastAsia="Times New Roman" w:hAnsi="Times New Roman"/>
          <w:sz w:val="18"/>
          <w:szCs w:val="18"/>
          <w:b w:val="1"/>
          <w:bCs w:val="1"/>
          <w:color w:val="auto"/>
        </w:rPr>
        <w:t>Section 5.05(A)(i)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5.05(A)(ii)</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304" w:firstLine="640"/>
        <w:spacing w:after="0" w:line="282" w:lineRule="auto"/>
        <w:tabs>
          <w:tab w:leader="none" w:pos="2638" w:val="left"/>
        </w:tabs>
        <w:numPr>
          <w:ilvl w:val="2"/>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dividends or distributions paid exclusively in cash for which an adjustment to the Conversion Rate is required (or would be required without regard to </w:t>
      </w:r>
      <w:r>
        <w:rPr>
          <w:rFonts w:ascii="Times New Roman" w:cs="Times New Roman" w:eastAsia="Times New Roman" w:hAnsi="Times New Roman"/>
          <w:sz w:val="18"/>
          <w:szCs w:val="18"/>
          <w:b w:val="1"/>
          <w:bCs w:val="1"/>
          <w:color w:val="auto"/>
        </w:rPr>
        <w:t>Section 5.05(C)</w:t>
      </w:r>
      <w:r>
        <w:rPr>
          <w:rFonts w:ascii="Times New Roman" w:cs="Times New Roman" w:eastAsia="Times New Roman" w:hAnsi="Times New Roman"/>
          <w:sz w:val="18"/>
          <w:szCs w:val="18"/>
          <w:color w:val="auto"/>
        </w:rPr>
        <w:t xml:space="preserve">) pursuant to </w:t>
      </w:r>
      <w:r>
        <w:rPr>
          <w:rFonts w:ascii="Times New Roman" w:cs="Times New Roman" w:eastAsia="Times New Roman" w:hAnsi="Times New Roman"/>
          <w:sz w:val="18"/>
          <w:szCs w:val="18"/>
          <w:b w:val="1"/>
          <w:bCs w:val="1"/>
          <w:color w:val="auto"/>
        </w:rPr>
        <w:t>Section 5.05(A)(iv)</w:t>
      </w:r>
      <w:r>
        <w:rPr>
          <w:rFonts w:ascii="Times New Roman" w:cs="Times New Roman" w:eastAsia="Times New Roman" w:hAnsi="Times New Roman"/>
          <w:sz w:val="18"/>
          <w:szCs w:val="18"/>
          <w:color w:val="auto"/>
        </w:rPr>
        <w:t>;</w:t>
      </w:r>
    </w:p>
    <w:p>
      <w:pPr>
        <w:spacing w:after="0" w:line="332" w:lineRule="exact"/>
        <w:rPr>
          <w:rFonts w:ascii="Times New Roman" w:cs="Times New Roman" w:eastAsia="Times New Roman" w:hAnsi="Times New Roman"/>
          <w:sz w:val="18"/>
          <w:szCs w:val="18"/>
          <w:color w:val="auto"/>
        </w:rPr>
      </w:pPr>
    </w:p>
    <w:p>
      <w:pPr>
        <w:ind w:left="4904" w:hanging="92"/>
        <w:spacing w:after="0"/>
        <w:tabs>
          <w:tab w:leader="none" w:pos="4904" w:val="left"/>
        </w:tabs>
        <w:numPr>
          <w:ilvl w:val="3"/>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67" w:name="page68"/>
    <w:bookmarkEnd w:id="67"/>
    <w:p>
      <w:pPr>
        <w:ind w:left="2200" w:hanging="720"/>
        <w:spacing w:after="0"/>
        <w:tabs>
          <w:tab w:leader="none" w:pos="22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issued or otherwise distributed pursuant to a shareholder rights plan, except to the extent provided in</w:t>
      </w:r>
    </w:p>
    <w:p>
      <w:pPr>
        <w:spacing w:after="0" w:line="27" w:lineRule="exact"/>
        <w:rPr>
          <w:rFonts w:ascii="Times New Roman" w:cs="Times New Roman" w:eastAsia="Times New Roman" w:hAnsi="Times New Roman"/>
          <w:sz w:val="18"/>
          <w:szCs w:val="18"/>
          <w:color w:val="auto"/>
        </w:rPr>
      </w:pP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Section 5.05(F)</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left="840" w:right="20" w:firstLine="640"/>
        <w:spacing w:after="0" w:line="282" w:lineRule="auto"/>
        <w:tabs>
          <w:tab w:leader="none" w:pos="2112"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Spin-Offs for which an adjustment to the Conversion Rate is required (or would be required without regard to </w:t>
      </w:r>
      <w:r>
        <w:rPr>
          <w:rFonts w:ascii="Times New Roman" w:cs="Times New Roman" w:eastAsia="Times New Roman" w:hAnsi="Times New Roman"/>
          <w:sz w:val="18"/>
          <w:szCs w:val="18"/>
          <w:b w:val="1"/>
          <w:bCs w:val="1"/>
          <w:color w:val="auto"/>
        </w:rPr>
        <w:t>Section 5.05(C)</w:t>
      </w:r>
      <w:r>
        <w:rPr>
          <w:rFonts w:ascii="Times New Roman" w:cs="Times New Roman" w:eastAsia="Times New Roman" w:hAnsi="Times New Roman"/>
          <w:sz w:val="18"/>
          <w:szCs w:val="18"/>
          <w:color w:val="auto"/>
        </w:rPr>
        <w:t>) pursuant to</w:t>
      </w:r>
      <w:r>
        <w:rPr>
          <w:rFonts w:ascii="Times New Roman" w:cs="Times New Roman" w:eastAsia="Times New Roman" w:hAnsi="Times New Roman"/>
          <w:sz w:val="18"/>
          <w:szCs w:val="18"/>
          <w:b w:val="1"/>
          <w:bCs w:val="1"/>
          <w:color w:val="auto"/>
        </w:rPr>
        <w:t xml:space="preserve"> Section 5.05(A)(iii)(2)</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840" w:firstLine="640"/>
        <w:spacing w:after="0" w:line="286" w:lineRule="auto"/>
        <w:tabs>
          <w:tab w:leader="none" w:pos="2251"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distribution solely pursuant to a tender offer or exchange offer for Ordinary Shares, as to which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5.05(A)(v) </w:t>
      </w:r>
      <w:r>
        <w:rPr>
          <w:rFonts w:ascii="Times New Roman" w:cs="Times New Roman" w:eastAsia="Times New Roman" w:hAnsi="Times New Roman"/>
          <w:sz w:val="18"/>
          <w:szCs w:val="18"/>
          <w:color w:val="auto"/>
        </w:rPr>
        <w:t>will apply; and</w:t>
      </w:r>
    </w:p>
    <w:p>
      <w:pPr>
        <w:spacing w:after="0" w:line="154" w:lineRule="exact"/>
        <w:rPr>
          <w:rFonts w:ascii="Times New Roman" w:cs="Times New Roman" w:eastAsia="Times New Roman" w:hAnsi="Times New Roman"/>
          <w:sz w:val="18"/>
          <w:szCs w:val="18"/>
          <w:color w:val="auto"/>
        </w:rPr>
      </w:pPr>
    </w:p>
    <w:p>
      <w:pPr>
        <w:ind w:left="840" w:firstLine="640"/>
        <w:spacing w:after="0" w:line="286" w:lineRule="auto"/>
        <w:tabs>
          <w:tab w:leader="none" w:pos="2232"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distribution solely pursuant to an Ordinary Share Change Event, as to which </w:t>
      </w:r>
      <w:r>
        <w:rPr>
          <w:rFonts w:ascii="Times New Roman" w:cs="Times New Roman" w:eastAsia="Times New Roman" w:hAnsi="Times New Roman"/>
          <w:sz w:val="18"/>
          <w:szCs w:val="18"/>
          <w:b w:val="1"/>
          <w:bCs w:val="1"/>
          <w:color w:val="auto"/>
        </w:rPr>
        <w:t>Section 5.09</w:t>
      </w:r>
      <w:r>
        <w:rPr>
          <w:rFonts w:ascii="Times New Roman" w:cs="Times New Roman" w:eastAsia="Times New Roman" w:hAnsi="Times New Roman"/>
          <w:sz w:val="18"/>
          <w:szCs w:val="18"/>
          <w:color w:val="auto"/>
        </w:rPr>
        <w:t xml:space="preserve"> will apply, then the Conversion Rate will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2585720</wp:posOffset>
            </wp:positionH>
            <wp:positionV relativeFrom="paragraph">
              <wp:posOffset>112395</wp:posOffset>
            </wp:positionV>
            <wp:extent cx="1371600" cy="4718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7160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46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9"/>
        </w:trPr>
        <w:tc>
          <w:tcPr>
            <w:tcW w:w="5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CR</w:t>
            </w:r>
            <w:r>
              <w:rPr>
                <w:rFonts w:ascii="Times New Roman" w:cs="Times New Roman" w:eastAsia="Times New Roman" w:hAnsi="Times New Roman"/>
                <w:sz w:val="29"/>
                <w:szCs w:val="29"/>
                <w:i w:val="1"/>
                <w:iCs w:val="1"/>
                <w:color w:val="auto"/>
                <w:vertAlign w:val="subscript"/>
              </w:rPr>
              <w:t>0</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the Conversion Rate in effect immediately before the Open of Business on the Ex-Dividend Date for such distribution;</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CR</w:t>
            </w:r>
            <w:r>
              <w:rPr>
                <w:rFonts w:ascii="Times New Roman" w:cs="Times New Roman" w:eastAsia="Times New Roman" w:hAnsi="Times New Roman"/>
                <w:sz w:val="29"/>
                <w:szCs w:val="29"/>
                <w:i w:val="1"/>
                <w:iCs w:val="1"/>
                <w:color w:val="auto"/>
                <w:vertAlign w:val="subscript"/>
              </w:rPr>
              <w:t>1</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Conversion Rate in effect immediately after the Open of Business on such Ex-Dividend Date;</w:t>
            </w:r>
          </w:p>
        </w:tc>
        <w:tc>
          <w:tcPr>
            <w:tcW w:w="0" w:type="dxa"/>
            <w:vAlign w:val="bottom"/>
          </w:tcPr>
          <w:p>
            <w:pPr>
              <w:spacing w:after="0"/>
              <w:rPr>
                <w:sz w:val="1"/>
                <w:szCs w:val="1"/>
                <w:color w:val="auto"/>
              </w:rPr>
            </w:pPr>
          </w:p>
        </w:tc>
      </w:tr>
      <w:tr>
        <w:trPr>
          <w:trHeight w:val="397"/>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SP</w:t>
            </w:r>
          </w:p>
        </w:tc>
        <w:tc>
          <w:tcPr>
            <w:tcW w:w="4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average of the Last Reported Sale Prices per Ordinary Share for the ten (10) consecutive Trading Days ending on,</w:t>
            </w:r>
          </w:p>
        </w:tc>
        <w:tc>
          <w:tcPr>
            <w:tcW w:w="0" w:type="dxa"/>
            <w:vAlign w:val="bottom"/>
          </w:tcPr>
          <w:p>
            <w:pPr>
              <w:spacing w:after="0"/>
              <w:rPr>
                <w:sz w:val="1"/>
                <w:szCs w:val="1"/>
                <w:color w:val="auto"/>
              </w:rPr>
            </w:pPr>
          </w:p>
        </w:tc>
      </w:tr>
      <w:tr>
        <w:trPr>
          <w:trHeight w:val="126"/>
        </w:trPr>
        <w:tc>
          <w:tcPr>
            <w:tcW w:w="58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88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and including, the Trading Day immediately before such Ex-Dividend Date; and</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4"/>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FMV</w:t>
            </w:r>
          </w:p>
        </w:tc>
        <w:tc>
          <w:tcPr>
            <w:tcW w:w="460" w:type="dxa"/>
            <w:vAlign w:val="bottom"/>
          </w:tcPr>
          <w:p>
            <w:pPr>
              <w:spacing w:after="0"/>
              <w:rPr>
                <w:sz w:val="24"/>
                <w:szCs w:val="24"/>
                <w:color w:val="auto"/>
              </w:rPr>
            </w:pPr>
          </w:p>
        </w:tc>
        <w:tc>
          <w:tcPr>
            <w:tcW w:w="8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fair market value (as determined by the Company in good faith and in a commercially reasonable manner), as of</w:t>
            </w: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such Ex-Dividend Date, of the shares of Capital Stock, evidences of indebtedness, assets, property, rights, options or</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warrants distributed per Ordinary Share pursuant to such distribution;</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left="180"/>
        <w:spacing w:after="0" w:line="258"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if</w:t>
      </w:r>
      <w:r>
        <w:rPr>
          <w:rFonts w:ascii="Times New Roman" w:cs="Times New Roman" w:eastAsia="Times New Roman" w:hAnsi="Times New Roman"/>
          <w:sz w:val="18"/>
          <w:szCs w:val="18"/>
          <w:i w:val="1"/>
          <w:iCs w:val="1"/>
          <w:color w:val="auto"/>
        </w:rPr>
        <w:t xml:space="preserve"> FMV </w:t>
      </w:r>
      <w:r>
        <w:rPr>
          <w:rFonts w:ascii="Times New Roman" w:cs="Times New Roman" w:eastAsia="Times New Roman" w:hAnsi="Times New Roman"/>
          <w:sz w:val="18"/>
          <w:szCs w:val="18"/>
          <w:color w:val="auto"/>
        </w:rPr>
        <w:t>is equal to or greater than</w:t>
      </w:r>
      <w:r>
        <w:rPr>
          <w:rFonts w:ascii="Times New Roman" w:cs="Times New Roman" w:eastAsia="Times New Roman" w:hAnsi="Times New Roman"/>
          <w:sz w:val="18"/>
          <w:szCs w:val="18"/>
          <w:i w:val="1"/>
          <w:iCs w:val="1"/>
          <w:color w:val="auto"/>
        </w:rPr>
        <w:t xml:space="preserve"> SP</w:t>
      </w:r>
      <w:r>
        <w:rPr>
          <w:rFonts w:ascii="Times New Roman" w:cs="Times New Roman" w:eastAsia="Times New Roman" w:hAnsi="Times New Roman"/>
          <w:sz w:val="18"/>
          <w:szCs w:val="18"/>
          <w:color w:val="auto"/>
        </w:rPr>
        <w:t>, then, in lieu of the foregoing adjustment to the Conversion Rate,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 will receive, for each $1,000 principal amount of Notes held by such Holder on the record date for such distribution, at the same time and on the same terms as holders of Ordinary Shares, the amount and kind of shares of Capital Stock, evidences of indebtedness, assets, property, rights, options or warrants that such Holder would have received in such distribution if such Holder had owned, on such record date, a number of Ordinary Shares equal to the Conversion Rate in effect on such record date.</w:t>
      </w:r>
    </w:p>
    <w:p>
      <w:pPr>
        <w:spacing w:after="0" w:line="35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4"/>
          <w:szCs w:val="14"/>
          <w:color w:val="auto"/>
        </w:rPr>
        <w:t>- 58 -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68" w:name="page69"/>
    <w:bookmarkEnd w:id="68"/>
    <w:p>
      <w:pPr>
        <w:ind w:left="1300" w:right="20"/>
        <w:spacing w:after="0" w:line="282" w:lineRule="auto"/>
        <w:rPr>
          <w:sz w:val="20"/>
          <w:szCs w:val="20"/>
          <w:color w:val="auto"/>
        </w:rPr>
      </w:pPr>
      <w:r>
        <w:rPr>
          <w:rFonts w:ascii="Times New Roman" w:cs="Times New Roman" w:eastAsia="Times New Roman" w:hAnsi="Times New Roman"/>
          <w:sz w:val="18"/>
          <w:szCs w:val="18"/>
          <w:color w:val="auto"/>
        </w:rPr>
        <w:t>To the extent such distribution is not so paid or made, the Conversion Rate will be readjusted to the Conversion Rate that would then be in effect had the adjustment been made on the basis of only the distribution, if any, actually made or paid.</w:t>
      </w:r>
    </w:p>
    <w:p>
      <w:pPr>
        <w:spacing w:after="0" w:line="160" w:lineRule="exact"/>
        <w:rPr>
          <w:sz w:val="20"/>
          <w:szCs w:val="20"/>
          <w:color w:val="auto"/>
        </w:rPr>
      </w:pPr>
    </w:p>
    <w:p>
      <w:pPr>
        <w:jc w:val="both"/>
        <w:ind w:left="1300" w:firstLine="652"/>
        <w:spacing w:after="0" w:line="257" w:lineRule="auto"/>
        <w:tabs>
          <w:tab w:leader="none" w:pos="26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Spin-Offs</w:t>
      </w:r>
      <w:r>
        <w:rPr>
          <w:rFonts w:ascii="Times New Roman" w:cs="Times New Roman" w:eastAsia="Times New Roman" w:hAnsi="Times New Roman"/>
          <w:sz w:val="18"/>
          <w:szCs w:val="18"/>
          <w:color w:val="auto"/>
        </w:rPr>
        <w:t>. If the Company distributes or dividends shares of Capital Stock of any class or series, or similar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interests, of or relating to an Affiliate, a Subsidiary or other business unit of the Company to all or substantially all holders of the Ordinary Shares (other than solely pursuant to (x) an Ordinary Share Change Event, as to which </w:t>
      </w:r>
      <w:r>
        <w:rPr>
          <w:rFonts w:ascii="Times New Roman" w:cs="Times New Roman" w:eastAsia="Times New Roman" w:hAnsi="Times New Roman"/>
          <w:sz w:val="18"/>
          <w:szCs w:val="18"/>
          <w:b w:val="1"/>
          <w:bCs w:val="1"/>
          <w:color w:val="auto"/>
        </w:rPr>
        <w:t>Section 5.09</w:t>
      </w:r>
      <w:r>
        <w:rPr>
          <w:rFonts w:ascii="Times New Roman" w:cs="Times New Roman" w:eastAsia="Times New Roman" w:hAnsi="Times New Roman"/>
          <w:sz w:val="18"/>
          <w:szCs w:val="18"/>
          <w:color w:val="auto"/>
        </w:rPr>
        <w:t xml:space="preserve"> will apply; or (y) a tender offer or exchange offer for Ordinary Shares, as to which </w:t>
      </w:r>
      <w:r>
        <w:rPr>
          <w:rFonts w:ascii="Times New Roman" w:cs="Times New Roman" w:eastAsia="Times New Roman" w:hAnsi="Times New Roman"/>
          <w:sz w:val="18"/>
          <w:szCs w:val="18"/>
          <w:b w:val="1"/>
          <w:bCs w:val="1"/>
          <w:color w:val="auto"/>
        </w:rPr>
        <w:t>Section 5.05(A)(v)</w:t>
      </w:r>
      <w:r>
        <w:rPr>
          <w:rFonts w:ascii="Times New Roman" w:cs="Times New Roman" w:eastAsia="Times New Roman" w:hAnsi="Times New Roman"/>
          <w:sz w:val="18"/>
          <w:szCs w:val="18"/>
          <w:color w:val="auto"/>
        </w:rPr>
        <w:t xml:space="preserve"> will apply), and such Capital Stock or equity interests are listed or quoted (or will be listed or quoted upon the consummation of the transaction) on a U.S. national securities exchange (a “</w:t>
      </w:r>
      <w:r>
        <w:rPr>
          <w:rFonts w:ascii="Times New Roman" w:cs="Times New Roman" w:eastAsia="Times New Roman" w:hAnsi="Times New Roman"/>
          <w:sz w:val="18"/>
          <w:szCs w:val="18"/>
          <w:b w:val="1"/>
          <w:bCs w:val="1"/>
          <w:color w:val="auto"/>
        </w:rPr>
        <w:t>Spin-Off</w:t>
      </w:r>
      <w:r>
        <w:rPr>
          <w:rFonts w:ascii="Times New Roman" w:cs="Times New Roman" w:eastAsia="Times New Roman" w:hAnsi="Times New Roman"/>
          <w:sz w:val="18"/>
          <w:szCs w:val="18"/>
          <w:color w:val="auto"/>
        </w:rPr>
        <w:t>”), then the Conversion Rate will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128270</wp:posOffset>
            </wp:positionV>
            <wp:extent cx="1345565" cy="4286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4556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where:</w:t>
            </w:r>
          </w:p>
        </w:tc>
        <w:tc>
          <w:tcPr>
            <w:tcW w:w="460" w:type="dxa"/>
            <w:vAlign w:val="bottom"/>
          </w:tcPr>
          <w:p>
            <w:pPr>
              <w:spacing w:after="0"/>
              <w:rPr>
                <w:sz w:val="20"/>
                <w:szCs w:val="20"/>
                <w:color w:val="auto"/>
              </w:rPr>
            </w:pPr>
          </w:p>
        </w:tc>
        <w:tc>
          <w:tcPr>
            <w:tcW w:w="8900" w:type="dxa"/>
            <w:vAlign w:val="bottom"/>
          </w:tcPr>
          <w:p>
            <w:pPr>
              <w:spacing w:after="0"/>
              <w:rPr>
                <w:sz w:val="20"/>
                <w:szCs w:val="20"/>
                <w:color w:val="auto"/>
              </w:rPr>
            </w:pPr>
          </w:p>
        </w:tc>
      </w:tr>
      <w:tr>
        <w:trPr>
          <w:trHeight w:val="414"/>
        </w:trPr>
        <w:tc>
          <w:tcPr>
            <w:tcW w:w="1880" w:type="dxa"/>
            <w:vAlign w:val="bottom"/>
          </w:tcPr>
          <w:p>
            <w:pPr>
              <w:ind w:left="1300"/>
              <w:spacing w:after="0"/>
              <w:rPr>
                <w:sz w:val="20"/>
                <w:szCs w:val="20"/>
                <w:color w:val="auto"/>
              </w:rPr>
            </w:pPr>
            <w:r>
              <w:rPr>
                <w:rFonts w:ascii="Times New Roman" w:cs="Times New Roman" w:eastAsia="Times New Roman" w:hAnsi="Times New Roman"/>
                <w:sz w:val="18"/>
                <w:szCs w:val="18"/>
                <w:i w:val="1"/>
                <w:iCs w:val="1"/>
                <w:color w:val="auto"/>
              </w:rPr>
              <w:t>CR</w:t>
            </w:r>
            <w:r>
              <w:rPr>
                <w:rFonts w:ascii="Times New Roman" w:cs="Times New Roman" w:eastAsia="Times New Roman" w:hAnsi="Times New Roman"/>
                <w:sz w:val="29"/>
                <w:szCs w:val="29"/>
                <w:i w:val="1"/>
                <w:iCs w:val="1"/>
                <w:color w:val="auto"/>
                <w:vertAlign w:val="subscript"/>
              </w:rPr>
              <w:t>0</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Conversion Rate in effect immediately before the Close of Business on the last Trading Day of the Spin-Off</w:t>
            </w:r>
          </w:p>
        </w:tc>
      </w:tr>
      <w:tr>
        <w:trPr>
          <w:trHeight w:val="234"/>
        </w:trPr>
        <w:tc>
          <w:tcPr>
            <w:tcW w:w="1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Valuation Period for such Spin-Off;</w:t>
            </w:r>
          </w:p>
        </w:tc>
      </w:tr>
      <w:tr>
        <w:trPr>
          <w:trHeight w:val="414"/>
        </w:trPr>
        <w:tc>
          <w:tcPr>
            <w:tcW w:w="1880" w:type="dxa"/>
            <w:vAlign w:val="bottom"/>
          </w:tcPr>
          <w:p>
            <w:pPr>
              <w:ind w:left="1300"/>
              <w:spacing w:after="0"/>
              <w:rPr>
                <w:sz w:val="20"/>
                <w:szCs w:val="20"/>
                <w:color w:val="auto"/>
              </w:rPr>
            </w:pPr>
            <w:r>
              <w:rPr>
                <w:rFonts w:ascii="Times New Roman" w:cs="Times New Roman" w:eastAsia="Times New Roman" w:hAnsi="Times New Roman"/>
                <w:sz w:val="18"/>
                <w:szCs w:val="18"/>
                <w:i w:val="1"/>
                <w:iCs w:val="1"/>
                <w:color w:val="auto"/>
              </w:rPr>
              <w:t>CR</w:t>
            </w:r>
            <w:r>
              <w:rPr>
                <w:rFonts w:ascii="Times New Roman" w:cs="Times New Roman" w:eastAsia="Times New Roman" w:hAnsi="Times New Roman"/>
                <w:sz w:val="29"/>
                <w:szCs w:val="29"/>
                <w:i w:val="1"/>
                <w:iCs w:val="1"/>
                <w:color w:val="auto"/>
                <w:vertAlign w:val="subscript"/>
              </w:rPr>
              <w:t>1</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90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the Conversion Rate in effect immediately after the Close of Business on the last Trading Day of the Spin-Off Valuation</w:t>
            </w:r>
          </w:p>
        </w:tc>
      </w:tr>
      <w:tr>
        <w:trPr>
          <w:trHeight w:val="234"/>
        </w:trPr>
        <w:tc>
          <w:tcPr>
            <w:tcW w:w="1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Period;</w:t>
            </w:r>
          </w:p>
        </w:tc>
      </w:tr>
      <w:tr>
        <w:trPr>
          <w:trHeight w:val="410"/>
        </w:trPr>
        <w:tc>
          <w:tcPr>
            <w:tcW w:w="1880" w:type="dxa"/>
            <w:vAlign w:val="bottom"/>
          </w:tcPr>
          <w:p>
            <w:pPr>
              <w:ind w:left="1300"/>
              <w:spacing w:after="0"/>
              <w:rPr>
                <w:sz w:val="20"/>
                <w:szCs w:val="20"/>
                <w:color w:val="auto"/>
              </w:rPr>
            </w:pPr>
            <w:r>
              <w:rPr>
                <w:rFonts w:ascii="Times New Roman" w:cs="Times New Roman" w:eastAsia="Times New Roman" w:hAnsi="Times New Roman"/>
                <w:sz w:val="18"/>
                <w:szCs w:val="18"/>
                <w:i w:val="1"/>
                <w:iCs w:val="1"/>
                <w:color w:val="auto"/>
              </w:rPr>
              <w:t>FMV</w:t>
            </w:r>
          </w:p>
        </w:tc>
        <w:tc>
          <w:tcPr>
            <w:tcW w:w="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product of (x) the average of the Last Reported Sale Prices per share or unit of the Capital Stock or equity interests</w:t>
            </w:r>
          </w:p>
        </w:tc>
      </w:tr>
      <w:tr>
        <w:trPr>
          <w:trHeight w:val="220"/>
        </w:trPr>
        <w:tc>
          <w:tcPr>
            <w:tcW w:w="1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distributed in such Spin-Off over the ten (10) consecutive Trading Day period (the “</w:t>
            </w:r>
            <w:r>
              <w:rPr>
                <w:rFonts w:ascii="Times New Roman" w:cs="Times New Roman" w:eastAsia="Times New Roman" w:hAnsi="Times New Roman"/>
                <w:sz w:val="18"/>
                <w:szCs w:val="18"/>
                <w:b w:val="1"/>
                <w:bCs w:val="1"/>
                <w:color w:val="auto"/>
              </w:rPr>
              <w:t>Spin-Off Valuation Period</w:t>
            </w:r>
            <w:r>
              <w:rPr>
                <w:rFonts w:ascii="Times New Roman" w:cs="Times New Roman" w:eastAsia="Times New Roman" w:hAnsi="Times New Roman"/>
                <w:sz w:val="18"/>
                <w:szCs w:val="18"/>
                <w:color w:val="auto"/>
              </w:rPr>
              <w:t>”)</w:t>
            </w:r>
          </w:p>
        </w:tc>
      </w:tr>
      <w:tr>
        <w:trPr>
          <w:trHeight w:val="216"/>
        </w:trPr>
        <w:tc>
          <w:tcPr>
            <w:tcW w:w="1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beginning on, and including, the Ex-Dividend Date for such Spin-Off (such average to be determined as if references to</w:t>
            </w:r>
          </w:p>
        </w:tc>
      </w:tr>
      <w:tr>
        <w:trPr>
          <w:trHeight w:val="216"/>
        </w:trPr>
        <w:tc>
          <w:tcPr>
            <w:tcW w:w="1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Ordinary Shares in the definitions of Last Reported Sale Price, Trading Day and Market Disruption Event were instead</w:t>
            </w:r>
          </w:p>
        </w:tc>
      </w:tr>
      <w:tr>
        <w:trPr>
          <w:trHeight w:val="216"/>
        </w:trPr>
        <w:tc>
          <w:tcPr>
            <w:tcW w:w="1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references to such Capital Stock or equity interests); and (y) the number of shares or units of such Capital Stock or</w:t>
            </w:r>
          </w:p>
        </w:tc>
      </w:tr>
      <w:tr>
        <w:trPr>
          <w:trHeight w:val="234"/>
        </w:trPr>
        <w:tc>
          <w:tcPr>
            <w:tcW w:w="1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equity interests distributed per Ordinary Share in such Spin-Off; and</w:t>
            </w:r>
          </w:p>
        </w:tc>
      </w:tr>
      <w:tr>
        <w:trPr>
          <w:trHeight w:val="445"/>
        </w:trPr>
        <w:tc>
          <w:tcPr>
            <w:tcW w:w="1880" w:type="dxa"/>
            <w:vAlign w:val="bottom"/>
          </w:tcPr>
          <w:p>
            <w:pPr>
              <w:ind w:left="1300"/>
              <w:spacing w:after="0"/>
              <w:rPr>
                <w:sz w:val="20"/>
                <w:szCs w:val="20"/>
                <w:color w:val="auto"/>
              </w:rPr>
            </w:pPr>
            <w:r>
              <w:rPr>
                <w:rFonts w:ascii="Times New Roman" w:cs="Times New Roman" w:eastAsia="Times New Roman" w:hAnsi="Times New Roman"/>
                <w:sz w:val="18"/>
                <w:szCs w:val="18"/>
                <w:i w:val="1"/>
                <w:iCs w:val="1"/>
                <w:color w:val="auto"/>
              </w:rPr>
              <w:t>SP</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90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the average of the Last Reported Sale Prices per Ordinary Share for each Trading Day in the Spin-Off Valuation Period.</w:t>
            </w:r>
          </w:p>
        </w:tc>
      </w:tr>
      <w:tr>
        <w:trPr>
          <w:trHeight w:val="570"/>
        </w:trPr>
        <w:tc>
          <w:tcPr>
            <w:tcW w:w="1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900" w:type="dxa"/>
            <w:vAlign w:val="bottom"/>
          </w:tcPr>
          <w:p>
            <w:pPr>
              <w:ind w:left="3120"/>
              <w:spacing w:after="0"/>
              <w:rPr>
                <w:sz w:val="20"/>
                <w:szCs w:val="20"/>
                <w:color w:val="auto"/>
              </w:rPr>
            </w:pPr>
            <w:r>
              <w:rPr>
                <w:rFonts w:ascii="Times New Roman" w:cs="Times New Roman" w:eastAsia="Times New Roman" w:hAnsi="Times New Roman"/>
                <w:sz w:val="14"/>
                <w:szCs w:val="14"/>
                <w:color w:val="auto"/>
              </w:rPr>
              <w:t>- 59 -</w:t>
            </w:r>
          </w:p>
        </w:tc>
      </w:tr>
      <w:tr>
        <w:trPr>
          <w:trHeight w:val="44"/>
        </w:trPr>
        <w:tc>
          <w:tcPr>
            <w:tcW w:w="18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9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21" w:right="339" w:bottom="1440" w:gutter="0" w:footer="0" w:header="0"/>
        </w:sectPr>
      </w:pPr>
    </w:p>
    <w:bookmarkStart w:id="69" w:name="page70"/>
    <w:bookmarkEnd w:id="69"/>
    <w:p>
      <w:pPr>
        <w:jc w:val="both"/>
        <w:ind w:left="640"/>
        <w:spacing w:after="0" w:line="254"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b w:val="1"/>
          <w:bCs w:val="1"/>
          <w:color w:val="auto"/>
        </w:rPr>
        <w:t>Section 5.05(A)(iii)(2)</w:t>
      </w:r>
      <w:r>
        <w:rPr>
          <w:rFonts w:ascii="Times New Roman" w:cs="Times New Roman" w:eastAsia="Times New Roman" w:hAnsi="Times New Roman"/>
          <w:sz w:val="18"/>
          <w:szCs w:val="18"/>
          <w:color w:val="auto"/>
        </w:rPr>
        <w:t>, (i) if any VWAP Trading Day of the Observation Period for a Note whose Conversion will be settled pursuant to Cash Settlement or Combination Settlement occurs during the Spin-Off Valuation Period for such Spin-Off, then, solely for purposes of determining the Conversion Rate for such VWAP Trading Day for such Conversion, such Spin-Off Valuation Period will be deemed to consist of the Trading Days occurring in the period from, and including, the Ex-Dividend Date for such Spin-Off to, and including, such VWAP Trading Day; and (ii) if the Conversion Date for a Note whose Conversion will be settled pursuant to Physical Settlement occurs during the Spin-Off Valuation Period for such Spin-Off, then, solely for purposes of determining the Conversion Consideration for such Conversion, such Spin-Off Valuation Period will be deemed to consist of the Trading Days occurring in the period from, and including, the Ex-Dividend Date for such Spin-Off to, and including, such Conversion Date.</w:t>
      </w:r>
    </w:p>
    <w:p>
      <w:pPr>
        <w:spacing w:after="0" w:line="188" w:lineRule="exact"/>
        <w:rPr>
          <w:sz w:val="20"/>
          <w:szCs w:val="20"/>
          <w:color w:val="auto"/>
        </w:rPr>
      </w:pPr>
    </w:p>
    <w:p>
      <w:pPr>
        <w:jc w:val="both"/>
        <w:ind w:left="640"/>
        <w:spacing w:after="0" w:line="268" w:lineRule="auto"/>
        <w:rPr>
          <w:sz w:val="20"/>
          <w:szCs w:val="20"/>
          <w:color w:val="auto"/>
        </w:rPr>
      </w:pPr>
      <w:r>
        <w:rPr>
          <w:rFonts w:ascii="Times New Roman" w:cs="Times New Roman" w:eastAsia="Times New Roman" w:hAnsi="Times New Roman"/>
          <w:sz w:val="18"/>
          <w:szCs w:val="18"/>
          <w:color w:val="auto"/>
        </w:rPr>
        <w:t xml:space="preserve">To the extent any dividend or distribution of the type set forth in this </w:t>
      </w:r>
      <w:r>
        <w:rPr>
          <w:rFonts w:ascii="Times New Roman" w:cs="Times New Roman" w:eastAsia="Times New Roman" w:hAnsi="Times New Roman"/>
          <w:sz w:val="18"/>
          <w:szCs w:val="18"/>
          <w:b w:val="1"/>
          <w:bCs w:val="1"/>
          <w:color w:val="auto"/>
        </w:rPr>
        <w:t>Section 5.05(A)(iii)(2)</w:t>
      </w:r>
      <w:r>
        <w:rPr>
          <w:rFonts w:ascii="Times New Roman" w:cs="Times New Roman" w:eastAsia="Times New Roman" w:hAnsi="Times New Roman"/>
          <w:sz w:val="18"/>
          <w:szCs w:val="18"/>
          <w:color w:val="auto"/>
        </w:rPr>
        <w:t xml:space="preserve"> is declared but not made or paid, the Conversion Rate will be readjusted to the Conversion Rate that would then be in effect had the adjustment been made on the basis of only the dividend or distribution, if any, actually made or paid.</w:t>
      </w:r>
    </w:p>
    <w:p>
      <w:pPr>
        <w:spacing w:after="0" w:line="173" w:lineRule="exact"/>
        <w:rPr>
          <w:sz w:val="20"/>
          <w:szCs w:val="20"/>
          <w:color w:val="auto"/>
        </w:rPr>
      </w:pPr>
    </w:p>
    <w:p>
      <w:pPr>
        <w:ind w:firstLine="644"/>
        <w:spacing w:after="0" w:line="284" w:lineRule="auto"/>
        <w:tabs>
          <w:tab w:leader="none" w:pos="141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Cash Dividends or Distributions</w:t>
      </w:r>
      <w:r>
        <w:rPr>
          <w:rFonts w:ascii="Times New Roman" w:cs="Times New Roman" w:eastAsia="Times New Roman" w:hAnsi="Times New Roman"/>
          <w:sz w:val="18"/>
          <w:szCs w:val="18"/>
          <w:color w:val="auto"/>
        </w:rPr>
        <w:t>. If any cash dividend or distribution is made to all or substantially all holders of Ordinary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then the Conversion Rate will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113030</wp:posOffset>
            </wp:positionV>
            <wp:extent cx="1131570" cy="4286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13157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480" w:type="dxa"/>
            <w:vAlign w:val="bottom"/>
          </w:tcPr>
          <w:p>
            <w:pPr>
              <w:spacing w:after="0"/>
              <w:rPr>
                <w:sz w:val="20"/>
                <w:szCs w:val="20"/>
                <w:color w:val="auto"/>
              </w:rPr>
            </w:pPr>
          </w:p>
        </w:tc>
        <w:tc>
          <w:tcPr>
            <w:tcW w:w="9560" w:type="dxa"/>
            <w:vAlign w:val="bottom"/>
          </w:tcPr>
          <w:p>
            <w:pPr>
              <w:spacing w:after="0"/>
              <w:rPr>
                <w:sz w:val="20"/>
                <w:szCs w:val="20"/>
                <w:color w:val="auto"/>
              </w:rPr>
            </w:pPr>
          </w:p>
        </w:tc>
      </w:tr>
      <w:tr>
        <w:trPr>
          <w:trHeight w:val="414"/>
        </w:trPr>
        <w:tc>
          <w:tcPr>
            <w:tcW w:w="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CR</w:t>
            </w:r>
            <w:r>
              <w:rPr>
                <w:rFonts w:ascii="Times New Roman" w:cs="Times New Roman" w:eastAsia="Times New Roman" w:hAnsi="Times New Roman"/>
                <w:sz w:val="29"/>
                <w:szCs w:val="29"/>
                <w:i w:val="1"/>
                <w:iCs w:val="1"/>
                <w:color w:val="auto"/>
                <w:vertAlign w:val="subscript"/>
              </w:rPr>
              <w:t>0</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the Conversion Rate in effect immediately before the Open of Business on the Ex-Dividend Date for such dividend or</w:t>
            </w:r>
          </w:p>
        </w:tc>
      </w:tr>
      <w:tr>
        <w:trPr>
          <w:trHeight w:val="234"/>
        </w:trPr>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distribution;</w:t>
            </w:r>
          </w:p>
        </w:tc>
      </w:tr>
      <w:tr>
        <w:trPr>
          <w:trHeight w:val="449"/>
        </w:trPr>
        <w:tc>
          <w:tcPr>
            <w:tcW w:w="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CR</w:t>
            </w:r>
            <w:r>
              <w:rPr>
                <w:rFonts w:ascii="Times New Roman" w:cs="Times New Roman" w:eastAsia="Times New Roman" w:hAnsi="Times New Roman"/>
                <w:sz w:val="29"/>
                <w:szCs w:val="29"/>
                <w:i w:val="1"/>
                <w:iCs w:val="1"/>
                <w:color w:val="auto"/>
                <w:vertAlign w:val="subscript"/>
              </w:rPr>
              <w:t>1</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the Conversion Rate in effect immediately after the Open of Business on such Ex-Dividend Date;</w:t>
            </w:r>
          </w:p>
        </w:tc>
      </w:tr>
      <w:tr>
        <w:trPr>
          <w:trHeight w:val="428"/>
        </w:trPr>
        <w:tc>
          <w:tcPr>
            <w:tcW w:w="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SP</w:t>
            </w:r>
          </w:p>
        </w:tc>
        <w:tc>
          <w:tcPr>
            <w:tcW w:w="480" w:type="dxa"/>
            <w:vAlign w:val="bottom"/>
          </w:tcPr>
          <w:p>
            <w:pPr>
              <w:jc w:val="right"/>
              <w:ind w:right="230"/>
              <w:spacing w:after="0"/>
              <w:rPr>
                <w:sz w:val="20"/>
                <w:szCs w:val="20"/>
                <w:color w:val="auto"/>
              </w:rPr>
            </w:pPr>
            <w:r>
              <w:rPr>
                <w:rFonts w:ascii="Times New Roman" w:cs="Times New Roman" w:eastAsia="Times New Roman" w:hAnsi="Times New Roman"/>
                <w:sz w:val="18"/>
                <w:szCs w:val="18"/>
                <w:i w:val="1"/>
                <w:iCs w:val="1"/>
                <w:color w:val="auto"/>
              </w:rPr>
              <w:t>=</w:t>
            </w:r>
          </w:p>
        </w:tc>
        <w:tc>
          <w:tcPr>
            <w:tcW w:w="9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the Last Reported Sale Price per Ordinary Share on the Trading Day immediately before such Ex-Dividend Date; and</w:t>
            </w:r>
          </w:p>
        </w:tc>
      </w:tr>
      <w:tr>
        <w:trPr>
          <w:trHeight w:val="445"/>
        </w:trPr>
        <w:tc>
          <w:tcPr>
            <w:tcW w:w="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w:t>
            </w:r>
          </w:p>
        </w:tc>
        <w:tc>
          <w:tcPr>
            <w:tcW w:w="4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the cash amount distributed per Ordinary Share in such dividend or distribution;</w:t>
            </w:r>
          </w:p>
        </w:tc>
      </w:tr>
    </w:tbl>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if</w:t>
      </w:r>
      <w:r>
        <w:rPr>
          <w:rFonts w:ascii="Times New Roman" w:cs="Times New Roman" w:eastAsia="Times New Roman" w:hAnsi="Times New Roman"/>
          <w:sz w:val="18"/>
          <w:szCs w:val="18"/>
          <w:i w:val="1"/>
          <w:iCs w:val="1"/>
          <w:color w:val="auto"/>
        </w:rPr>
        <w:t xml:space="preserve"> D </w:t>
      </w:r>
      <w:r>
        <w:rPr>
          <w:rFonts w:ascii="Times New Roman" w:cs="Times New Roman" w:eastAsia="Times New Roman" w:hAnsi="Times New Roman"/>
          <w:sz w:val="18"/>
          <w:szCs w:val="18"/>
          <w:color w:val="auto"/>
        </w:rPr>
        <w:t>is equal to or greater than</w:t>
      </w:r>
      <w:r>
        <w:rPr>
          <w:rFonts w:ascii="Times New Roman" w:cs="Times New Roman" w:eastAsia="Times New Roman" w:hAnsi="Times New Roman"/>
          <w:sz w:val="18"/>
          <w:szCs w:val="18"/>
          <w:i w:val="1"/>
          <w:iCs w:val="1"/>
          <w:color w:val="auto"/>
        </w:rPr>
        <w:t xml:space="preserve"> SP</w:t>
      </w:r>
      <w:r>
        <w:rPr>
          <w:rFonts w:ascii="Times New Roman" w:cs="Times New Roman" w:eastAsia="Times New Roman" w:hAnsi="Times New Roman"/>
          <w:sz w:val="18"/>
          <w:szCs w:val="18"/>
          <w:color w:val="auto"/>
        </w:rPr>
        <w:t>, then, in lieu of the foregoing adjustment to the Conversion Rate, each Holder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 for each $1,000 principal amount of Notes held by such Holder on the record date for such dividend or distribution, at the same time and on the same terms as holders of Ordinary Shares, the amount of cash that such Holder would have received in such dividend or distribution if such Holder had owned, on such record date, a number of Ordinary Shares equal to the Conversion Rate in effect on such record date.</w:t>
      </w:r>
    </w:p>
    <w:p>
      <w:pPr>
        <w:spacing w:after="0" w:line="35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4"/>
          <w:szCs w:val="14"/>
          <w:color w:val="auto"/>
        </w:rPr>
        <w:t>- 60 -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sectPr>
      </w:pPr>
    </w:p>
    <w:bookmarkStart w:id="70" w:name="page71"/>
    <w:bookmarkEnd w:id="70"/>
    <w:p>
      <w:pPr>
        <w:ind w:left="660"/>
        <w:spacing w:after="0" w:line="282" w:lineRule="auto"/>
        <w:rPr>
          <w:sz w:val="20"/>
          <w:szCs w:val="20"/>
          <w:color w:val="auto"/>
        </w:rPr>
      </w:pPr>
      <w:r>
        <w:rPr>
          <w:rFonts w:ascii="Times New Roman" w:cs="Times New Roman" w:eastAsia="Times New Roman" w:hAnsi="Times New Roman"/>
          <w:sz w:val="18"/>
          <w:szCs w:val="18"/>
          <w:color w:val="auto"/>
        </w:rPr>
        <w:t>To the extent such dividend or distribution is declared but not made or paid, the Conversion Rate will be readjusted to the Conversion Rate that would then be in effect had the adjustment been made on the basis of only the dividend or distribution, if any, actually made or paid.</w:t>
      </w:r>
    </w:p>
    <w:p>
      <w:pPr>
        <w:spacing w:after="0" w:line="160" w:lineRule="exact"/>
        <w:rPr>
          <w:sz w:val="20"/>
          <w:szCs w:val="20"/>
          <w:color w:val="auto"/>
        </w:rPr>
      </w:pPr>
    </w:p>
    <w:p>
      <w:pPr>
        <w:jc w:val="both"/>
        <w:ind w:left="660" w:firstLine="644"/>
        <w:spacing w:after="0" w:line="257" w:lineRule="auto"/>
        <w:tabs>
          <w:tab w:leader="none" w:pos="203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Tender Offers or Exchange Offers</w:t>
      </w:r>
      <w:r>
        <w:rPr>
          <w:rFonts w:ascii="Times New Roman" w:cs="Times New Roman" w:eastAsia="Times New Roman" w:hAnsi="Times New Roman"/>
          <w:sz w:val="18"/>
          <w:szCs w:val="18"/>
          <w:color w:val="auto"/>
        </w:rPr>
        <w:t>. If the Company or any of its Subsidiaries makes a payment in respect of a tender offer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offer for Ordinary Shares (other than solely pursuant to an odd-lot tender offer pursuant to Rule 13e-4(h)(5) under the Exchange Act), and the value (determined as of the Expiration Time by the Company in good faith and in a commercially reasonable manner) of the cash and other consideration paid per Ordinary Share in such tender or exchange offer exceeds the Last Reported Sale Price per Ordinary Share on the Trading Day immediately after the last date (the “</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on which tenders or exchanges may be made pursuant to such tender or exchange offer (as it may be amended), then the Conversion Rate will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128270</wp:posOffset>
            </wp:positionV>
            <wp:extent cx="1645920" cy="419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645920"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where:</w:t>
            </w:r>
          </w:p>
        </w:tc>
        <w:tc>
          <w:tcPr>
            <w:tcW w:w="480" w:type="dxa"/>
            <w:vAlign w:val="bottom"/>
          </w:tcPr>
          <w:p>
            <w:pPr>
              <w:spacing w:after="0"/>
              <w:rPr>
                <w:sz w:val="20"/>
                <w:szCs w:val="20"/>
                <w:color w:val="auto"/>
              </w:rPr>
            </w:pPr>
          </w:p>
        </w:tc>
        <w:tc>
          <w:tcPr>
            <w:tcW w:w="9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200" w:type="dxa"/>
            <w:vAlign w:val="bottom"/>
          </w:tcPr>
          <w:p>
            <w:pPr>
              <w:ind w:left="660"/>
              <w:spacing w:after="0"/>
              <w:rPr>
                <w:sz w:val="20"/>
                <w:szCs w:val="20"/>
                <w:color w:val="auto"/>
              </w:rPr>
            </w:pPr>
            <w:r>
              <w:rPr>
                <w:rFonts w:ascii="Times New Roman" w:cs="Times New Roman" w:eastAsia="Times New Roman" w:hAnsi="Times New Roman"/>
                <w:sz w:val="18"/>
                <w:szCs w:val="18"/>
                <w:i w:val="1"/>
                <w:iCs w:val="1"/>
                <w:color w:val="auto"/>
              </w:rPr>
              <w:t>CR</w:t>
            </w:r>
            <w:r>
              <w:rPr>
                <w:rFonts w:ascii="Times New Roman" w:cs="Times New Roman" w:eastAsia="Times New Roman" w:hAnsi="Times New Roman"/>
                <w:sz w:val="29"/>
                <w:szCs w:val="29"/>
                <w:i w:val="1"/>
                <w:iCs w:val="1"/>
                <w:color w:val="auto"/>
                <w:vertAlign w:val="subscript"/>
              </w:rPr>
              <w:t>0</w:t>
            </w:r>
          </w:p>
        </w:tc>
        <w:tc>
          <w:tcPr>
            <w:tcW w:w="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Conversion Rate in effect immediately before the Close of Business on the last Trading Day of the Tender/Exchange Offer</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Valuation Period for such tender or exchange offer;</w:t>
            </w:r>
          </w:p>
        </w:tc>
        <w:tc>
          <w:tcPr>
            <w:tcW w:w="0" w:type="dxa"/>
            <w:vAlign w:val="bottom"/>
          </w:tcPr>
          <w:p>
            <w:pPr>
              <w:spacing w:after="0"/>
              <w:rPr>
                <w:sz w:val="1"/>
                <w:szCs w:val="1"/>
                <w:color w:val="auto"/>
              </w:rPr>
            </w:pPr>
          </w:p>
        </w:tc>
      </w:tr>
      <w:tr>
        <w:trPr>
          <w:trHeight w:val="414"/>
        </w:trPr>
        <w:tc>
          <w:tcPr>
            <w:tcW w:w="1200" w:type="dxa"/>
            <w:vAlign w:val="bottom"/>
          </w:tcPr>
          <w:p>
            <w:pPr>
              <w:ind w:left="660"/>
              <w:spacing w:after="0"/>
              <w:rPr>
                <w:sz w:val="20"/>
                <w:szCs w:val="20"/>
                <w:color w:val="auto"/>
              </w:rPr>
            </w:pPr>
            <w:r>
              <w:rPr>
                <w:rFonts w:ascii="Times New Roman" w:cs="Times New Roman" w:eastAsia="Times New Roman" w:hAnsi="Times New Roman"/>
                <w:sz w:val="18"/>
                <w:szCs w:val="18"/>
                <w:i w:val="1"/>
                <w:iCs w:val="1"/>
                <w:color w:val="auto"/>
              </w:rPr>
              <w:t>CR</w:t>
            </w:r>
            <w:r>
              <w:rPr>
                <w:rFonts w:ascii="Times New Roman" w:cs="Times New Roman" w:eastAsia="Times New Roman" w:hAnsi="Times New Roman"/>
                <w:sz w:val="29"/>
                <w:szCs w:val="29"/>
                <w:i w:val="1"/>
                <w:iCs w:val="1"/>
                <w:color w:val="auto"/>
                <w:vertAlign w:val="subscript"/>
              </w:rPr>
              <w:t>1</w:t>
            </w:r>
          </w:p>
        </w:tc>
        <w:tc>
          <w:tcPr>
            <w:tcW w:w="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Conversion Rate in effect immediately after the Close of Business on the last Trading Day of the Tender/Exchange Offer</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Valuation Period;</w:t>
            </w:r>
          </w:p>
        </w:tc>
        <w:tc>
          <w:tcPr>
            <w:tcW w:w="0" w:type="dxa"/>
            <w:vAlign w:val="bottom"/>
          </w:tcPr>
          <w:p>
            <w:pPr>
              <w:spacing w:after="0"/>
              <w:rPr>
                <w:sz w:val="1"/>
                <w:szCs w:val="1"/>
                <w:color w:val="auto"/>
              </w:rPr>
            </w:pPr>
          </w:p>
        </w:tc>
      </w:tr>
      <w:tr>
        <w:trPr>
          <w:trHeight w:val="414"/>
        </w:trPr>
        <w:tc>
          <w:tcPr>
            <w:tcW w:w="1200" w:type="dxa"/>
            <w:vAlign w:val="bottom"/>
            <w:vMerge w:val="restart"/>
          </w:tcPr>
          <w:p>
            <w:pPr>
              <w:ind w:left="660"/>
              <w:spacing w:after="0"/>
              <w:rPr>
                <w:sz w:val="20"/>
                <w:szCs w:val="20"/>
                <w:color w:val="auto"/>
              </w:rPr>
            </w:pPr>
            <w:r>
              <w:rPr>
                <w:rFonts w:ascii="Times New Roman" w:cs="Times New Roman" w:eastAsia="Times New Roman" w:hAnsi="Times New Roman"/>
                <w:sz w:val="18"/>
                <w:szCs w:val="18"/>
                <w:i w:val="1"/>
                <w:iCs w:val="1"/>
                <w:color w:val="auto"/>
              </w:rPr>
              <w:t>AC</w:t>
            </w:r>
          </w:p>
        </w:tc>
        <w:tc>
          <w:tcPr>
            <w:tcW w:w="480" w:type="dxa"/>
            <w:vAlign w:val="bottom"/>
          </w:tcPr>
          <w:p>
            <w:pPr>
              <w:spacing w:after="0"/>
              <w:rPr>
                <w:sz w:val="24"/>
                <w:szCs w:val="24"/>
                <w:color w:val="auto"/>
              </w:rPr>
            </w:pPr>
          </w:p>
        </w:tc>
        <w:tc>
          <w:tcPr>
            <w:tcW w:w="9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aggregate value (determined as of the time (the “</w:t>
            </w:r>
            <w:r>
              <w:rPr>
                <w:rFonts w:ascii="Times New Roman" w:cs="Times New Roman" w:eastAsia="Times New Roman" w:hAnsi="Times New Roman"/>
                <w:sz w:val="18"/>
                <w:szCs w:val="18"/>
                <w:b w:val="1"/>
                <w:bCs w:val="1"/>
                <w:color w:val="auto"/>
              </w:rPr>
              <w:t>Expiration Time</w:t>
            </w:r>
            <w:r>
              <w:rPr>
                <w:rFonts w:ascii="Times New Roman" w:cs="Times New Roman" w:eastAsia="Times New Roman" w:hAnsi="Times New Roman"/>
                <w:sz w:val="18"/>
                <w:szCs w:val="18"/>
                <w:color w:val="auto"/>
              </w:rPr>
              <w:t>”) such tender or exchange offer expires by the Company</w:t>
            </w:r>
          </w:p>
        </w:tc>
        <w:tc>
          <w:tcPr>
            <w:tcW w:w="0" w:type="dxa"/>
            <w:vAlign w:val="bottom"/>
          </w:tcPr>
          <w:p>
            <w:pPr>
              <w:spacing w:after="0"/>
              <w:rPr>
                <w:sz w:val="1"/>
                <w:szCs w:val="1"/>
                <w:color w:val="auto"/>
              </w:rPr>
            </w:pPr>
          </w:p>
        </w:tc>
      </w:tr>
      <w:tr>
        <w:trPr>
          <w:trHeight w:val="216"/>
        </w:trPr>
        <w:tc>
          <w:tcPr>
            <w:tcW w:w="1200" w:type="dxa"/>
            <w:vAlign w:val="bottom"/>
            <w:vMerge w:val="continue"/>
          </w:tcPr>
          <w:p>
            <w:pPr>
              <w:spacing w:after="0"/>
              <w:rPr>
                <w:sz w:val="18"/>
                <w:szCs w:val="18"/>
                <w:color w:val="auto"/>
              </w:rPr>
            </w:pPr>
          </w:p>
        </w:tc>
        <w:tc>
          <w:tcPr>
            <w:tcW w:w="4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 good faith and in a commercially reasonable manner) of all cash and other consideration paid for Ordinary Shares purchased</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or exchanged in such tender or exchange offer;</w:t>
            </w:r>
          </w:p>
        </w:tc>
        <w:tc>
          <w:tcPr>
            <w:tcW w:w="0" w:type="dxa"/>
            <w:vAlign w:val="bottom"/>
          </w:tcPr>
          <w:p>
            <w:pPr>
              <w:spacing w:after="0"/>
              <w:rPr>
                <w:sz w:val="1"/>
                <w:szCs w:val="1"/>
                <w:color w:val="auto"/>
              </w:rPr>
            </w:pPr>
          </w:p>
        </w:tc>
      </w:tr>
      <w:tr>
        <w:trPr>
          <w:trHeight w:val="414"/>
        </w:trPr>
        <w:tc>
          <w:tcPr>
            <w:tcW w:w="1200" w:type="dxa"/>
            <w:vAlign w:val="bottom"/>
          </w:tcPr>
          <w:p>
            <w:pPr>
              <w:ind w:left="660"/>
              <w:spacing w:after="0"/>
              <w:rPr>
                <w:sz w:val="20"/>
                <w:szCs w:val="20"/>
                <w:color w:val="auto"/>
              </w:rPr>
            </w:pPr>
            <w:r>
              <w:rPr>
                <w:rFonts w:ascii="Times New Roman" w:cs="Times New Roman" w:eastAsia="Times New Roman" w:hAnsi="Times New Roman"/>
                <w:sz w:val="18"/>
                <w:szCs w:val="18"/>
                <w:i w:val="1"/>
                <w:iCs w:val="1"/>
                <w:color w:val="auto"/>
              </w:rPr>
              <w:t>OS</w:t>
            </w:r>
            <w:r>
              <w:rPr>
                <w:rFonts w:ascii="Times New Roman" w:cs="Times New Roman" w:eastAsia="Times New Roman" w:hAnsi="Times New Roman"/>
                <w:sz w:val="29"/>
                <w:szCs w:val="29"/>
                <w:i w:val="1"/>
                <w:iCs w:val="1"/>
                <w:color w:val="auto"/>
                <w:vertAlign w:val="subscript"/>
              </w:rPr>
              <w:t>0</w:t>
            </w:r>
          </w:p>
        </w:tc>
        <w:tc>
          <w:tcPr>
            <w:tcW w:w="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number of Ordinary Shares outstanding immediately before the Expiration Time (including all Ordinary Shares accepted for</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purchase or exchange in such tender or exchange offer);</w:t>
            </w:r>
          </w:p>
        </w:tc>
        <w:tc>
          <w:tcPr>
            <w:tcW w:w="0" w:type="dxa"/>
            <w:vAlign w:val="bottom"/>
          </w:tcPr>
          <w:p>
            <w:pPr>
              <w:spacing w:after="0"/>
              <w:rPr>
                <w:sz w:val="1"/>
                <w:szCs w:val="1"/>
                <w:color w:val="auto"/>
              </w:rPr>
            </w:pPr>
          </w:p>
        </w:tc>
      </w:tr>
      <w:tr>
        <w:trPr>
          <w:trHeight w:val="414"/>
        </w:trPr>
        <w:tc>
          <w:tcPr>
            <w:tcW w:w="1200" w:type="dxa"/>
            <w:vAlign w:val="bottom"/>
          </w:tcPr>
          <w:p>
            <w:pPr>
              <w:ind w:left="660"/>
              <w:spacing w:after="0"/>
              <w:rPr>
                <w:sz w:val="20"/>
                <w:szCs w:val="20"/>
                <w:color w:val="auto"/>
              </w:rPr>
            </w:pPr>
            <w:r>
              <w:rPr>
                <w:rFonts w:ascii="Times New Roman" w:cs="Times New Roman" w:eastAsia="Times New Roman" w:hAnsi="Times New Roman"/>
                <w:sz w:val="18"/>
                <w:szCs w:val="18"/>
                <w:i w:val="1"/>
                <w:iCs w:val="1"/>
                <w:color w:val="auto"/>
              </w:rPr>
              <w:t>OS</w:t>
            </w:r>
            <w:r>
              <w:rPr>
                <w:rFonts w:ascii="Times New Roman" w:cs="Times New Roman" w:eastAsia="Times New Roman" w:hAnsi="Times New Roman"/>
                <w:sz w:val="29"/>
                <w:szCs w:val="29"/>
                <w:i w:val="1"/>
                <w:iCs w:val="1"/>
                <w:color w:val="auto"/>
                <w:vertAlign w:val="subscript"/>
              </w:rPr>
              <w:t>1</w:t>
            </w:r>
          </w:p>
        </w:tc>
        <w:tc>
          <w:tcPr>
            <w:tcW w:w="4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number of Ordinary Shares outstanding immediately after the Expiration Time (excluding all Ordinary Shares accepted for</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purchase or exchange in such tender or exchange offer); and</w:t>
            </w:r>
          </w:p>
        </w:tc>
        <w:tc>
          <w:tcPr>
            <w:tcW w:w="0" w:type="dxa"/>
            <w:vAlign w:val="bottom"/>
          </w:tcPr>
          <w:p>
            <w:pPr>
              <w:spacing w:after="0"/>
              <w:rPr>
                <w:sz w:val="1"/>
                <w:szCs w:val="1"/>
                <w:color w:val="auto"/>
              </w:rPr>
            </w:pPr>
          </w:p>
        </w:tc>
      </w:tr>
      <w:tr>
        <w:trPr>
          <w:trHeight w:val="410"/>
        </w:trPr>
        <w:tc>
          <w:tcPr>
            <w:tcW w:w="1200" w:type="dxa"/>
            <w:vAlign w:val="bottom"/>
          </w:tcPr>
          <w:p>
            <w:pPr>
              <w:ind w:left="660"/>
              <w:spacing w:after="0"/>
              <w:rPr>
                <w:sz w:val="20"/>
                <w:szCs w:val="20"/>
                <w:color w:val="auto"/>
              </w:rPr>
            </w:pPr>
            <w:r>
              <w:rPr>
                <w:rFonts w:ascii="Times New Roman" w:cs="Times New Roman" w:eastAsia="Times New Roman" w:hAnsi="Times New Roman"/>
                <w:sz w:val="18"/>
                <w:szCs w:val="18"/>
                <w:i w:val="1"/>
                <w:iCs w:val="1"/>
                <w:color w:val="auto"/>
              </w:rPr>
              <w:t>SP</w:t>
            </w:r>
          </w:p>
        </w:tc>
        <w:tc>
          <w:tcPr>
            <w:tcW w:w="4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average of the Last Reported Sale Prices per Ordinary Share over the ten (10) consecutive Trading Day period (the</w:t>
            </w:r>
          </w:p>
        </w:tc>
        <w:tc>
          <w:tcPr>
            <w:tcW w:w="0" w:type="dxa"/>
            <w:vAlign w:val="bottom"/>
          </w:tcPr>
          <w:p>
            <w:pPr>
              <w:spacing w:after="0"/>
              <w:rPr>
                <w:sz w:val="1"/>
                <w:szCs w:val="1"/>
                <w:color w:val="auto"/>
              </w:rPr>
            </w:pPr>
          </w:p>
        </w:tc>
      </w:tr>
      <w:tr>
        <w:trPr>
          <w:trHeight w:val="220"/>
        </w:trPr>
        <w:tc>
          <w:tcPr>
            <w:tcW w:w="1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Tender/Exchange Offer Valuation Period</w:t>
            </w:r>
            <w:r>
              <w:rPr>
                <w:rFonts w:ascii="Times New Roman" w:cs="Times New Roman" w:eastAsia="Times New Roman" w:hAnsi="Times New Roman"/>
                <w:sz w:val="18"/>
                <w:szCs w:val="18"/>
                <w:color w:val="auto"/>
              </w:rPr>
              <w:t>”) beginning on, and including, the Trading Day immediately after the Expiration</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Date;</w:t>
            </w:r>
          </w:p>
        </w:tc>
        <w:tc>
          <w:tcPr>
            <w:tcW w:w="0" w:type="dxa"/>
            <w:vAlign w:val="bottom"/>
          </w:tcPr>
          <w:p>
            <w:pPr>
              <w:spacing w:after="0"/>
              <w:rPr>
                <w:sz w:val="1"/>
                <w:szCs w:val="1"/>
                <w:color w:val="auto"/>
              </w:rPr>
            </w:pPr>
          </w:p>
        </w:tc>
      </w:tr>
      <w:tr>
        <w:trPr>
          <w:trHeight w:val="557"/>
        </w:trPr>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560" w:type="dxa"/>
            <w:vAlign w:val="bottom"/>
          </w:tcPr>
          <w:p>
            <w:pPr>
              <w:ind w:left="3780"/>
              <w:spacing w:after="0"/>
              <w:rPr>
                <w:sz w:val="20"/>
                <w:szCs w:val="20"/>
                <w:color w:val="auto"/>
              </w:rPr>
            </w:pPr>
            <w:r>
              <w:rPr>
                <w:rFonts w:ascii="Times New Roman" w:cs="Times New Roman" w:eastAsia="Times New Roman" w:hAnsi="Times New Roman"/>
                <w:sz w:val="14"/>
                <w:szCs w:val="14"/>
                <w:color w:val="auto"/>
              </w:rPr>
              <w:t>- 61 -</w:t>
            </w:r>
          </w:p>
        </w:tc>
        <w:tc>
          <w:tcPr>
            <w:tcW w:w="0" w:type="dxa"/>
            <w:vAlign w:val="bottom"/>
          </w:tcPr>
          <w:p>
            <w:pPr>
              <w:spacing w:after="0"/>
              <w:rPr>
                <w:sz w:val="1"/>
                <w:szCs w:val="1"/>
                <w:color w:val="auto"/>
              </w:rPr>
            </w:pPr>
          </w:p>
        </w:tc>
      </w:tr>
      <w:tr>
        <w:trPr>
          <w:trHeight w:val="44"/>
        </w:trPr>
        <w:tc>
          <w:tcPr>
            <w:tcW w:w="12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71" w:name="page72"/>
    <w:bookmarkEnd w:id="71"/>
    <w:p>
      <w:pPr>
        <w:jc w:val="both"/>
        <w:ind w:left="4"/>
        <w:spacing w:after="0" w:line="254"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the Conversion Rate will in no event be adjusted down pursuant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5.05(A)(v)</w:t>
      </w:r>
      <w:r>
        <w:rPr>
          <w:rFonts w:ascii="Times New Roman" w:cs="Times New Roman" w:eastAsia="Times New Roman" w:hAnsi="Times New Roman"/>
          <w:sz w:val="18"/>
          <w:szCs w:val="18"/>
          <w:color w:val="auto"/>
        </w:rPr>
        <w:t>, except to the extent 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 the immediately following paragraph. Notwithstanding anything to the contrary in this </w:t>
      </w:r>
      <w:r>
        <w:rPr>
          <w:rFonts w:ascii="Times New Roman" w:cs="Times New Roman" w:eastAsia="Times New Roman" w:hAnsi="Times New Roman"/>
          <w:sz w:val="18"/>
          <w:szCs w:val="18"/>
          <w:b w:val="1"/>
          <w:bCs w:val="1"/>
          <w:color w:val="auto"/>
        </w:rPr>
        <w:t>Section 5.05(A)(v)</w:t>
      </w:r>
      <w:r>
        <w:rPr>
          <w:rFonts w:ascii="Times New Roman" w:cs="Times New Roman" w:eastAsia="Times New Roman" w:hAnsi="Times New Roman"/>
          <w:sz w:val="18"/>
          <w:szCs w:val="18"/>
          <w:color w:val="auto"/>
        </w:rPr>
        <w:t>, (i) if any VWAP Trading Day of the Observation Period for a Note whose Conversion will be settled pursuant to Cash Settlement or Combination Settlement occurs during the Tender/Exchange Offer Valuation Period for such tender or exchange offer, then, solely for purposes of determining the Conversion Rate for such VWAP Trading Day for such Conversion, such Tender/Exchange Offer Valuation Period will be deemed to consist of the Trading Days occurring in the period from, and including, the Trading Day immediately after the Expiration Date for such tender or exchange offer to, and including, such VWAP Trading Day; and (ii) if the Conversion Date for a Note whose Conversion will be settled pursuant to Physical Settlement occurs during the Tender/Exchange Offer Valuation Period for such tender or exchange offer, then, solely for purposes of determining the Conversion Consideration for such Conversion, such Tender/Exchange Offer Valuation Period will be deemed to consist of the Trading Days occurring in the period from, and including, the Trading Day immediately after the Expiration Date to, and including, such Conversion Date.</w:t>
      </w:r>
    </w:p>
    <w:p>
      <w:pPr>
        <w:spacing w:after="0" w:line="189" w:lineRule="exact"/>
        <w:rPr>
          <w:sz w:val="20"/>
          <w:szCs w:val="20"/>
          <w:color w:val="auto"/>
        </w:rPr>
      </w:pPr>
    </w:p>
    <w:p>
      <w:pPr>
        <w:jc w:val="both"/>
        <w:ind w:left="4"/>
        <w:spacing w:after="0" w:line="261" w:lineRule="auto"/>
        <w:rPr>
          <w:sz w:val="20"/>
          <w:szCs w:val="20"/>
          <w:color w:val="auto"/>
        </w:rPr>
      </w:pPr>
      <w:r>
        <w:rPr>
          <w:rFonts w:ascii="Times New Roman" w:cs="Times New Roman" w:eastAsia="Times New Roman" w:hAnsi="Times New Roman"/>
          <w:sz w:val="18"/>
          <w:szCs w:val="18"/>
          <w:color w:val="auto"/>
        </w:rPr>
        <w:t>To the extent such tender or exchange offer is announced but not consummated (including as a result of being precluded from consummating such tender or exchange offer under applicable law), or any purchases or exchanges of Ordinary Shares in such tender or exchange offer are rescinded, the Conversion Rate will be readjusted to the Conversion Rate that would then be in effect had the adjustment been made on the basis of only the purchases or exchanges of Ordinary Shares, if any, actually made, and not rescinded, in such tender or exchange offer.</w:t>
      </w:r>
    </w:p>
    <w:p>
      <w:pPr>
        <w:spacing w:after="0" w:line="178" w:lineRule="exact"/>
        <w:rPr>
          <w:sz w:val="20"/>
          <w:szCs w:val="20"/>
          <w:color w:val="auto"/>
        </w:rPr>
      </w:pPr>
    </w:p>
    <w:p>
      <w:pPr>
        <w:ind w:left="644" w:hanging="644"/>
        <w:spacing w:after="0"/>
        <w:tabs>
          <w:tab w:leader="none" w:pos="64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Adjustments in Certain Cases</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jc w:val="both"/>
        <w:ind w:left="4" w:firstLine="644"/>
        <w:spacing w:after="0" w:line="256" w:lineRule="auto"/>
        <w:tabs>
          <w:tab w:leader="none" w:pos="1272"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Where Holders Participate in the Transaction or Event Without Conversion</w:t>
      </w:r>
      <w:r>
        <w:rPr>
          <w:rFonts w:ascii="Times New Roman" w:cs="Times New Roman" w:eastAsia="Times New Roman" w:hAnsi="Times New Roman"/>
          <w:sz w:val="18"/>
          <w:szCs w:val="18"/>
          <w:color w:val="auto"/>
        </w:rPr>
        <w:t>. Notwithstanding anything to the contrary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5.05(A)</w:t>
      </w:r>
      <w:r>
        <w:rPr>
          <w:rFonts w:ascii="Times New Roman" w:cs="Times New Roman" w:eastAsia="Times New Roman" w:hAnsi="Times New Roman"/>
          <w:sz w:val="18"/>
          <w:szCs w:val="18"/>
          <w:color w:val="auto"/>
        </w:rPr>
        <w:t>, the Company will not be obligated to adjust the Conversion Rate on account of a transaction or other event otherwise requiring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adjustment pursuant to </w:t>
      </w:r>
      <w:r>
        <w:rPr>
          <w:rFonts w:ascii="Times New Roman" w:cs="Times New Roman" w:eastAsia="Times New Roman" w:hAnsi="Times New Roman"/>
          <w:sz w:val="18"/>
          <w:szCs w:val="18"/>
          <w:b w:val="1"/>
          <w:bCs w:val="1"/>
          <w:color w:val="auto"/>
        </w:rPr>
        <w:t>Section 5.05(A)</w:t>
      </w:r>
      <w:r>
        <w:rPr>
          <w:rFonts w:ascii="Times New Roman" w:cs="Times New Roman" w:eastAsia="Times New Roman" w:hAnsi="Times New Roman"/>
          <w:sz w:val="18"/>
          <w:szCs w:val="18"/>
          <w:color w:val="auto"/>
        </w:rPr>
        <w:t xml:space="preserve"> (other than a share split or combination of the type set forth in </w:t>
      </w:r>
      <w:r>
        <w:rPr>
          <w:rFonts w:ascii="Times New Roman" w:cs="Times New Roman" w:eastAsia="Times New Roman" w:hAnsi="Times New Roman"/>
          <w:sz w:val="18"/>
          <w:szCs w:val="18"/>
          <w:b w:val="1"/>
          <w:bCs w:val="1"/>
          <w:color w:val="auto"/>
        </w:rPr>
        <w:t>Section 5.05(A)(i)</w:t>
      </w:r>
      <w:r>
        <w:rPr>
          <w:rFonts w:ascii="Times New Roman" w:cs="Times New Roman" w:eastAsia="Times New Roman" w:hAnsi="Times New Roman"/>
          <w:sz w:val="18"/>
          <w:szCs w:val="18"/>
          <w:color w:val="auto"/>
        </w:rPr>
        <w:t xml:space="preserve"> or a tender or exchange offer of the type set forth in </w:t>
      </w:r>
      <w:r>
        <w:rPr>
          <w:rFonts w:ascii="Times New Roman" w:cs="Times New Roman" w:eastAsia="Times New Roman" w:hAnsi="Times New Roman"/>
          <w:sz w:val="18"/>
          <w:szCs w:val="18"/>
          <w:b w:val="1"/>
          <w:bCs w:val="1"/>
          <w:color w:val="auto"/>
        </w:rPr>
        <w:t>Section 5.05(A)(v)</w:t>
      </w:r>
      <w:r>
        <w:rPr>
          <w:rFonts w:ascii="Times New Roman" w:cs="Times New Roman" w:eastAsia="Times New Roman" w:hAnsi="Times New Roman"/>
          <w:sz w:val="18"/>
          <w:szCs w:val="18"/>
          <w:color w:val="auto"/>
        </w:rPr>
        <w:t>) if each Holder participates, at the same time and on the same terms as holders of Ordinary Shares, and solely by virtue of being a Holder of Notes, in such transaction or event without having to Convert such Holder’s Notes and as if such Holder held a number of Ordinary Shares equal to the product of (i) the Conversion Rate in effect on the related record date; and (ii) the aggregate principal amount (expressed in thousands) of Notes held by such Holder on such date.</w:t>
      </w:r>
    </w:p>
    <w:p>
      <w:pPr>
        <w:spacing w:after="0" w:line="182"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Events</w:t>
      </w:r>
      <w:r>
        <w:rPr>
          <w:rFonts w:ascii="Times New Roman" w:cs="Times New Roman" w:eastAsia="Times New Roman" w:hAnsi="Times New Roman"/>
          <w:sz w:val="18"/>
          <w:szCs w:val="18"/>
          <w:color w:val="auto"/>
        </w:rPr>
        <w:t>. The Company will not be required to adjust the Conversion Rate except as provided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5.05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w:t>
      </w:r>
    </w:p>
    <w:p>
      <w:pPr>
        <w:spacing w:after="0" w:line="31"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5.07</w:t>
      </w:r>
      <w:r>
        <w:rPr>
          <w:rFonts w:ascii="Times New Roman" w:cs="Times New Roman" w:eastAsia="Times New Roman" w:hAnsi="Times New Roman"/>
          <w:sz w:val="18"/>
          <w:szCs w:val="18"/>
          <w:color w:val="auto"/>
        </w:rPr>
        <w:t>. Without limiting the foregoing, the Company will not be obligated to adjust the Conversion Rate on account of:</w:t>
      </w:r>
    </w:p>
    <w:p>
      <w:pPr>
        <w:spacing w:after="0" w:line="202" w:lineRule="exact"/>
        <w:rPr>
          <w:rFonts w:ascii="Times New Roman" w:cs="Times New Roman" w:eastAsia="Times New Roman" w:hAnsi="Times New Roman"/>
          <w:sz w:val="18"/>
          <w:szCs w:val="18"/>
          <w:color w:val="auto"/>
        </w:rPr>
      </w:pPr>
    </w:p>
    <w:p>
      <w:pPr>
        <w:ind w:left="644" w:firstLine="652"/>
        <w:spacing w:after="0" w:line="286" w:lineRule="auto"/>
        <w:tabs>
          <w:tab w:leader="none" w:pos="2055"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in </w:t>
      </w:r>
      <w:r>
        <w:rPr>
          <w:rFonts w:ascii="Times New Roman" w:cs="Times New Roman" w:eastAsia="Times New Roman" w:hAnsi="Times New Roman"/>
          <w:sz w:val="18"/>
          <w:szCs w:val="18"/>
          <w:b w:val="1"/>
          <w:bCs w:val="1"/>
          <w:color w:val="auto"/>
        </w:rPr>
        <w:t>Section 5.05</w:t>
      </w:r>
      <w:r>
        <w:rPr>
          <w:rFonts w:ascii="Times New Roman" w:cs="Times New Roman" w:eastAsia="Times New Roman" w:hAnsi="Times New Roman"/>
          <w:sz w:val="18"/>
          <w:szCs w:val="18"/>
          <w:color w:val="auto"/>
        </w:rPr>
        <w:t>, the sale of Ordinary Shares for a purchase price that is less than the market price per Ordinary Share or less than the Conversion Price;</w:t>
      </w:r>
    </w:p>
    <w:p>
      <w:pPr>
        <w:spacing w:after="0" w:line="329" w:lineRule="exact"/>
        <w:rPr>
          <w:rFonts w:ascii="Times New Roman" w:cs="Times New Roman" w:eastAsia="Times New Roman" w:hAnsi="Times New Roman"/>
          <w:sz w:val="18"/>
          <w:szCs w:val="18"/>
          <w:color w:val="auto"/>
        </w:rPr>
      </w:pPr>
    </w:p>
    <w:p>
      <w:pPr>
        <w:ind w:left="4904" w:hanging="92"/>
        <w:spacing w:after="0"/>
        <w:tabs>
          <w:tab w:leader="none" w:pos="4904" w:val="left"/>
        </w:tabs>
        <w:numPr>
          <w:ilvl w:val="3"/>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7" w:right="339" w:bottom="1440" w:gutter="0" w:footer="0" w:header="0"/>
        </w:sectPr>
      </w:pPr>
    </w:p>
    <w:bookmarkStart w:id="72" w:name="page73"/>
    <w:bookmarkEnd w:id="72"/>
    <w:p>
      <w:pPr>
        <w:jc w:val="both"/>
        <w:ind w:left="644" w:right="20" w:firstLine="652"/>
        <w:spacing w:after="0" w:line="266" w:lineRule="auto"/>
        <w:tabs>
          <w:tab w:leader="none" w:pos="1947"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any Ordinary Shares pursuant to any present or future plan providing for the reinvestment of dividends or interest payable on the Company’s securities and the investment of additional optional amounts in Ordinary Shares under any such plan;</w:t>
      </w:r>
    </w:p>
    <w:p>
      <w:pPr>
        <w:spacing w:after="0" w:line="175" w:lineRule="exact"/>
        <w:rPr>
          <w:rFonts w:ascii="Times New Roman" w:cs="Times New Roman" w:eastAsia="Times New Roman" w:hAnsi="Times New Roman"/>
          <w:sz w:val="18"/>
          <w:szCs w:val="18"/>
          <w:color w:val="auto"/>
        </w:rPr>
      </w:pPr>
    </w:p>
    <w:p>
      <w:pPr>
        <w:ind w:left="644" w:firstLine="652"/>
        <w:spacing w:after="0" w:line="282" w:lineRule="auto"/>
        <w:tabs>
          <w:tab w:leader="none" w:pos="1960"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any Ordinary Shares or options or rights to purchase Ordinary Shares pursuant to any present or future employee, director or consultant benefit plan or program of, or assumed by, the Company or any of its Subsidiaries;</w:t>
      </w:r>
    </w:p>
    <w:p>
      <w:pPr>
        <w:spacing w:after="0" w:line="161" w:lineRule="exact"/>
        <w:rPr>
          <w:rFonts w:ascii="Times New Roman" w:cs="Times New Roman" w:eastAsia="Times New Roman" w:hAnsi="Times New Roman"/>
          <w:sz w:val="18"/>
          <w:szCs w:val="18"/>
          <w:color w:val="auto"/>
        </w:rPr>
      </w:pPr>
    </w:p>
    <w:p>
      <w:pPr>
        <w:ind w:left="644" w:firstLine="652"/>
        <w:spacing w:after="0" w:line="282" w:lineRule="auto"/>
        <w:tabs>
          <w:tab w:leader="none" w:pos="1906"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any Ordinary Shares pursuant to any option, warrant, right or convertible or exchangeable security of the Company outstanding as of the Issue Date;</w:t>
      </w:r>
    </w:p>
    <w:p>
      <w:pPr>
        <w:spacing w:after="0" w:line="161" w:lineRule="exact"/>
        <w:rPr>
          <w:rFonts w:ascii="Times New Roman" w:cs="Times New Roman" w:eastAsia="Times New Roman" w:hAnsi="Times New Roman"/>
          <w:sz w:val="18"/>
          <w:szCs w:val="18"/>
          <w:color w:val="auto"/>
        </w:rPr>
      </w:pPr>
    </w:p>
    <w:p>
      <w:pPr>
        <w:ind w:left="1964" w:hanging="668"/>
        <w:spacing w:after="0"/>
        <w:tabs>
          <w:tab w:leader="none" w:pos="1964"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a change in the par value of the Ordinary Shares; or</w:t>
      </w:r>
    </w:p>
    <w:p>
      <w:pPr>
        <w:spacing w:after="0" w:line="225" w:lineRule="exact"/>
        <w:rPr>
          <w:rFonts w:ascii="Times New Roman" w:cs="Times New Roman" w:eastAsia="Times New Roman" w:hAnsi="Times New Roman"/>
          <w:sz w:val="18"/>
          <w:szCs w:val="18"/>
          <w:color w:val="auto"/>
        </w:rPr>
      </w:pPr>
    </w:p>
    <w:p>
      <w:pPr>
        <w:ind w:left="1964" w:hanging="668"/>
        <w:spacing w:after="0"/>
        <w:tabs>
          <w:tab w:leader="none" w:pos="1964"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and unpaid interest on the Notes.</w:t>
      </w:r>
    </w:p>
    <w:p>
      <w:pPr>
        <w:spacing w:after="0" w:line="221" w:lineRule="exact"/>
        <w:rPr>
          <w:rFonts w:ascii="Times New Roman" w:cs="Times New Roman" w:eastAsia="Times New Roman" w:hAnsi="Times New Roman"/>
          <w:sz w:val="18"/>
          <w:szCs w:val="18"/>
          <w:color w:val="auto"/>
        </w:rPr>
      </w:pPr>
    </w:p>
    <w:p>
      <w:pPr>
        <w:jc w:val="both"/>
        <w:ind w:left="-656" w:firstLine="656"/>
        <w:spacing w:after="0" w:line="257" w:lineRule="auto"/>
        <w:tabs>
          <w:tab w:leader="none" w:pos="659"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Adjustment Deferral</w:t>
      </w:r>
      <w:r>
        <w:rPr>
          <w:rFonts w:ascii="Times New Roman" w:cs="Times New Roman" w:eastAsia="Times New Roman" w:hAnsi="Times New Roman"/>
          <w:sz w:val="18"/>
          <w:szCs w:val="18"/>
          <w:color w:val="auto"/>
        </w:rPr>
        <w:t>. If an adjustment to the Conversion Rate otherwise required by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would result in a change of less than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one percent (1%) to the Conversion Rate, then, notwithstanding anything to the contrary in this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the Company may, at its election, defer and carry forward such adjustment, except that all such deferred adjustments must be given effect immediately upon the earliest of the following: (i) when all such deferred adjustments would, had they not been so deferred and carried forward, result in a change of at least one percent (1%) to the Conversion Rate; (ii) the Conversion Date of, or any VWAP Trading Day of an Observation Period for, any Note; (iii) the date a Fundamental Change or Make-Whole Fundamental Change occurs; (iv) the date the Company calls any Notes for Redemption; and (v) September 1, 2033.</w:t>
      </w:r>
    </w:p>
    <w:p>
      <w:pPr>
        <w:spacing w:after="0" w:line="184" w:lineRule="exact"/>
        <w:rPr>
          <w:rFonts w:ascii="Times New Roman" w:cs="Times New Roman" w:eastAsia="Times New Roman" w:hAnsi="Times New Roman"/>
          <w:sz w:val="18"/>
          <w:szCs w:val="18"/>
          <w:color w:val="auto"/>
        </w:rPr>
      </w:pPr>
    </w:p>
    <w:p>
      <w:pPr>
        <w:ind w:left="664" w:hanging="664"/>
        <w:spacing w:after="0"/>
        <w:tabs>
          <w:tab w:leader="none" w:pos="66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Adjustments Not Yet Effective</w:t>
      </w:r>
      <w:r>
        <w:rPr>
          <w:rFonts w:ascii="Times New Roman" w:cs="Times New Roman" w:eastAsia="Times New Roman" w:hAnsi="Times New Roman"/>
          <w:sz w:val="18"/>
          <w:szCs w:val="18"/>
          <w:color w:val="auto"/>
        </w:rPr>
        <w:t>. Notwithstanding anything to the contrary in this Indenture or the Notes, if:</w:t>
      </w:r>
    </w:p>
    <w:p>
      <w:pPr>
        <w:spacing w:after="0" w:line="227"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Note is to be Converted pursuant to Physical Settlement or Combination Settlement;</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61" w:lineRule="auto"/>
        <w:tabs>
          <w:tab w:leader="none" w:pos="1241"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record date, Effective Date or Expiration Time for any event that requires an adjustment to the Conversion Rate pursuant to </w:t>
      </w:r>
      <w:r>
        <w:rPr>
          <w:rFonts w:ascii="Times New Roman" w:cs="Times New Roman" w:eastAsia="Times New Roman" w:hAnsi="Times New Roman"/>
          <w:sz w:val="18"/>
          <w:szCs w:val="18"/>
          <w:b w:val="1"/>
          <w:bCs w:val="1"/>
          <w:color w:val="auto"/>
        </w:rPr>
        <w:t xml:space="preserve">Section 5.05(A) </w:t>
      </w:r>
      <w:r>
        <w:rPr>
          <w:rFonts w:ascii="Times New Roman" w:cs="Times New Roman" w:eastAsia="Times New Roman" w:hAnsi="Times New Roman"/>
          <w:sz w:val="18"/>
          <w:szCs w:val="18"/>
          <w:color w:val="auto"/>
        </w:rPr>
        <w:t>has occurred on or before the Conversion Date for such Conversion (in the case of Physical Settlement) or on or before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VWAP Trading Day in the Observation Period for such Conversion (in the case of Combination Settlement), but an adjustment to the Conversion Rate for such event has not yet become effective as of such Conversion Date or VWAP Trading Day, as applicable;</w:t>
      </w:r>
    </w:p>
    <w:p>
      <w:pPr>
        <w:spacing w:after="0" w:line="179" w:lineRule="exact"/>
        <w:rPr>
          <w:rFonts w:ascii="Times New Roman" w:cs="Times New Roman" w:eastAsia="Times New Roman" w:hAnsi="Times New Roman"/>
          <w:sz w:val="18"/>
          <w:szCs w:val="18"/>
          <w:color w:val="auto"/>
        </w:rPr>
      </w:pPr>
    </w:p>
    <w:p>
      <w:pPr>
        <w:jc w:val="both"/>
        <w:ind w:left="4" w:firstLine="644"/>
        <w:spacing w:after="0" w:line="266" w:lineRule="auto"/>
        <w:tabs>
          <w:tab w:leader="none" w:pos="1552"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Consideration due upon such Conversion includes any whole Ordinary Shares (in the case of Physical Settlement) or due in respect of such VWAP Trading Day includes any whole or fractional Ordinary Shares (in the case of Combination Settlement); and</w:t>
      </w:r>
    </w:p>
    <w:p>
      <w:pPr>
        <w:spacing w:after="0" w:line="346" w:lineRule="exact"/>
        <w:rPr>
          <w:rFonts w:ascii="Times New Roman" w:cs="Times New Roman" w:eastAsia="Times New Roman" w:hAnsi="Times New Roman"/>
          <w:sz w:val="18"/>
          <w:szCs w:val="18"/>
          <w:color w:val="auto"/>
        </w:rPr>
      </w:pPr>
    </w:p>
    <w:p>
      <w:pPr>
        <w:ind w:left="4904" w:hanging="92"/>
        <w:spacing w:after="0"/>
        <w:tabs>
          <w:tab w:leader="none" w:pos="4904" w:val="left"/>
        </w:tabs>
        <w:numPr>
          <w:ilvl w:val="3"/>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73" w:name="page74"/>
    <w:bookmarkEnd w:id="73"/>
    <w:p>
      <w:pPr>
        <w:jc w:val="both"/>
        <w:ind w:left="660" w:firstLine="644"/>
        <w:spacing w:after="0" w:line="256" w:lineRule="auto"/>
        <w:tabs>
          <w:tab w:leader="none" w:pos="208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shares are not entitled to participate in such event (because they were not held on the related record date or otherwise), then, solely for purposes of such Conversion, the Company will, without duplication, give effect to such adjustment on such Conversion Date (in the case of Physical Settlement) or such VWAP Trading Day (in the case of Combination Settlement). In such case, if the date on which the Company is otherwise required to deliver the consideration due upon such Conversion is before the first date on which the amount of such adjustment can be determined, then the Company will delay the settlement of such Conversion until the second (2nd) Business Day after such first date.</w:t>
      </w:r>
    </w:p>
    <w:p>
      <w:pPr>
        <w:spacing w:after="0" w:line="185" w:lineRule="exact"/>
        <w:rPr>
          <w:rFonts w:ascii="Times New Roman" w:cs="Times New Roman" w:eastAsia="Times New Roman" w:hAnsi="Times New Roman"/>
          <w:sz w:val="18"/>
          <w:szCs w:val="18"/>
          <w:color w:val="auto"/>
        </w:rPr>
      </w:pPr>
    </w:p>
    <w:p>
      <w:pPr>
        <w:ind w:firstLine="656"/>
        <w:spacing w:after="0" w:line="284" w:lineRule="auto"/>
        <w:tabs>
          <w:tab w:leader="none" w:pos="1323"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 Rate Adjustments Where Converting Holders Participate in the Relevant Transaction or Event</w:t>
      </w:r>
      <w:r>
        <w:rPr>
          <w:rFonts w:ascii="Times New Roman" w:cs="Times New Roman" w:eastAsia="Times New Roman" w:hAnsi="Times New Roman"/>
          <w:sz w:val="18"/>
          <w:szCs w:val="18"/>
          <w:color w:val="auto"/>
        </w:rPr>
        <w:t>. Notwithstanding anything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contrary in this Indenture or the Notes, if:</w:t>
      </w:r>
    </w:p>
    <w:p>
      <w:pPr>
        <w:spacing w:after="0" w:line="156"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Conversion Rate adjustment for any dividend or distribution becomes effective on any Ex-Dividend Date pursuant to </w:t>
      </w:r>
      <w:r>
        <w:rPr>
          <w:rFonts w:ascii="Times New Roman" w:cs="Times New Roman" w:eastAsia="Times New Roman" w:hAnsi="Times New Roman"/>
          <w:sz w:val="18"/>
          <w:szCs w:val="18"/>
          <w:b w:val="1"/>
          <w:bCs w:val="1"/>
          <w:color w:val="auto"/>
        </w:rPr>
        <w:t>Section</w:t>
      </w:r>
    </w:p>
    <w:p>
      <w:pPr>
        <w:spacing w:after="0" w:line="3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5.05(A)</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Note is to be Converted pursuant to Physical Settlement or Combination Settlement;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032"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Date for such Conversion (in the case of Physical Settlement) or any VWAP Trading Day in the Observation Period for such Conversion (in the case of Combination Settlement) occurs on or after such Ex-Dividend Date and on or before the related record date;</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198"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Consideration due upon such Conversion includes any whole Ordinary Shares (in the case of Physical Settlement) or due in respect of such VWAP Trading Day includes any whole or fractional Ordinary Shares (in the case of Combination Settlement), in each case based on a Conversion Rate that is adjusted for such dividend or distribution; and</w:t>
      </w:r>
    </w:p>
    <w:p>
      <w:pPr>
        <w:spacing w:after="0" w:line="17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shares would be entitled to participate in such dividend or distribution (including pursuant to </w:t>
      </w:r>
      <w:r>
        <w:rPr>
          <w:rFonts w:ascii="Times New Roman" w:cs="Times New Roman" w:eastAsia="Times New Roman" w:hAnsi="Times New Roman"/>
          <w:sz w:val="18"/>
          <w:szCs w:val="18"/>
          <w:b w:val="1"/>
          <w:bCs w:val="1"/>
          <w:color w:val="auto"/>
        </w:rPr>
        <w:t>Section 5.02(C)</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then (x) in the case of Physical Settlement, such Conversion Rate adjustment will not be given effect for such Conversion and the Ordinary Shares issuable upon such Conversion based on such unadjusted Conversion Rate will not be entitled to participate in such dividend or distribution, but there will be added, to the Conversion Consideration otherwise due upon such Conversion, the same kind and amount of consideration that would have been delivered in such dividend or distribution with respect to such Ordinary Shares had such shares been entitled to participate in such dividend or distribution; and (y) in the case of Combination Settlement, the Conversion Rate adjustment relating to such Ex-Dividend Date will be made for such Conversion in respect of such VWAP Trading Day, but the Ordinary Shares issuable with respect to such VWAP Trading Day based on such adjusted Conversion Rate will not be entitled to participate in such dividend or distribution.</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jc w:val="both"/>
        <w:ind w:firstLine="656"/>
        <w:spacing w:after="0" w:line="256" w:lineRule="auto"/>
        <w:tabs>
          <w:tab w:leader="none" w:pos="134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Shareholder Rights Plans</w:t>
      </w:r>
      <w:r>
        <w:rPr>
          <w:rFonts w:ascii="Times New Roman" w:cs="Times New Roman" w:eastAsia="Times New Roman" w:hAnsi="Times New Roman"/>
          <w:sz w:val="18"/>
          <w:szCs w:val="18"/>
          <w:color w:val="auto"/>
        </w:rPr>
        <w:t>. If any Ordinary Shares are to be issued upon Conversion of any Note and, at the time of such Conversion,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Company has in effect any shareholder rights plan, then the Holder of such Note will be entitled to receive, in addition to, and concurrently with the delivery of, the Conversion Consideration otherwise payable under this Indenture upon such Conversion, the rights set forth in such shareholder rights plan, unless such rights have separated from the Ordinary Shares at such time, in which case, and only in such case, the Conversion Rate will be adjusted pursuant to </w:t>
      </w:r>
      <w:r>
        <w:rPr>
          <w:rFonts w:ascii="Times New Roman" w:cs="Times New Roman" w:eastAsia="Times New Roman" w:hAnsi="Times New Roman"/>
          <w:sz w:val="18"/>
          <w:szCs w:val="18"/>
          <w:b w:val="1"/>
          <w:bCs w:val="1"/>
          <w:color w:val="auto"/>
        </w:rPr>
        <w:t>Section 5.05(A)(iii)(1)</w:t>
      </w:r>
      <w:r>
        <w:rPr>
          <w:rFonts w:ascii="Times New Roman" w:cs="Times New Roman" w:eastAsia="Times New Roman" w:hAnsi="Times New Roman"/>
          <w:sz w:val="18"/>
          <w:szCs w:val="18"/>
          <w:color w:val="auto"/>
        </w:rPr>
        <w:t xml:space="preserve"> on account of such separation as if, at the time of such separation, the Company had made a distribution of the type referred to in such Section to all holders of the Ordinary Shares, subject to potential readjustment in accordance with the last paragraph of </w:t>
      </w:r>
      <w:r>
        <w:rPr>
          <w:rFonts w:ascii="Times New Roman" w:cs="Times New Roman" w:eastAsia="Times New Roman" w:hAnsi="Times New Roman"/>
          <w:sz w:val="18"/>
          <w:szCs w:val="18"/>
          <w:b w:val="1"/>
          <w:bCs w:val="1"/>
          <w:color w:val="auto"/>
        </w:rPr>
        <w:t>Section 5.05(A)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(iii)(1)</w:t>
      </w:r>
      <w:r>
        <w:rPr>
          <w:rFonts w:ascii="Times New Roman" w:cs="Times New Roman" w:eastAsia="Times New Roman" w:hAnsi="Times New Roman"/>
          <w:sz w:val="18"/>
          <w:szCs w:val="18"/>
          <w:color w:val="auto"/>
        </w:rPr>
        <w:t>.</w:t>
      </w:r>
    </w:p>
    <w:p>
      <w:pPr>
        <w:spacing w:after="0" w:line="182" w:lineRule="exact"/>
        <w:rPr>
          <w:rFonts w:ascii="Times New Roman" w:cs="Times New Roman" w:eastAsia="Times New Roman" w:hAnsi="Times New Roman"/>
          <w:sz w:val="18"/>
          <w:szCs w:val="18"/>
          <w:color w:val="auto"/>
        </w:rPr>
      </w:pPr>
    </w:p>
    <w:p>
      <w:pPr>
        <w:jc w:val="both"/>
        <w:ind w:firstLine="656"/>
        <w:spacing w:after="0" w:line="267" w:lineRule="auto"/>
        <w:tabs>
          <w:tab w:leader="none" w:pos="129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Limitation on Effecting Transactions Resulting in Certain Adjustments</w:t>
      </w:r>
      <w:r>
        <w:rPr>
          <w:rFonts w:ascii="Times New Roman" w:cs="Times New Roman" w:eastAsia="Times New Roman" w:hAnsi="Times New Roman"/>
          <w:sz w:val="18"/>
          <w:szCs w:val="18"/>
          <w:color w:val="auto"/>
        </w:rPr>
        <w:t>. The Company will not engage in or be a party to any transaction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or event that would require the Conversion Rate to be adjusted pursuant to </w:t>
      </w:r>
      <w:r>
        <w:rPr>
          <w:rFonts w:ascii="Times New Roman" w:cs="Times New Roman" w:eastAsia="Times New Roman" w:hAnsi="Times New Roman"/>
          <w:sz w:val="18"/>
          <w:szCs w:val="18"/>
          <w:b w:val="1"/>
          <w:bCs w:val="1"/>
          <w:color w:val="auto"/>
        </w:rPr>
        <w:t>Section 5.05(A)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Section 5.07</w:t>
      </w:r>
      <w:r>
        <w:rPr>
          <w:rFonts w:ascii="Times New Roman" w:cs="Times New Roman" w:eastAsia="Times New Roman" w:hAnsi="Times New Roman"/>
          <w:sz w:val="18"/>
          <w:szCs w:val="18"/>
          <w:color w:val="auto"/>
        </w:rPr>
        <w:t xml:space="preserve"> to an amount that would result in the Conversion Price per Ordinary Share being less than the par value per Ordinary Share.</w:t>
      </w:r>
    </w:p>
    <w:p>
      <w:pPr>
        <w:spacing w:after="0" w:line="173" w:lineRule="exact"/>
        <w:rPr>
          <w:rFonts w:ascii="Times New Roman" w:cs="Times New Roman" w:eastAsia="Times New Roman" w:hAnsi="Times New Roman"/>
          <w:sz w:val="18"/>
          <w:szCs w:val="18"/>
          <w:color w:val="auto"/>
        </w:rPr>
      </w:pPr>
    </w:p>
    <w:p>
      <w:pPr>
        <w:jc w:val="both"/>
        <w:ind w:firstLine="656"/>
        <w:spacing w:after="0" w:line="257" w:lineRule="auto"/>
        <w:tabs>
          <w:tab w:leader="none" w:pos="136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Equitable Adjustments to Prices</w:t>
      </w:r>
      <w:r>
        <w:rPr>
          <w:rFonts w:ascii="Times New Roman" w:cs="Times New Roman" w:eastAsia="Times New Roman" w:hAnsi="Times New Roman"/>
          <w:sz w:val="18"/>
          <w:szCs w:val="18"/>
          <w:color w:val="auto"/>
        </w:rPr>
        <w:t>. Whenever any provision of this Indenture requires the Company to calculate the average of the Last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Reported Sale Prices, or any function thereof, over a period of multiple days (including to calculate the Share Price or an adjustment to the Conversion Rate), or to calculate Daily VWAPs over an Observation Period, the Company will make appropriate adjustments, if any, to such calculations to account for any adjustment to the Conversion Rate pursuant to </w:t>
      </w:r>
      <w:r>
        <w:rPr>
          <w:rFonts w:ascii="Times New Roman" w:cs="Times New Roman" w:eastAsia="Times New Roman" w:hAnsi="Times New Roman"/>
          <w:sz w:val="18"/>
          <w:szCs w:val="18"/>
          <w:b w:val="1"/>
          <w:bCs w:val="1"/>
          <w:color w:val="auto"/>
        </w:rPr>
        <w:t>Section 5.05(A)</w:t>
      </w:r>
      <w:r>
        <w:rPr>
          <w:rFonts w:ascii="Times New Roman" w:cs="Times New Roman" w:eastAsia="Times New Roman" w:hAnsi="Times New Roman"/>
          <w:sz w:val="18"/>
          <w:szCs w:val="18"/>
          <w:color w:val="auto"/>
        </w:rPr>
        <w:t xml:space="preserve"> that becomes effective, or any event requiring such an adjustment to the Conversion Rate where the Ex-Dividend Date, Effective Date or Expiration Date, as applicable, of such event occurs, at any time during such period or Observation Period, as applicable.</w:t>
      </w:r>
    </w:p>
    <w:p>
      <w:pPr>
        <w:spacing w:after="0" w:line="180" w:lineRule="exact"/>
        <w:rPr>
          <w:rFonts w:ascii="Times New Roman" w:cs="Times New Roman" w:eastAsia="Times New Roman" w:hAnsi="Times New Roman"/>
          <w:sz w:val="18"/>
          <w:szCs w:val="18"/>
          <w:color w:val="auto"/>
        </w:rPr>
      </w:pPr>
    </w:p>
    <w:p>
      <w:pPr>
        <w:jc w:val="both"/>
        <w:ind w:firstLine="656"/>
        <w:spacing w:after="0" w:line="268" w:lineRule="auto"/>
        <w:tabs>
          <w:tab w:leader="none" w:pos="131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Calculation of Number of Outstanding Ordinary Shares</w:t>
      </w:r>
      <w:r>
        <w:rPr>
          <w:rFonts w:ascii="Times New Roman" w:cs="Times New Roman" w:eastAsia="Times New Roman" w:hAnsi="Times New Roman"/>
          <w:sz w:val="18"/>
          <w:szCs w:val="18"/>
          <w:color w:val="auto"/>
        </w:rPr>
        <w:t>. For purposes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5.05(A)</w:t>
      </w:r>
      <w:r>
        <w:rPr>
          <w:rFonts w:ascii="Times New Roman" w:cs="Times New Roman" w:eastAsia="Times New Roman" w:hAnsi="Times New Roman"/>
          <w:sz w:val="18"/>
          <w:szCs w:val="18"/>
          <w:color w:val="auto"/>
        </w:rPr>
        <w:t>, the number of Ordinary Shares outstanding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time will (i) include shares issuable in respect of scrip certificates issued in lieu of fractions of Ordinary Shares; and (ii) exclude Ordinary Shares held in the Company’s treasury (unless the Company pays any dividend or makes any distribution on Ordinary Shares held in its treasury).</w:t>
      </w:r>
    </w:p>
    <w:p>
      <w:pPr>
        <w:spacing w:after="0" w:line="172" w:lineRule="exact"/>
        <w:rPr>
          <w:rFonts w:ascii="Times New Roman" w:cs="Times New Roman" w:eastAsia="Times New Roman" w:hAnsi="Times New Roman"/>
          <w:sz w:val="18"/>
          <w:szCs w:val="18"/>
          <w:color w:val="auto"/>
        </w:rPr>
      </w:pPr>
    </w:p>
    <w:p>
      <w:pPr>
        <w:ind w:firstLine="656"/>
        <w:spacing w:after="0" w:line="284" w:lineRule="auto"/>
        <w:tabs>
          <w:tab w:leader="none" w:pos="135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Calculations</w:t>
      </w:r>
      <w:r>
        <w:rPr>
          <w:rFonts w:ascii="Times New Roman" w:cs="Times New Roman" w:eastAsia="Times New Roman" w:hAnsi="Times New Roman"/>
          <w:sz w:val="18"/>
          <w:szCs w:val="18"/>
          <w:color w:val="auto"/>
        </w:rPr>
        <w:t>. All calculations with respect to the Conversion Rate and adjustments thereto will be made to the nearest 1/10,000th of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Share (with 5/100,000ths rounded upward).</w:t>
      </w:r>
    </w:p>
    <w:p>
      <w:pPr>
        <w:spacing w:after="0" w:line="156" w:lineRule="exact"/>
        <w:rPr>
          <w:rFonts w:ascii="Times New Roman" w:cs="Times New Roman" w:eastAsia="Times New Roman" w:hAnsi="Times New Roman"/>
          <w:sz w:val="18"/>
          <w:szCs w:val="18"/>
          <w:color w:val="auto"/>
        </w:rPr>
      </w:pPr>
    </w:p>
    <w:p>
      <w:pPr>
        <w:jc w:val="both"/>
        <w:ind w:firstLine="656"/>
        <w:spacing w:after="0" w:line="262" w:lineRule="auto"/>
        <w:tabs>
          <w:tab w:leader="none" w:pos="1212"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 of Conversion Rate Adjustments</w:t>
      </w:r>
      <w:r>
        <w:rPr>
          <w:rFonts w:ascii="Times New Roman" w:cs="Times New Roman" w:eastAsia="Times New Roman" w:hAnsi="Times New Roman"/>
          <w:sz w:val="18"/>
          <w:szCs w:val="18"/>
          <w:color w:val="auto"/>
        </w:rPr>
        <w:t>. Upon the effectiveness of any adjustment to the Conversion Rate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5.05(A)</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will promptly send notice to the Holders, the Trustee and the Conversion Agent containing (i) a brief description of the transaction or other event on account of which such adjustment was made; (ii) the Conversion Rate in effect immediately after such adjustment; and (iii) the effective time of such adjustment.</w:t>
      </w:r>
    </w:p>
    <w:p>
      <w:pPr>
        <w:spacing w:after="0" w:line="176"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5.06.</w:t>
        <w:tab/>
        <w:t>V</w:t>
      </w:r>
      <w:r>
        <w:rPr>
          <w:rFonts w:ascii="Times New Roman" w:cs="Times New Roman" w:eastAsia="Times New Roman" w:hAnsi="Times New Roman"/>
          <w:sz w:val="12"/>
          <w:szCs w:val="12"/>
          <w:b w:val="1"/>
          <w:bCs w:val="1"/>
          <w:color w:val="auto"/>
        </w:rPr>
        <w:t>oluntary</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djustments</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jc w:val="both"/>
        <w:ind w:firstLine="656"/>
        <w:spacing w:after="0" w:line="258" w:lineRule="auto"/>
        <w:tabs>
          <w:tab w:leader="none" w:pos="128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To the extent permitted by law and applicable stock exchange rules, the Company, from time to time, may (but is not required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increase the Conversion Rate by any amount if (i) the Board of Directors determines that such increase is either (x) in the best interest of the Company; or (y) advisable to avoid or diminish any income tax imposed on holders of Ordinary Shares or rights to purchase Ordinary Shares as a result of any dividend or distribution of Ordinary Shares (or rights to acquire Ordinary Shares) or any similar event; (ii) such increase is in effect for a period of at least twenty (20) Business Days; and (iii) such increase is irrevocable during such period.</w:t>
      </w:r>
    </w:p>
    <w:p>
      <w:pPr>
        <w:spacing w:after="0" w:line="356"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1"/>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5" w:name="page76"/>
    <w:bookmarkEnd w:id="75"/>
    <w:p>
      <w:pPr>
        <w:jc w:val="both"/>
        <w:ind w:firstLine="656"/>
        <w:spacing w:after="0" w:line="268" w:lineRule="auto"/>
        <w:tabs>
          <w:tab w:leader="none" w:pos="1293"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 of Voluntary Increases</w:t>
      </w:r>
      <w:r>
        <w:rPr>
          <w:rFonts w:ascii="Times New Roman" w:cs="Times New Roman" w:eastAsia="Times New Roman" w:hAnsi="Times New Roman"/>
          <w:sz w:val="18"/>
          <w:szCs w:val="18"/>
          <w:color w:val="auto"/>
        </w:rPr>
        <w:t>. If the Board of Directors determines to increase the Conversion Rate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5.06(A)</w:t>
      </w:r>
      <w:r>
        <w:rPr>
          <w:rFonts w:ascii="Times New Roman" w:cs="Times New Roman" w:eastAsia="Times New Roman" w:hAnsi="Times New Roman"/>
          <w:sz w:val="18"/>
          <w:szCs w:val="18"/>
          <w:color w:val="auto"/>
        </w:rPr>
        <w:t>, then,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later than the first Business Day of the related twenty (20) Business Day period referred to in </w:t>
      </w:r>
      <w:r>
        <w:rPr>
          <w:rFonts w:ascii="Times New Roman" w:cs="Times New Roman" w:eastAsia="Times New Roman" w:hAnsi="Times New Roman"/>
          <w:sz w:val="18"/>
          <w:szCs w:val="18"/>
          <w:b w:val="1"/>
          <w:bCs w:val="1"/>
          <w:color w:val="auto"/>
        </w:rPr>
        <w:t>Section 5.06(A)</w:t>
      </w:r>
      <w:r>
        <w:rPr>
          <w:rFonts w:ascii="Times New Roman" w:cs="Times New Roman" w:eastAsia="Times New Roman" w:hAnsi="Times New Roman"/>
          <w:sz w:val="18"/>
          <w:szCs w:val="18"/>
          <w:color w:val="auto"/>
        </w:rPr>
        <w:t>, the Company will send notice to each Holder, the Trustee and the Conversion Agent of such increase, the amount thereof and the period during which such increase will be in effect.</w:t>
      </w:r>
    </w:p>
    <w:p>
      <w:pPr>
        <w:spacing w:after="0" w:line="171"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5.07.</w:t>
        <w:tab/>
        <w:t>A</w:t>
      </w:r>
      <w:r>
        <w:rPr>
          <w:rFonts w:ascii="Times New Roman" w:cs="Times New Roman" w:eastAsia="Times New Roman" w:hAnsi="Times New Roman"/>
          <w:sz w:val="12"/>
          <w:szCs w:val="12"/>
          <w:b w:val="1"/>
          <w:bCs w:val="1"/>
          <w:color w:val="auto"/>
        </w:rPr>
        <w:t>djustments to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onversion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ate in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onnection with a</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ake</w:t>
      </w: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hole</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undamental</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hange</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jc w:val="both"/>
        <w:ind w:firstLine="656"/>
        <w:spacing w:after="0" w:line="261" w:lineRule="auto"/>
        <w:tabs>
          <w:tab w:leader="none" w:pos="123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If a Make-Whole Fundamental Change occurs and the Conversion Date for the Conversion of a Note occurs during the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Make-Whole Fundamental Change Conversion Period, then, subject to this </w:t>
      </w:r>
      <w:r>
        <w:rPr>
          <w:rFonts w:ascii="Times New Roman" w:cs="Times New Roman" w:eastAsia="Times New Roman" w:hAnsi="Times New Roman"/>
          <w:sz w:val="18"/>
          <w:szCs w:val="18"/>
          <w:b w:val="1"/>
          <w:bCs w:val="1"/>
          <w:color w:val="auto"/>
        </w:rPr>
        <w:t>Section 5.07</w:t>
      </w:r>
      <w:r>
        <w:rPr>
          <w:rFonts w:ascii="Times New Roman" w:cs="Times New Roman" w:eastAsia="Times New Roman" w:hAnsi="Times New Roman"/>
          <w:sz w:val="18"/>
          <w:szCs w:val="18"/>
          <w:color w:val="auto"/>
        </w:rPr>
        <w:t>, the Conversion Rate applicable to such Conversion will be increased by a number of shares (the “</w:t>
      </w:r>
      <w:r>
        <w:rPr>
          <w:rFonts w:ascii="Times New Roman" w:cs="Times New Roman" w:eastAsia="Times New Roman" w:hAnsi="Times New Roman"/>
          <w:sz w:val="18"/>
          <w:szCs w:val="18"/>
          <w:b w:val="1"/>
          <w:bCs w:val="1"/>
          <w:color w:val="auto"/>
        </w:rPr>
        <w:t>Additional Shares</w:t>
      </w:r>
      <w:r>
        <w:rPr>
          <w:rFonts w:ascii="Times New Roman" w:cs="Times New Roman" w:eastAsia="Times New Roman" w:hAnsi="Times New Roman"/>
          <w:sz w:val="18"/>
          <w:szCs w:val="18"/>
          <w:color w:val="auto"/>
        </w:rPr>
        <w:t>”) set forth in the table below corresponding (after interpolation as provided in, and subject to, the provisions below) to the Make-Whole Fundamental Change Effective Date and the Share Price of such Make-Whole Fundamental Change: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Make-Whole</w:t>
            </w:r>
          </w:p>
        </w:tc>
        <w:tc>
          <w:tcPr>
            <w:tcW w:w="9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Share Price</w:t>
            </w:r>
          </w:p>
        </w:tc>
        <w:tc>
          <w:tcPr>
            <w:tcW w:w="8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138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Fundamental</w:t>
            </w: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 Effective</w:t>
            </w:r>
          </w:p>
        </w:tc>
        <w:tc>
          <w:tcPr>
            <w:tcW w:w="9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$55.15</w:t>
            </w: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Date</w:t>
            </w:r>
          </w:p>
        </w:tc>
        <w:tc>
          <w:tcPr>
            <w:tcW w:w="90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$63.00</w:t>
            </w:r>
          </w:p>
        </w:tc>
        <w:tc>
          <w:tcPr>
            <w:tcW w:w="9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$73.07</w:t>
            </w:r>
          </w:p>
        </w:tc>
        <w:tc>
          <w:tcPr>
            <w:tcW w:w="8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$84.00</w:t>
            </w: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$95.00</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$120.00</w:t>
            </w:r>
          </w:p>
        </w:tc>
        <w:tc>
          <w:tcPr>
            <w:tcW w:w="8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$150.00</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$200.00</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$300.00</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$450.00</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$600.00</w:t>
            </w:r>
          </w:p>
        </w:tc>
        <w:tc>
          <w:tcPr>
            <w:tcW w:w="0" w:type="dxa"/>
            <w:vAlign w:val="bottom"/>
          </w:tcPr>
          <w:p>
            <w:pPr>
              <w:spacing w:after="0"/>
              <w:rPr>
                <w:sz w:val="1"/>
                <w:szCs w:val="1"/>
                <w:color w:val="auto"/>
              </w:rPr>
            </w:pPr>
          </w:p>
        </w:tc>
      </w:tr>
      <w:tr>
        <w:trPr>
          <w:trHeight w:val="210"/>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14, 2026</w:t>
            </w: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4.4475</w:t>
            </w:r>
          </w:p>
        </w:tc>
        <w:tc>
          <w:tcPr>
            <w:tcW w:w="8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3.6278</w:t>
            </w: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2.8703</w:t>
            </w:r>
          </w:p>
        </w:tc>
        <w:tc>
          <w:tcPr>
            <w:tcW w:w="8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2.2851</w:t>
            </w: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1.8554</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1.2228</w:t>
            </w:r>
          </w:p>
        </w:tc>
        <w:tc>
          <w:tcPr>
            <w:tcW w:w="8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0.7944</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0.4261</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0.1416</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0.0230</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0.0000</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December 1, 2026</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4.4475</w:t>
            </w: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3.6278</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2.8703</w:t>
            </w: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2.2851</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1.8554</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1.2228</w:t>
            </w:r>
          </w:p>
        </w:tc>
        <w:tc>
          <w:tcPr>
            <w:tcW w:w="8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0.7944</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0.4225</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0.1382</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0.0217</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0.0000</w:t>
            </w: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 2027</w:t>
            </w: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4.4475</w:t>
            </w:r>
          </w:p>
        </w:tc>
        <w:tc>
          <w:tcPr>
            <w:tcW w:w="8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3.6278</w:t>
            </w: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2.8703</w:t>
            </w:r>
          </w:p>
        </w:tc>
        <w:tc>
          <w:tcPr>
            <w:tcW w:w="8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2.2851</w:t>
            </w: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1.8554</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1.2228</w:t>
            </w:r>
          </w:p>
        </w:tc>
        <w:tc>
          <w:tcPr>
            <w:tcW w:w="8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0.7838</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0.4068</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0.1270</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0.0179</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0.0000</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December 1, 2028</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4.4475</w:t>
            </w: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3.6278</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2.8703</w:t>
            </w: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2.2851</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1.8554</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1.2070</w:t>
            </w:r>
          </w:p>
        </w:tc>
        <w:tc>
          <w:tcPr>
            <w:tcW w:w="8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0.7493</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0.3754</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0.1088</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0.0119</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0.0000</w:t>
            </w: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 2029</w:t>
            </w: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4.4475</w:t>
            </w:r>
          </w:p>
        </w:tc>
        <w:tc>
          <w:tcPr>
            <w:tcW w:w="8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3.6278</w:t>
            </w: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2.8703</w:t>
            </w:r>
          </w:p>
        </w:tc>
        <w:tc>
          <w:tcPr>
            <w:tcW w:w="8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2.2851</w:t>
            </w: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1.8554</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1.1359</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0.6811</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0.3232</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0.0831</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0.0052</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0.0000</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December 1, 2030</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4.4475</w:t>
            </w: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3.6278</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2.8703</w:t>
            </w: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2.2493</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1.7214</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1.0013</w:t>
            </w:r>
          </w:p>
        </w:tc>
        <w:tc>
          <w:tcPr>
            <w:tcW w:w="8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0.5679</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0.2473</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0.0524</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0.0012</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0.0000</w:t>
            </w: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 2031</w:t>
            </w: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4.4475</w:t>
            </w:r>
          </w:p>
        </w:tc>
        <w:tc>
          <w:tcPr>
            <w:tcW w:w="8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3.6278</w:t>
            </w: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2.7866</w:t>
            </w:r>
          </w:p>
        </w:tc>
        <w:tc>
          <w:tcPr>
            <w:tcW w:w="8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1.9982</w:t>
            </w: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1.4664</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0.7802</w:t>
            </w:r>
          </w:p>
        </w:tc>
        <w:tc>
          <w:tcPr>
            <w:tcW w:w="8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0.4013</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0.1498</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0.0207</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0.0000</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0.0000</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December 1, 2032</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4.4475</w:t>
            </w: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3.4560</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2.2504</w:t>
            </w: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1.4533</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0.9641</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0.4180</w:t>
            </w:r>
          </w:p>
        </w:tc>
        <w:tc>
          <w:tcPr>
            <w:tcW w:w="8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0.1743</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0.0464</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0.0009</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0.0000</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0.0000</w:t>
            </w: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 2033</w:t>
            </w: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4.4475</w:t>
            </w:r>
          </w:p>
        </w:tc>
        <w:tc>
          <w:tcPr>
            <w:tcW w:w="8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2.1883</w:t>
            </w: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0.0000</w:t>
            </w:r>
          </w:p>
        </w:tc>
        <w:tc>
          <w:tcPr>
            <w:tcW w:w="8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0.0000</w:t>
            </w: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0.0000</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0.0000</w:t>
            </w:r>
          </w:p>
        </w:tc>
        <w:tc>
          <w:tcPr>
            <w:tcW w:w="8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0.0000</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0.0000</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0.0000</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0.0000</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0.0000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such Make-Whole Fundamental Change Effective Date or Share Price is not set forth in the table above, then:</w:t>
      </w:r>
    </w:p>
    <w:p>
      <w:pPr>
        <w:spacing w:after="0" w:line="225" w:lineRule="exact"/>
        <w:rPr>
          <w:sz w:val="20"/>
          <w:szCs w:val="20"/>
          <w:color w:val="auto"/>
        </w:rPr>
      </w:pPr>
    </w:p>
    <w:p>
      <w:pPr>
        <w:jc w:val="both"/>
        <w:ind w:left="660" w:firstLine="644"/>
        <w:spacing w:after="0" w:line="261" w:lineRule="auto"/>
        <w:tabs>
          <w:tab w:leader="none" w:pos="2022"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Share Price is between two Share Prices in the table above or the Make-Whole Fundamental Change Effective Date is between two dates in the table above, then the number of Additional Shares will be determined by straight-line interpolation between the numbers of Additional Shares set forth for the higher and lower Share Prices in the table above or the earlier and later dates in the table above, based on a 365- or 366-day year, as applicable; and</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87"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Share Price is greater than $600.00 (subject to adjustment in the same manner as the Share Prices set forth in the column headings of the table above are adjusted pursuant to </w:t>
      </w:r>
      <w:r>
        <w:rPr>
          <w:rFonts w:ascii="Times New Roman" w:cs="Times New Roman" w:eastAsia="Times New Roman" w:hAnsi="Times New Roman"/>
          <w:sz w:val="18"/>
          <w:szCs w:val="18"/>
          <w:b w:val="1"/>
          <w:bCs w:val="1"/>
          <w:color w:val="auto"/>
        </w:rPr>
        <w:t>Section 5.07(B)</w:t>
      </w:r>
      <w:r>
        <w:rPr>
          <w:rFonts w:ascii="Times New Roman" w:cs="Times New Roman" w:eastAsia="Times New Roman" w:hAnsi="Times New Roman"/>
          <w:sz w:val="18"/>
          <w:szCs w:val="18"/>
          <w:color w:val="auto"/>
        </w:rPr>
        <w:t>), or less than $55.15 (subject to adjustment in the same manner), per share, then no Additional Shares will be added to the Conversion Rate.</w:t>
      </w:r>
    </w:p>
    <w:p>
      <w:pPr>
        <w:spacing w:after="0" w:line="346"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1"/>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6" w:name="page77"/>
    <w:bookmarkEnd w:id="7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this Indenture or the Notes, in no event will the Conversion Rate be increased to an amount that exceeds 18.1323 Ordinary Shares per $1,000 principal amount of Notes, which amount is subject to adjustment in the same manner as, and at the same time and for the same events for which, the Conversion Rate is required to be adjusted pursuant to </w:t>
      </w:r>
      <w:r>
        <w:rPr>
          <w:rFonts w:ascii="Times New Roman" w:cs="Times New Roman" w:eastAsia="Times New Roman" w:hAnsi="Times New Roman"/>
          <w:sz w:val="18"/>
          <w:szCs w:val="18"/>
          <w:b w:val="1"/>
          <w:bCs w:val="1"/>
          <w:color w:val="auto"/>
        </w:rPr>
        <w:t>Section 5.05(A)</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For the avoidance of doubt, but subject to </w:t>
      </w:r>
      <w:r>
        <w:rPr>
          <w:rFonts w:ascii="Times New Roman" w:cs="Times New Roman" w:eastAsia="Times New Roman" w:hAnsi="Times New Roman"/>
          <w:sz w:val="18"/>
          <w:szCs w:val="18"/>
          <w:b w:val="1"/>
          <w:bCs w:val="1"/>
          <w:color w:val="auto"/>
        </w:rPr>
        <w:t>Section 4.03(K)</w:t>
      </w:r>
      <w:r>
        <w:rPr>
          <w:rFonts w:ascii="Times New Roman" w:cs="Times New Roman" w:eastAsia="Times New Roman" w:hAnsi="Times New Roman"/>
          <w:sz w:val="18"/>
          <w:szCs w:val="18"/>
          <w:color w:val="auto"/>
        </w:rPr>
        <w:t xml:space="preserve">, (x) the sending of a Redemption Notice for a Provisional Redemption will constitute a Make-Whole Fundamental Change only with respect to the Notes called for Provisional Redemption pursuant to such Redemption Notice, and not with respect to any other Notes; and (y) the Conversion Rate applicable to the Notes not so called for Provisional Redemption will not be subject to increase pursuant to this </w:t>
      </w:r>
      <w:r>
        <w:rPr>
          <w:rFonts w:ascii="Times New Roman" w:cs="Times New Roman" w:eastAsia="Times New Roman" w:hAnsi="Times New Roman"/>
          <w:sz w:val="18"/>
          <w:szCs w:val="18"/>
          <w:b w:val="1"/>
          <w:bCs w:val="1"/>
          <w:color w:val="auto"/>
        </w:rPr>
        <w:t>Section 5.07</w:t>
      </w:r>
      <w:r>
        <w:rPr>
          <w:rFonts w:ascii="Times New Roman" w:cs="Times New Roman" w:eastAsia="Times New Roman" w:hAnsi="Times New Roman"/>
          <w:sz w:val="18"/>
          <w:szCs w:val="18"/>
          <w:color w:val="auto"/>
        </w:rPr>
        <w:t xml:space="preserve"> on account of such Redemption Notice.</w:t>
      </w:r>
    </w:p>
    <w:p>
      <w:pPr>
        <w:spacing w:after="0" w:line="178" w:lineRule="exact"/>
        <w:rPr>
          <w:sz w:val="20"/>
          <w:szCs w:val="20"/>
          <w:color w:val="auto"/>
        </w:rPr>
      </w:pPr>
    </w:p>
    <w:p>
      <w:pPr>
        <w:jc w:val="both"/>
        <w:ind w:firstLine="656"/>
        <w:spacing w:after="0" w:line="261" w:lineRule="auto"/>
        <w:tabs>
          <w:tab w:leader="none" w:pos="1243"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Adjustment of Share Prices and Number of Additional Shares</w:t>
      </w:r>
      <w:r>
        <w:rPr>
          <w:rFonts w:ascii="Times New Roman" w:cs="Times New Roman" w:eastAsia="Times New Roman" w:hAnsi="Times New Roman"/>
          <w:sz w:val="18"/>
          <w:szCs w:val="18"/>
          <w:color w:val="auto"/>
        </w:rPr>
        <w:t>. The Share Prices in the first row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column headers) of the table 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forth in </w:t>
      </w:r>
      <w:r>
        <w:rPr>
          <w:rFonts w:ascii="Times New Roman" w:cs="Times New Roman" w:eastAsia="Times New Roman" w:hAnsi="Times New Roman"/>
          <w:sz w:val="18"/>
          <w:szCs w:val="18"/>
          <w:b w:val="1"/>
          <w:bCs w:val="1"/>
          <w:color w:val="auto"/>
        </w:rPr>
        <w:t>Section 5.07(A)</w:t>
      </w:r>
      <w:r>
        <w:rPr>
          <w:rFonts w:ascii="Times New Roman" w:cs="Times New Roman" w:eastAsia="Times New Roman" w:hAnsi="Times New Roman"/>
          <w:sz w:val="18"/>
          <w:szCs w:val="18"/>
          <w:color w:val="auto"/>
        </w:rPr>
        <w:t xml:space="preserve"> will be adjusted in the same manner as, and at the same time and for the same events for which, the Conversion Price is adjusted as a result of the operation of </w:t>
      </w:r>
      <w:r>
        <w:rPr>
          <w:rFonts w:ascii="Times New Roman" w:cs="Times New Roman" w:eastAsia="Times New Roman" w:hAnsi="Times New Roman"/>
          <w:sz w:val="18"/>
          <w:szCs w:val="18"/>
          <w:b w:val="1"/>
          <w:bCs w:val="1"/>
          <w:color w:val="auto"/>
        </w:rPr>
        <w:t>Section 5.05(A)</w:t>
      </w:r>
      <w:r>
        <w:rPr>
          <w:rFonts w:ascii="Times New Roman" w:cs="Times New Roman" w:eastAsia="Times New Roman" w:hAnsi="Times New Roman"/>
          <w:sz w:val="18"/>
          <w:szCs w:val="18"/>
          <w:color w:val="auto"/>
        </w:rPr>
        <w:t xml:space="preserve">. The numbers of Additional Shares in the table set forth in </w:t>
      </w:r>
      <w:r>
        <w:rPr>
          <w:rFonts w:ascii="Times New Roman" w:cs="Times New Roman" w:eastAsia="Times New Roman" w:hAnsi="Times New Roman"/>
          <w:sz w:val="18"/>
          <w:szCs w:val="18"/>
          <w:b w:val="1"/>
          <w:bCs w:val="1"/>
          <w:color w:val="auto"/>
        </w:rPr>
        <w:t>Section 5.07(A)</w:t>
      </w:r>
      <w:r>
        <w:rPr>
          <w:rFonts w:ascii="Times New Roman" w:cs="Times New Roman" w:eastAsia="Times New Roman" w:hAnsi="Times New Roman"/>
          <w:sz w:val="18"/>
          <w:szCs w:val="18"/>
          <w:color w:val="auto"/>
        </w:rPr>
        <w:t xml:space="preserve"> will be adjusted in the same manner as, and at the same time and for the same events for which, the Conversion Rate is adjusted pursuant to </w:t>
      </w:r>
      <w:r>
        <w:rPr>
          <w:rFonts w:ascii="Times New Roman" w:cs="Times New Roman" w:eastAsia="Times New Roman" w:hAnsi="Times New Roman"/>
          <w:sz w:val="18"/>
          <w:szCs w:val="18"/>
          <w:b w:val="1"/>
          <w:bCs w:val="1"/>
          <w:color w:val="auto"/>
        </w:rPr>
        <w:t>Section 5.05(A)</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firstLine="656"/>
        <w:spacing w:after="0" w:line="267" w:lineRule="auto"/>
        <w:tabs>
          <w:tab w:leader="none" w:pos="128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 of the Occurrence of a Make-Whole Fundamental Change</w:t>
      </w:r>
      <w:r>
        <w:rPr>
          <w:rFonts w:ascii="Times New Roman" w:cs="Times New Roman" w:eastAsia="Times New Roman" w:hAnsi="Times New Roman"/>
          <w:sz w:val="18"/>
          <w:szCs w:val="18"/>
          <w:color w:val="auto"/>
        </w:rPr>
        <w:t>. The Company will notify the Holders, the Trustee and the Conversion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Agent of each Make-Whole Fundamental Change (i) occurring pursuant to </w:t>
      </w:r>
      <w:r>
        <w:rPr>
          <w:rFonts w:ascii="Times New Roman" w:cs="Times New Roman" w:eastAsia="Times New Roman" w:hAnsi="Times New Roman"/>
          <w:sz w:val="18"/>
          <w:szCs w:val="18"/>
          <w:b w:val="1"/>
          <w:bCs w:val="1"/>
          <w:color w:val="auto"/>
        </w:rPr>
        <w:t>clause (A)</w:t>
      </w:r>
      <w:r>
        <w:rPr>
          <w:rFonts w:ascii="Times New Roman" w:cs="Times New Roman" w:eastAsia="Times New Roman" w:hAnsi="Times New Roman"/>
          <w:sz w:val="18"/>
          <w:szCs w:val="18"/>
          <w:color w:val="auto"/>
        </w:rPr>
        <w:t xml:space="preserve"> of the definition thereof in accordance with </w:t>
      </w:r>
      <w:r>
        <w:rPr>
          <w:rFonts w:ascii="Times New Roman" w:cs="Times New Roman" w:eastAsia="Times New Roman" w:hAnsi="Times New Roman"/>
          <w:sz w:val="18"/>
          <w:szCs w:val="18"/>
          <w:b w:val="1"/>
          <w:bCs w:val="1"/>
          <w:color w:val="auto"/>
        </w:rPr>
        <w:t>Section 5.01(C)(i)(3)(b)</w:t>
      </w:r>
      <w:r>
        <w:rPr>
          <w:rFonts w:ascii="Times New Roman" w:cs="Times New Roman" w:eastAsia="Times New Roman" w:hAnsi="Times New Roman"/>
          <w:sz w:val="18"/>
          <w:szCs w:val="18"/>
          <w:color w:val="auto"/>
        </w:rPr>
        <w:t xml:space="preserve">; and (ii) occurring pursuant to </w:t>
      </w:r>
      <w:r>
        <w:rPr>
          <w:rFonts w:ascii="Times New Roman" w:cs="Times New Roman" w:eastAsia="Times New Roman" w:hAnsi="Times New Roman"/>
          <w:sz w:val="18"/>
          <w:szCs w:val="18"/>
          <w:b w:val="1"/>
          <w:bCs w:val="1"/>
          <w:color w:val="auto"/>
        </w:rPr>
        <w:t>clause (B)</w:t>
      </w:r>
      <w:r>
        <w:rPr>
          <w:rFonts w:ascii="Times New Roman" w:cs="Times New Roman" w:eastAsia="Times New Roman" w:hAnsi="Times New Roman"/>
          <w:sz w:val="18"/>
          <w:szCs w:val="18"/>
          <w:color w:val="auto"/>
        </w:rPr>
        <w:t xml:space="preserve"> of the definition thereof in accordance with </w:t>
      </w:r>
      <w:r>
        <w:rPr>
          <w:rFonts w:ascii="Times New Roman" w:cs="Times New Roman" w:eastAsia="Times New Roman" w:hAnsi="Times New Roman"/>
          <w:sz w:val="18"/>
          <w:szCs w:val="18"/>
          <w:b w:val="1"/>
          <w:bCs w:val="1"/>
          <w:color w:val="auto"/>
        </w:rPr>
        <w:t>Section 4.03(G)</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5.08.</w:t>
        <w:tab/>
        <w:t>E</w:t>
      </w:r>
      <w:r>
        <w:rPr>
          <w:rFonts w:ascii="Times New Roman" w:cs="Times New Roman" w:eastAsia="Times New Roman" w:hAnsi="Times New Roman"/>
          <w:sz w:val="12"/>
          <w:szCs w:val="12"/>
          <w:b w:val="1"/>
          <w:bCs w:val="1"/>
          <w:color w:val="auto"/>
        </w:rPr>
        <w:t>xchange in</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ieu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onversion</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xml:space="preserve">, and subject to the terms of this </w:t>
      </w:r>
      <w:r>
        <w:rPr>
          <w:rFonts w:ascii="Times New Roman" w:cs="Times New Roman" w:eastAsia="Times New Roman" w:hAnsi="Times New Roman"/>
          <w:sz w:val="18"/>
          <w:szCs w:val="18"/>
          <w:b w:val="1"/>
          <w:bCs w:val="1"/>
          <w:color w:val="auto"/>
        </w:rPr>
        <w:t>Section 5.08</w:t>
      </w:r>
      <w:r>
        <w:rPr>
          <w:rFonts w:ascii="Times New Roman" w:cs="Times New Roman" w:eastAsia="Times New Roman" w:hAnsi="Times New Roman"/>
          <w:sz w:val="18"/>
          <w:szCs w:val="18"/>
          <w:color w:val="auto"/>
        </w:rPr>
        <w:t>, if a Note is submitted for Conversion, the Company may elect to arrange to have such Note exchanged in lieu of Conversion by a financial institution designated by the Company. To make such election, the Company must send notice of such election to the Holder of such Note, the Trustee and the Conversion Agent before the Close of Business on the Business Day immediately following the Conversion Date for such Note. If the Company has made such election, then:</w:t>
      </w:r>
    </w:p>
    <w:p>
      <w:pPr>
        <w:spacing w:after="0" w:line="180" w:lineRule="exact"/>
        <w:rPr>
          <w:sz w:val="20"/>
          <w:szCs w:val="20"/>
          <w:color w:val="auto"/>
        </w:rPr>
      </w:pPr>
    </w:p>
    <w:p>
      <w:pPr>
        <w:jc w:val="both"/>
        <w:ind w:firstLine="656"/>
        <w:spacing w:after="0" w:line="261" w:lineRule="auto"/>
        <w:tabs>
          <w:tab w:leader="none" w:pos="129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later than the Business Day immediately following such Conversion Date, the Company must deliver (or cause the Conversion Agent to deliver) such Note, together with delivery instructions for the Conversion Consideration due upon such Conversion (including wire instructions, if applicable), to a financial institution designated by the Company that has agreed to deliver such Conversion Consideration in the manner and at the time the Company would have had to deliver the same pursuant to this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128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Note is a Global Note, then (i) such designated institution will send written confirmation to the Conversion Agent promptly after wiring the cash Conversion Consideration, if any, and delivering any other Conversion Consideration, due upon such Conversion to the Holder of such Note; and (ii) the Conversion Agent will as soon as reasonably practicable thereafter contact such Holder’s custodian with the Depositary to confirm receipt of the same; and</w:t>
      </w:r>
    </w:p>
    <w:p>
      <w:pPr>
        <w:spacing w:after="0" w:line="350"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1"/>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ind w:left="1300" w:hanging="644"/>
        <w:spacing w:after="0"/>
        <w:tabs>
          <w:tab w:leader="none" w:pos="13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Note will not cease to be outstanding by reason of such exchange in lieu of Conversion;</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if such financial institution does not accept such Note or fails to timely deliver such Conversion Consideration, then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will be responsible for delivering such Conversion Consideration in the manner and at the time provided in this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xml:space="preserve"> as if the Company had not elected to make an exchange in lieu of Conversion.</w:t>
      </w:r>
    </w:p>
    <w:p>
      <w:pPr>
        <w:spacing w:after="0" w:line="171"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5.09.</w:t>
        <w:tab/>
        <w:t>E</w:t>
      </w:r>
      <w:r>
        <w:rPr>
          <w:rFonts w:ascii="Times New Roman" w:cs="Times New Roman" w:eastAsia="Times New Roman" w:hAnsi="Times New Roman"/>
          <w:sz w:val="12"/>
          <w:szCs w:val="12"/>
          <w:b w:val="1"/>
          <w:bCs w:val="1"/>
          <w:color w:val="auto"/>
        </w:rPr>
        <w:t>ffect of</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rdinary</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hare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hange</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vent</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ind w:left="1320" w:hanging="664"/>
        <w:spacing w:after="0"/>
        <w:tabs>
          <w:tab w:leader="none" w:pos="13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If there occurs any:</w:t>
      </w:r>
    </w:p>
    <w:p>
      <w:pPr>
        <w:spacing w:after="0" w:line="227"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82"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recapitalization, reclassification or change of the Ordinary Shares (other than (x) changes solely resulting from a subdivision or combination of the Ordinary Shares, (y) a change only in par value or from par value to no par value or no par value to par value and (z) share splits and share combinations that do not involve the issuance of any other series or class of securities);</w:t>
      </w:r>
    </w:p>
    <w:p>
      <w:pPr>
        <w:spacing w:after="0" w:line="175"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merger, combination or binding or statutory share exchange involving the Company;</w:t>
      </w:r>
    </w:p>
    <w:p>
      <w:pPr>
        <w:spacing w:after="0" w:line="225"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lease or other transfer of all or substantially all of the assets of the Company and its Subsidiaries, taken as a whole, to any</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 or</w:t>
      </w:r>
    </w:p>
    <w:p>
      <w:pPr>
        <w:spacing w:after="0" w:line="206"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928"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similar event, and, as a result of which, the Ordinary Shares are converted into, or are exchanged for, or represent solely the right to receive, other securities, cash or other property, or any combination of the foregoing (such an event, an “</w:t>
      </w:r>
      <w:r>
        <w:rPr>
          <w:rFonts w:ascii="Times New Roman" w:cs="Times New Roman" w:eastAsia="Times New Roman" w:hAnsi="Times New Roman"/>
          <w:sz w:val="18"/>
          <w:szCs w:val="18"/>
          <w:b w:val="1"/>
          <w:bCs w:val="1"/>
          <w:color w:val="auto"/>
        </w:rPr>
        <w:t>Ordinary Share Change Event</w:t>
      </w:r>
      <w:r>
        <w:rPr>
          <w:rFonts w:ascii="Times New Roman" w:cs="Times New Roman" w:eastAsia="Times New Roman" w:hAnsi="Times New Roman"/>
          <w:sz w:val="18"/>
          <w:szCs w:val="18"/>
          <w:color w:val="auto"/>
        </w:rPr>
        <w:t>,” and such other securities, cash or property, the “</w:t>
      </w:r>
      <w:r>
        <w:rPr>
          <w:rFonts w:ascii="Times New Roman" w:cs="Times New Roman" w:eastAsia="Times New Roman" w:hAnsi="Times New Roman"/>
          <w:sz w:val="18"/>
          <w:szCs w:val="18"/>
          <w:b w:val="1"/>
          <w:bCs w:val="1"/>
          <w:color w:val="auto"/>
        </w:rPr>
        <w:t>Reference Property</w:t>
      </w:r>
      <w:r>
        <w:rPr>
          <w:rFonts w:ascii="Times New Roman" w:cs="Times New Roman" w:eastAsia="Times New Roman" w:hAnsi="Times New Roman"/>
          <w:sz w:val="18"/>
          <w:szCs w:val="18"/>
          <w:color w:val="auto"/>
        </w:rPr>
        <w:t>,” and the amount and kind of Reference Property that a holder of one (1) Ordinary Share would be entitled to receive on account of such Ordinary Share Change Event (without giving effect to any arrangement not to issue or deliver a fractional portion of any security or other property), a “</w:t>
      </w:r>
      <w:r>
        <w:rPr>
          <w:rFonts w:ascii="Times New Roman" w:cs="Times New Roman" w:eastAsia="Times New Roman" w:hAnsi="Times New Roman"/>
          <w:sz w:val="18"/>
          <w:szCs w:val="18"/>
          <w:b w:val="1"/>
          <w:bCs w:val="1"/>
          <w:color w:val="auto"/>
        </w:rPr>
        <w:t>Reference Property Unit</w:t>
      </w:r>
      <w:r>
        <w:rPr>
          <w:rFonts w:ascii="Times New Roman" w:cs="Times New Roman" w:eastAsia="Times New Roman" w:hAnsi="Times New Roman"/>
          <w:sz w:val="18"/>
          <w:szCs w:val="18"/>
          <w:color w:val="auto"/>
        </w:rPr>
        <w:t>”), then, notwithstanding anything to the contrary in this Indenture or the Notes,</w:t>
      </w:r>
    </w:p>
    <w:p>
      <w:pPr>
        <w:spacing w:after="0" w:line="187" w:lineRule="exact"/>
        <w:rPr>
          <w:sz w:val="20"/>
          <w:szCs w:val="20"/>
          <w:color w:val="auto"/>
        </w:rPr>
      </w:pPr>
    </w:p>
    <w:p>
      <w:pPr>
        <w:jc w:val="both"/>
        <w:ind w:left="660" w:firstLine="644"/>
        <w:spacing w:after="0" w:line="255" w:lineRule="auto"/>
        <w:tabs>
          <w:tab w:leader="none" w:pos="197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effective time of such Ordinary Share Change Event, (I) the Conversion Consideration due upon Conversion of any Note, and the conditions to any such Conversion, will be determined in the same manner as if each reference to any number of Ordinary Shares in this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xml:space="preserve"> (or in any related definitions) were instead a reference to the same number of Reference Property Units; (II) for purposes of </w:t>
      </w:r>
      <w:r>
        <w:rPr>
          <w:rFonts w:ascii="Times New Roman" w:cs="Times New Roman" w:eastAsia="Times New Roman" w:hAnsi="Times New Roman"/>
          <w:sz w:val="18"/>
          <w:szCs w:val="18"/>
          <w:b w:val="1"/>
          <w:bCs w:val="1"/>
          <w:color w:val="auto"/>
        </w:rPr>
        <w:t>Section 4.03(B)</w:t>
      </w:r>
      <w:r>
        <w:rPr>
          <w:rFonts w:ascii="Times New Roman" w:cs="Times New Roman" w:eastAsia="Times New Roman" w:hAnsi="Times New Roman"/>
          <w:sz w:val="18"/>
          <w:szCs w:val="18"/>
          <w:color w:val="auto"/>
        </w:rPr>
        <w:t>, each reference to any number of Ordinary Shares in such Section (or in any related definitions) will instead be deemed to be a reference to the same number of Reference Property Units; and (III) for purposes of the definitions of “Fundamental Change” and “Make-Whole Fundamental Change,” references to “Ordinary Shares” and the Company’s “Common Equity” will be deemed to refer to the Common Equity (including depositary receipts representing Common Equity), if any, forming part of such Reference Property;</w:t>
      </w:r>
    </w:p>
    <w:p>
      <w:pPr>
        <w:spacing w:after="0" w:line="359"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1"/>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jc w:val="both"/>
        <w:ind w:left="660" w:firstLine="644"/>
        <w:spacing w:after="0" w:line="256" w:lineRule="auto"/>
        <w:tabs>
          <w:tab w:leader="none" w:pos="2089"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Reference Property Unit consists entirely of cash, then (I) each Conversion of any Note with a Conversion Date that occurs on or after the effective date of such Ordinary Share Change Event will be settled entirely in cash in an amount, per $1,000 principal amount of such Note being Converted, equal to the product of (x) the Conversion Rate in effect on such Conversion Date (including, for the avoidance of doubt, any increase to such Conversion Rate pursuant to </w:t>
      </w:r>
      <w:r>
        <w:rPr>
          <w:rFonts w:ascii="Times New Roman" w:cs="Times New Roman" w:eastAsia="Times New Roman" w:hAnsi="Times New Roman"/>
          <w:sz w:val="18"/>
          <w:szCs w:val="18"/>
          <w:b w:val="1"/>
          <w:bCs w:val="1"/>
          <w:color w:val="auto"/>
        </w:rPr>
        <w:t>Section 5.07</w:t>
      </w:r>
      <w:r>
        <w:rPr>
          <w:rFonts w:ascii="Times New Roman" w:cs="Times New Roman" w:eastAsia="Times New Roman" w:hAnsi="Times New Roman"/>
          <w:sz w:val="18"/>
          <w:szCs w:val="18"/>
          <w:color w:val="auto"/>
        </w:rPr>
        <w:t>, if applicable); and (y) the amount of cash constituting such Reference Property Unit; and (II) the Company will settle each such Conversion no later than the fifth (5th) Business Day after the relevant Conversion Date; and</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972"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these purposes, (I) the Daily VWAP of any Reference Property Unit or portion thereof that consists of a class of Common Equity securities will be determined by reference to the definition of “Daily VWAP,” substituting, if applicable, the Bloomberg page for such class of securities in such definition; and (II) the Daily VWAP of any Reference Property Unit or portion thereof that does not consist of a class of Common Equity securities, and the Last Reported Sale Price of any Reference Property Unit or portion thereof that does not consist of a class of securities, will be the fair value of such Reference Property Unit or portion thereof, as applicable, determined in good faith and in a commercially reasonable manner by the Company (or, in the case of cash denominated in U.S. dollars, the face amount thereof).</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Reference Property consists of more than a single type of consideration to be determined based in part upon any form of shareholder election, then the composition of the Reference Property Unit will be deemed to be the weighted average of the types and amounts of consideration actually received, per Ordinary Share, by the holders of Ordinary Shares. The Company will notify Holders, the Trustee and the Conversion Agent of such weighted average as soon as practicable after such determination is made.</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At or before the effective time of such Ordinary Share Change Event, the Company and the resulting, surviving or transferee Person (if not the Company) of such Ordinary Share Change Event (the “</w:t>
      </w:r>
      <w:r>
        <w:rPr>
          <w:rFonts w:ascii="Times New Roman" w:cs="Times New Roman" w:eastAsia="Times New Roman" w:hAnsi="Times New Roman"/>
          <w:sz w:val="18"/>
          <w:szCs w:val="18"/>
          <w:b w:val="1"/>
          <w:bCs w:val="1"/>
          <w:color w:val="auto"/>
        </w:rPr>
        <w:t>Successor Person</w:t>
      </w:r>
      <w:r>
        <w:rPr>
          <w:rFonts w:ascii="Times New Roman" w:cs="Times New Roman" w:eastAsia="Times New Roman" w:hAnsi="Times New Roman"/>
          <w:sz w:val="18"/>
          <w:szCs w:val="18"/>
          <w:color w:val="auto"/>
        </w:rPr>
        <w:t xml:space="preserve">”) will execute and deliver to the Trustee a supplemental indenture pursuant to </w:t>
      </w:r>
      <w:r>
        <w:rPr>
          <w:rFonts w:ascii="Times New Roman" w:cs="Times New Roman" w:eastAsia="Times New Roman" w:hAnsi="Times New Roman"/>
          <w:sz w:val="18"/>
          <w:szCs w:val="18"/>
          <w:b w:val="1"/>
          <w:bCs w:val="1"/>
          <w:color w:val="auto"/>
        </w:rPr>
        <w:t>Section 8.01(F)</w:t>
      </w:r>
      <w:r>
        <w:rPr>
          <w:rFonts w:ascii="Times New Roman" w:cs="Times New Roman" w:eastAsia="Times New Roman" w:hAnsi="Times New Roman"/>
          <w:sz w:val="18"/>
          <w:szCs w:val="18"/>
          <w:color w:val="auto"/>
        </w:rPr>
        <w:t>, which supplemental indenture will (x) provide for subsequent Conversions of Notes in the manner set forth in this</w:t>
      </w:r>
      <w:r>
        <w:rPr>
          <w:rFonts w:ascii="Times New Roman" w:cs="Times New Roman" w:eastAsia="Times New Roman" w:hAnsi="Times New Roman"/>
          <w:sz w:val="18"/>
          <w:szCs w:val="18"/>
          <w:b w:val="1"/>
          <w:bCs w:val="1"/>
          <w:color w:val="auto"/>
        </w:rPr>
        <w:t xml:space="preserve"> Section 5.09</w:t>
      </w:r>
      <w:r>
        <w:rPr>
          <w:rFonts w:ascii="Times New Roman" w:cs="Times New Roman" w:eastAsia="Times New Roman" w:hAnsi="Times New Roman"/>
          <w:sz w:val="18"/>
          <w:szCs w:val="18"/>
          <w:color w:val="auto"/>
        </w:rPr>
        <w:t>; (y)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provide for subsequent adjustments to the Conversion Rate pursuant to </w:t>
      </w:r>
      <w:r>
        <w:rPr>
          <w:rFonts w:ascii="Times New Roman" w:cs="Times New Roman" w:eastAsia="Times New Roman" w:hAnsi="Times New Roman"/>
          <w:sz w:val="18"/>
          <w:szCs w:val="18"/>
          <w:b w:val="1"/>
          <w:bCs w:val="1"/>
          <w:color w:val="auto"/>
        </w:rPr>
        <w:t>Section 5.05(A)</w:t>
      </w:r>
      <w:r>
        <w:rPr>
          <w:rFonts w:ascii="Times New Roman" w:cs="Times New Roman" w:eastAsia="Times New Roman" w:hAnsi="Times New Roman"/>
          <w:sz w:val="18"/>
          <w:szCs w:val="18"/>
          <w:color w:val="auto"/>
        </w:rPr>
        <w:t xml:space="preserve"> in a manner consistent with this </w:t>
      </w:r>
      <w:r>
        <w:rPr>
          <w:rFonts w:ascii="Times New Roman" w:cs="Times New Roman" w:eastAsia="Times New Roman" w:hAnsi="Times New Roman"/>
          <w:sz w:val="18"/>
          <w:szCs w:val="18"/>
          <w:b w:val="1"/>
          <w:bCs w:val="1"/>
          <w:color w:val="auto"/>
        </w:rPr>
        <w:t>Section 5.09</w:t>
      </w:r>
      <w:r>
        <w:rPr>
          <w:rFonts w:ascii="Times New Roman" w:cs="Times New Roman" w:eastAsia="Times New Roman" w:hAnsi="Times New Roman"/>
          <w:sz w:val="18"/>
          <w:szCs w:val="18"/>
          <w:color w:val="auto"/>
        </w:rPr>
        <w:t xml:space="preserve">; and (z) contain such other provisions, if any, that the Company reasonably determines are appropriate to preserve the economic interests of the Holders and to give effect to the provisions of this </w:t>
      </w:r>
      <w:r>
        <w:rPr>
          <w:rFonts w:ascii="Times New Roman" w:cs="Times New Roman" w:eastAsia="Times New Roman" w:hAnsi="Times New Roman"/>
          <w:sz w:val="18"/>
          <w:szCs w:val="18"/>
          <w:b w:val="1"/>
          <w:bCs w:val="1"/>
          <w:color w:val="auto"/>
        </w:rPr>
        <w:t>Section 5.09(A)</w:t>
      </w:r>
      <w:r>
        <w:rPr>
          <w:rFonts w:ascii="Times New Roman" w:cs="Times New Roman" w:eastAsia="Times New Roman" w:hAnsi="Times New Roman"/>
          <w:sz w:val="18"/>
          <w:szCs w:val="18"/>
          <w:color w:val="auto"/>
        </w:rPr>
        <w:t>. If the Reference Property includes shares of stock or other securities or assets (other than cash) of a Person other than the Successor Person, then such other Person will also execute such supplemental indenture and such supplemental indenture will contain such additional provisions, if any, that the Company reasonably determines are appropriate to preserve the economic interests of the Holders.</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avoidance of doubt, the conversion of any or all of the Company’s B Class shares into Ordinary Shares in one or more transactions will not constitute an Ordinary Share Change Event.</w:t>
      </w:r>
    </w:p>
    <w:p>
      <w:pPr>
        <w:spacing w:after="0" w:line="160" w:lineRule="exact"/>
        <w:rPr>
          <w:sz w:val="20"/>
          <w:szCs w:val="20"/>
          <w:color w:val="auto"/>
        </w:rPr>
      </w:pPr>
    </w:p>
    <w:p>
      <w:pPr>
        <w:ind w:firstLine="656"/>
        <w:spacing w:after="0" w:line="284" w:lineRule="auto"/>
        <w:tabs>
          <w:tab w:leader="none" w:pos="1261"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 of Ordinary Share Change Events</w:t>
      </w:r>
      <w:r>
        <w:rPr>
          <w:rFonts w:ascii="Times New Roman" w:cs="Times New Roman" w:eastAsia="Times New Roman" w:hAnsi="Times New Roman"/>
          <w:sz w:val="18"/>
          <w:szCs w:val="18"/>
          <w:color w:val="auto"/>
        </w:rPr>
        <w:t>. The Company will provide notice of each Ordinary Share Change Event to Holders, the Trustee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Conversion Agent no later than the Business Day after the effective date of such Ordinary Share Change Event.</w:t>
      </w:r>
    </w:p>
    <w:p>
      <w:pPr>
        <w:spacing w:after="0" w:line="331"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1"/>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ind w:left="1320" w:hanging="664"/>
        <w:spacing w:after="0"/>
        <w:tabs>
          <w:tab w:leader="none" w:pos="13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Covenant</w:t>
      </w:r>
      <w:r>
        <w:rPr>
          <w:rFonts w:ascii="Times New Roman" w:cs="Times New Roman" w:eastAsia="Times New Roman" w:hAnsi="Times New Roman"/>
          <w:sz w:val="18"/>
          <w:szCs w:val="18"/>
          <w:color w:val="auto"/>
        </w:rPr>
        <w:t>. The Company will not become a party to any Ordinary Share Change Event unless its terms are consistent with</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Section 5.09</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4460"/>
        <w:spacing w:after="0"/>
        <w:tabs>
          <w:tab w:leader="none" w:pos="5600" w:val="left"/>
        </w:tabs>
        <w:rPr>
          <w:sz w:val="20"/>
          <w:szCs w:val="20"/>
          <w:color w:val="auto"/>
        </w:rPr>
      </w:pPr>
      <w:r>
        <w:rPr>
          <w:rFonts w:ascii="Times New Roman" w:cs="Times New Roman" w:eastAsia="Times New Roman" w:hAnsi="Times New Roman"/>
          <w:sz w:val="18"/>
          <w:szCs w:val="18"/>
          <w:b w:val="1"/>
          <w:bCs w:val="1"/>
          <w:color w:val="auto"/>
        </w:rPr>
        <w:t>Article 6.</w:t>
      </w:r>
      <w:r>
        <w:rPr>
          <w:sz w:val="20"/>
          <w:szCs w:val="20"/>
          <w:color w:val="auto"/>
        </w:rPr>
        <w:tab/>
      </w:r>
      <w:r>
        <w:rPr>
          <w:rFonts w:ascii="Times New Roman" w:cs="Times New Roman" w:eastAsia="Times New Roman" w:hAnsi="Times New Roman"/>
          <w:sz w:val="17"/>
          <w:szCs w:val="17"/>
          <w:b w:val="1"/>
          <w:bCs w:val="1"/>
          <w:color w:val="auto"/>
        </w:rPr>
        <w:t>SUCCESSORS</w:t>
      </w:r>
    </w:p>
    <w:p>
      <w:pPr>
        <w:spacing w:after="0" w:line="22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6.01.</w:t>
        <w:tab/>
        <w:t>W</w:t>
      </w:r>
      <w:r>
        <w:rPr>
          <w:rFonts w:ascii="Times New Roman" w:cs="Times New Roman" w:eastAsia="Times New Roman" w:hAnsi="Times New Roman"/>
          <w:sz w:val="12"/>
          <w:szCs w:val="12"/>
          <w:b w:val="1"/>
          <w:bCs w:val="1"/>
          <w:color w:val="auto"/>
        </w:rPr>
        <w:t>hen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ompany</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ay</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erge</w:t>
      </w:r>
      <w:r>
        <w:rPr>
          <w:rFonts w:ascii="Times New Roman" w:cs="Times New Roman" w:eastAsia="Times New Roman" w:hAnsi="Times New Roman"/>
          <w:sz w:val="18"/>
          <w:szCs w:val="18"/>
          <w:b w:val="1"/>
          <w:bCs w:val="1"/>
          <w:color w:val="auto"/>
        </w:rPr>
        <w:t>, E</w:t>
      </w:r>
      <w:r>
        <w:rPr>
          <w:rFonts w:ascii="Times New Roman" w:cs="Times New Roman" w:eastAsia="Times New Roman" w:hAnsi="Times New Roman"/>
          <w:sz w:val="12"/>
          <w:szCs w:val="12"/>
          <w:b w:val="1"/>
          <w:bCs w:val="1"/>
          <w:color w:val="auto"/>
        </w:rPr>
        <w:t>tc</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jc w:val="both"/>
        <w:ind w:firstLine="656"/>
        <w:spacing w:after="0" w:line="267" w:lineRule="auto"/>
        <w:tabs>
          <w:tab w:leader="none" w:pos="151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The Company will not consolidate with or merge with or into, or (directly, or indirectly through one or more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sell, lease or otherwise transfer, in one transaction or a series of transactions, all or substantially all of the assets of the Company and its Subsidiaries, taken as a whole, to another Person (a “</w:t>
      </w:r>
      <w:r>
        <w:rPr>
          <w:rFonts w:ascii="Times New Roman" w:cs="Times New Roman" w:eastAsia="Times New Roman" w:hAnsi="Times New Roman"/>
          <w:sz w:val="18"/>
          <w:szCs w:val="18"/>
          <w:b w:val="1"/>
          <w:bCs w:val="1"/>
          <w:color w:val="auto"/>
        </w:rPr>
        <w:t>Business Combination Event</w:t>
      </w:r>
      <w:r>
        <w:rPr>
          <w:rFonts w:ascii="Times New Roman" w:cs="Times New Roman" w:eastAsia="Times New Roman" w:hAnsi="Times New Roman"/>
          <w:sz w:val="18"/>
          <w:szCs w:val="18"/>
          <w:color w:val="auto"/>
        </w:rPr>
        <w:t>”), unless:</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878"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resulting, surviving or transferee Person either (x) is the Company or (y) if not the Company, is a Qualified Successor Entity (such Qualified Successor Entity, the “</w:t>
      </w:r>
      <w:r>
        <w:rPr>
          <w:rFonts w:ascii="Times New Roman" w:cs="Times New Roman" w:eastAsia="Times New Roman" w:hAnsi="Times New Roman"/>
          <w:sz w:val="18"/>
          <w:szCs w:val="18"/>
          <w:b w:val="1"/>
          <w:bCs w:val="1"/>
          <w:color w:val="auto"/>
        </w:rPr>
        <w:t>Successor Entity</w:t>
      </w:r>
      <w:r>
        <w:rPr>
          <w:rFonts w:ascii="Times New Roman" w:cs="Times New Roman" w:eastAsia="Times New Roman" w:hAnsi="Times New Roman"/>
          <w:sz w:val="18"/>
          <w:szCs w:val="18"/>
          <w:color w:val="auto"/>
        </w:rPr>
        <w:t xml:space="preserve">”) duly organized or incorporated and existing under the laws of Australia, the United States of America, any State thereof or the District of Columbia that expressly assumes (by executing and delivering to the Trustee, at or before the effective time of such Business Combination Event, a supplemental indenture pursuant to </w:t>
      </w:r>
      <w:r>
        <w:rPr>
          <w:rFonts w:ascii="Times New Roman" w:cs="Times New Roman" w:eastAsia="Times New Roman" w:hAnsi="Times New Roman"/>
          <w:sz w:val="18"/>
          <w:szCs w:val="18"/>
          <w:b w:val="1"/>
          <w:bCs w:val="1"/>
          <w:color w:val="auto"/>
        </w:rPr>
        <w:t>Section 8.01(E)</w:t>
      </w:r>
      <w:r>
        <w:rPr>
          <w:rFonts w:ascii="Times New Roman" w:cs="Times New Roman" w:eastAsia="Times New Roman" w:hAnsi="Times New Roman"/>
          <w:sz w:val="18"/>
          <w:szCs w:val="18"/>
          <w:color w:val="auto"/>
        </w:rPr>
        <w:t xml:space="preserve">) all of the Company’s obligations under this Indenture and the Notes (including, for the avoidance of doubt and without limiting any other provisions of this Indenture, if applicable, the obligation to pay Additional Amounts pursuant to </w:t>
      </w:r>
      <w:r>
        <w:rPr>
          <w:rFonts w:ascii="Times New Roman" w:cs="Times New Roman" w:eastAsia="Times New Roman" w:hAnsi="Times New Roman"/>
          <w:sz w:val="18"/>
          <w:szCs w:val="18"/>
          <w:b w:val="1"/>
          <w:bCs w:val="1"/>
          <w:color w:val="auto"/>
        </w:rPr>
        <w:t>Section 3.05</w:t>
      </w:r>
      <w:r>
        <w:rPr>
          <w:rFonts w:ascii="Times New Roman" w:cs="Times New Roman" w:eastAsia="Times New Roman" w:hAnsi="Times New Roman"/>
          <w:sz w:val="18"/>
          <w:szCs w:val="18"/>
          <w:color w:val="auto"/>
        </w:rPr>
        <w:t xml:space="preserve"> subject to the limitations therein); and</w:t>
      </w:r>
    </w:p>
    <w:p>
      <w:pPr>
        <w:spacing w:after="0" w:line="187"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Business Combination Event, no Default or Event of Default will have occurred and be</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w:t>
      </w:r>
    </w:p>
    <w:p>
      <w:pPr>
        <w:spacing w:after="0" w:line="204" w:lineRule="exact"/>
        <w:rPr>
          <w:rFonts w:ascii="Times New Roman" w:cs="Times New Roman" w:eastAsia="Times New Roman" w:hAnsi="Times New Roman"/>
          <w:sz w:val="18"/>
          <w:szCs w:val="18"/>
          <w:color w:val="auto"/>
        </w:rPr>
      </w:pPr>
    </w:p>
    <w:p>
      <w:pPr>
        <w:jc w:val="both"/>
        <w:ind w:firstLine="656"/>
        <w:spacing w:after="0" w:line="261" w:lineRule="auto"/>
        <w:tabs>
          <w:tab w:leader="none" w:pos="1203"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of Officer’s Certificate and Opinion of Counsel to the Trustee</w:t>
      </w:r>
      <w:r>
        <w:rPr>
          <w:rFonts w:ascii="Times New Roman" w:cs="Times New Roman" w:eastAsia="Times New Roman" w:hAnsi="Times New Roman"/>
          <w:sz w:val="18"/>
          <w:szCs w:val="18"/>
          <w:color w:val="auto"/>
        </w:rPr>
        <w:t>. At or before the effective time of any Business Combination Event,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Company will deliver to the Trustee an Officer’s Certificate and Opinion of Counsel, each stating that (i) such Business Combination Event (and, if applicable, the related supplemental indenture) comply with </w:t>
      </w:r>
      <w:r>
        <w:rPr>
          <w:rFonts w:ascii="Times New Roman" w:cs="Times New Roman" w:eastAsia="Times New Roman" w:hAnsi="Times New Roman"/>
          <w:sz w:val="18"/>
          <w:szCs w:val="18"/>
          <w:b w:val="1"/>
          <w:bCs w:val="1"/>
          <w:color w:val="auto"/>
        </w:rPr>
        <w:t>Section 6.01(A)</w:t>
      </w:r>
      <w:r>
        <w:rPr>
          <w:rFonts w:ascii="Times New Roman" w:cs="Times New Roman" w:eastAsia="Times New Roman" w:hAnsi="Times New Roman"/>
          <w:sz w:val="18"/>
          <w:szCs w:val="18"/>
          <w:color w:val="auto"/>
        </w:rPr>
        <w:t>; and (ii) all conditions precedent to such Business Combination Event provided in this Indenture have been satisfied.</w:t>
      </w:r>
    </w:p>
    <w:p>
      <w:pPr>
        <w:spacing w:after="0" w:line="178"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6.02.</w:t>
        <w:tab/>
        <w:t>S</w:t>
      </w:r>
      <w:r>
        <w:rPr>
          <w:rFonts w:ascii="Times New Roman" w:cs="Times New Roman" w:eastAsia="Times New Roman" w:hAnsi="Times New Roman"/>
          <w:sz w:val="12"/>
          <w:szCs w:val="12"/>
          <w:b w:val="1"/>
          <w:bCs w:val="1"/>
          <w:color w:val="auto"/>
        </w:rPr>
        <w:t>uccessor</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ntity</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ubstituted</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At the effective time of any Business Combination Event that complies with </w:t>
      </w:r>
      <w:r>
        <w:rPr>
          <w:rFonts w:ascii="Times New Roman" w:cs="Times New Roman" w:eastAsia="Times New Roman" w:hAnsi="Times New Roman"/>
          <w:sz w:val="18"/>
          <w:szCs w:val="18"/>
          <w:b w:val="1"/>
          <w:bCs w:val="1"/>
          <w:color w:val="auto"/>
        </w:rPr>
        <w:t>Section 6.01</w:t>
      </w:r>
      <w:r>
        <w:rPr>
          <w:rFonts w:ascii="Times New Roman" w:cs="Times New Roman" w:eastAsia="Times New Roman" w:hAnsi="Times New Roman"/>
          <w:sz w:val="18"/>
          <w:szCs w:val="18"/>
          <w:color w:val="auto"/>
        </w:rPr>
        <w:t>, the Successor Entity (if not the Company) will succeed to, and may exercise every right and power of, the Company under this Indenture and the Notes with the same effect as if such Successor Entity had been named as the Company in this Indenture and the Notes, and, except in the case of a lease, the predecessor Company will be discharged from its obligations under this Indenture and the Notes.</w:t>
      </w:r>
    </w:p>
    <w:p>
      <w:pPr>
        <w:spacing w:after="0" w:line="176"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6.03.</w:t>
        <w:tab/>
        <w:t>E</w:t>
      </w:r>
      <w:r>
        <w:rPr>
          <w:rFonts w:ascii="Times New Roman" w:cs="Times New Roman" w:eastAsia="Times New Roman" w:hAnsi="Times New Roman"/>
          <w:sz w:val="12"/>
          <w:szCs w:val="12"/>
          <w:b w:val="1"/>
          <w:bCs w:val="1"/>
          <w:color w:val="auto"/>
        </w:rPr>
        <w:t>xclusion for</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sset</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ransfers with</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holly</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wned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ubsidiaries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b w:val="1"/>
          <w:bCs w:val="1"/>
          <w:color w:val="auto"/>
        </w:rPr>
        <w:t>Article 6</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color w:val="auto"/>
        </w:rPr>
        <w:t>Article 6</w:t>
      </w:r>
      <w:r>
        <w:rPr>
          <w:rFonts w:ascii="Times New Roman" w:cs="Times New Roman" w:eastAsia="Times New Roman" w:hAnsi="Times New Roman"/>
          <w:sz w:val="18"/>
          <w:szCs w:val="18"/>
          <w:color w:val="auto"/>
        </w:rPr>
        <w:t xml:space="preserve"> will not apply to any transfer of assets (other than by merger or consolidation) between or among the Company and any one or more of its Wholly Owned Subsidiaries.</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0" w:name="page81"/>
    <w:bookmarkEnd w:id="80"/>
    <w:p>
      <w:pPr>
        <w:ind w:left="3860"/>
        <w:spacing w:after="0"/>
        <w:tabs>
          <w:tab w:leader="none" w:pos="5000" w:val="left"/>
        </w:tabs>
        <w:rPr>
          <w:sz w:val="20"/>
          <w:szCs w:val="20"/>
          <w:color w:val="auto"/>
        </w:rPr>
      </w:pPr>
      <w:r>
        <w:rPr>
          <w:rFonts w:ascii="Times New Roman" w:cs="Times New Roman" w:eastAsia="Times New Roman" w:hAnsi="Times New Roman"/>
          <w:sz w:val="18"/>
          <w:szCs w:val="18"/>
          <w:b w:val="1"/>
          <w:bCs w:val="1"/>
          <w:color w:val="auto"/>
        </w:rPr>
        <w:t>Article 7.</w:t>
      </w:r>
      <w:r>
        <w:rPr>
          <w:sz w:val="20"/>
          <w:szCs w:val="20"/>
          <w:color w:val="auto"/>
        </w:rPr>
        <w:tab/>
      </w:r>
      <w:r>
        <w:rPr>
          <w:rFonts w:ascii="Times New Roman" w:cs="Times New Roman" w:eastAsia="Times New Roman" w:hAnsi="Times New Roman"/>
          <w:sz w:val="17"/>
          <w:szCs w:val="17"/>
          <w:b w:val="1"/>
          <w:bCs w:val="1"/>
          <w:color w:val="auto"/>
        </w:rPr>
        <w:t>DEFAULTS AND REMEDIES</w:t>
      </w:r>
    </w:p>
    <w:p>
      <w:pPr>
        <w:spacing w:after="0" w:line="22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7.01.</w:t>
        <w:tab/>
        <w:t>E</w:t>
      </w:r>
      <w:r>
        <w:rPr>
          <w:rFonts w:ascii="Times New Roman" w:cs="Times New Roman" w:eastAsia="Times New Roman" w:hAnsi="Times New Roman"/>
          <w:sz w:val="12"/>
          <w:szCs w:val="12"/>
          <w:b w:val="1"/>
          <w:bCs w:val="1"/>
          <w:color w:val="auto"/>
        </w:rPr>
        <w:t>vents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efault</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1320" w:hanging="664"/>
        <w:spacing w:after="0"/>
        <w:tabs>
          <w:tab w:leader="none" w:pos="13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Definition of Events of Default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means the occurrence of any of the following:</w:t>
      </w:r>
    </w:p>
    <w:p>
      <w:pPr>
        <w:spacing w:after="0" w:line="229" w:lineRule="exact"/>
        <w:rPr>
          <w:rFonts w:ascii="Times New Roman" w:cs="Times New Roman" w:eastAsia="Times New Roman" w:hAnsi="Times New Roman"/>
          <w:sz w:val="18"/>
          <w:szCs w:val="18"/>
          <w:color w:val="auto"/>
        </w:rPr>
      </w:pPr>
    </w:p>
    <w:p>
      <w:pPr>
        <w:ind w:left="660" w:firstLine="644"/>
        <w:spacing w:after="0" w:line="282" w:lineRule="auto"/>
        <w:tabs>
          <w:tab w:leader="none" w:pos="2171"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payment when due (whether at maturity, upon Redemption or Repurchase Upon Fundamental Change or otherwise) of the principal of, or the Redemption Price or Fundamental Change Repurchase Price for, any Note;</w:t>
      </w:r>
    </w:p>
    <w:p>
      <w:pPr>
        <w:spacing w:after="0" w:line="161"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for thirty (30) consecutive days in the payment when due of interest on any Note;</w:t>
      </w:r>
    </w:p>
    <w:p>
      <w:pPr>
        <w:spacing w:after="0" w:line="221" w:lineRule="exact"/>
        <w:rPr>
          <w:rFonts w:ascii="Times New Roman" w:cs="Times New Roman" w:eastAsia="Times New Roman" w:hAnsi="Times New Roman"/>
          <w:sz w:val="18"/>
          <w:szCs w:val="18"/>
          <w:color w:val="auto"/>
        </w:rPr>
      </w:pPr>
    </w:p>
    <w:p>
      <w:pPr>
        <w:jc w:val="both"/>
        <w:ind w:left="660" w:firstLine="644"/>
        <w:spacing w:after="0" w:line="268" w:lineRule="auto"/>
        <w:tabs>
          <w:tab w:leader="none" w:pos="1938"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failure to deliver, when required by this Indenture, a Fundamental Change Notice, or a notice pursuant to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5.01(C)(i)(3)</w:t>
      </w:r>
      <w:r>
        <w:rPr>
          <w:rFonts w:ascii="Times New Roman" w:cs="Times New Roman" w:eastAsia="Times New Roman" w:hAnsi="Times New Roman"/>
          <w:sz w:val="18"/>
          <w:szCs w:val="18"/>
          <w:color w:val="auto"/>
        </w:rPr>
        <w:t>, if (in the case of any notice other than a notice pursuant to</w:t>
      </w:r>
      <w:r>
        <w:rPr>
          <w:rFonts w:ascii="Times New Roman" w:cs="Times New Roman" w:eastAsia="Times New Roman" w:hAnsi="Times New Roman"/>
          <w:sz w:val="18"/>
          <w:szCs w:val="18"/>
          <w:b w:val="1"/>
          <w:bCs w:val="1"/>
          <w:color w:val="auto"/>
        </w:rPr>
        <w:t xml:space="preserve"> Section 5.01(C)(i)(3)</w:t>
      </w:r>
      <w:r>
        <w:rPr>
          <w:rFonts w:ascii="Times New Roman" w:cs="Times New Roman" w:eastAsia="Times New Roman" w:hAnsi="Times New Roman"/>
          <w:sz w:val="18"/>
          <w:szCs w:val="18"/>
          <w:color w:val="auto"/>
        </w:rPr>
        <w:t>) such failure is not cured within five (5) days 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occurrence;</w:t>
      </w:r>
    </w:p>
    <w:p>
      <w:pPr>
        <w:spacing w:after="0" w:line="170" w:lineRule="exact"/>
        <w:rPr>
          <w:rFonts w:ascii="Times New Roman" w:cs="Times New Roman" w:eastAsia="Times New Roman" w:hAnsi="Times New Roman"/>
          <w:sz w:val="18"/>
          <w:szCs w:val="18"/>
          <w:color w:val="auto"/>
        </w:rPr>
      </w:pPr>
    </w:p>
    <w:p>
      <w:pPr>
        <w:ind w:left="660" w:right="20" w:firstLine="644"/>
        <w:spacing w:after="0" w:line="286" w:lineRule="auto"/>
        <w:tabs>
          <w:tab w:leader="none" w:pos="1999"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default in the Company’s obligation to Convert a Note in accordance with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xml:space="preserve"> upon the exercise of the Conversion right with respect thereto, if such default is not cured within five (5) Business Days after its occurrence;</w:t>
      </w:r>
    </w:p>
    <w:p>
      <w:pPr>
        <w:spacing w:after="0" w:line="154"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default in the Company’s obligations under </w:t>
      </w:r>
      <w:r>
        <w:rPr>
          <w:rFonts w:ascii="Times New Roman" w:cs="Times New Roman" w:eastAsia="Times New Roman" w:hAnsi="Times New Roman"/>
          <w:sz w:val="18"/>
          <w:szCs w:val="18"/>
          <w:b w:val="1"/>
          <w:bCs w:val="1"/>
          <w:color w:val="auto"/>
        </w:rPr>
        <w:t>Article 6</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2026"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default in any of the Company’s obligations or agreements under this Indenture or the Notes (other than a default set forth in </w:t>
      </w:r>
      <w:r>
        <w:rPr>
          <w:rFonts w:ascii="Times New Roman" w:cs="Times New Roman" w:eastAsia="Times New Roman" w:hAnsi="Times New Roman"/>
          <w:sz w:val="18"/>
          <w:szCs w:val="18"/>
          <w:b w:val="1"/>
          <w:bCs w:val="1"/>
          <w:color w:val="auto"/>
        </w:rPr>
        <w:t>clause (i)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(iii)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(iv)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(v) </w:t>
      </w:r>
      <w:r>
        <w:rPr>
          <w:rFonts w:ascii="Times New Roman" w:cs="Times New Roman" w:eastAsia="Times New Roman" w:hAnsi="Times New Roman"/>
          <w:sz w:val="18"/>
          <w:szCs w:val="18"/>
          <w:color w:val="auto"/>
        </w:rPr>
        <w:t>of this</w:t>
      </w:r>
      <w:r>
        <w:rPr>
          <w:rFonts w:ascii="Times New Roman" w:cs="Times New Roman" w:eastAsia="Times New Roman" w:hAnsi="Times New Roman"/>
          <w:sz w:val="18"/>
          <w:szCs w:val="18"/>
          <w:b w:val="1"/>
          <w:bCs w:val="1"/>
          <w:color w:val="auto"/>
        </w:rPr>
        <w:t xml:space="preserve"> Section 7.01(A)</w:t>
      </w:r>
      <w:r>
        <w:rPr>
          <w:rFonts w:ascii="Times New Roman" w:cs="Times New Roman" w:eastAsia="Times New Roman" w:hAnsi="Times New Roman"/>
          <w:sz w:val="18"/>
          <w:szCs w:val="18"/>
          <w:color w:val="auto"/>
        </w:rPr>
        <w:t>) where such default is not cured or waived within sixty (60) days after notice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by the Trustee, or to the Company and the Trustee by Holders of at least twenty five percent (25%) of the aggregate principal amount of Notes then outstanding, which notice must specify such default, demand that it be remedied and state that such notice is a “Notice of Default”;</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2121"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by the Company or any of the Company’s Significant Subsidiaries with respect to any one or more mortgages, agreements or other instruments under which there is outstanding, or by which there is secured or evidenced, any indebtedness for borrowed money (other than (1) any non-recourse indebtedness for borrowed money (it being understood and agreed that limited recourse provisions in respect of the applicable financing assets or that otherwise are customary in transactions in which the primary recourse is to financing assets will not cause indebtedness that is otherwise non-recourse to constitute recourse indebtedness) or (2) indebtedness for money borrowed of the Company’s Subsidiaries if such Subsidiary is a special purpose entity that serves as a vehicle to obtain financing that is otherwise non-recourse to the Company and its other Subsidiaries (it being understood and agreed that limited recourse provisions in respect of the applicable financing assets or that otherwise are customary in transactions in which the primary recourse is to financing assets will not cause indebtedness that is otherwise non-recourse to constitute recourse indebtedness)) of at least one hundred twenty five million dollars ($125,000,000) (or its foreign currency equivalent) in the aggregate of the Company or any of the Company’s Significant Subsidiaries, whether such indebtedness exists as of the Issue Date or is thereafter created, where such default:</w:t>
      </w:r>
    </w:p>
    <w:p>
      <w:pPr>
        <w:spacing w:after="0" w:line="362"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2"/>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1" w:name="page82"/>
    <w:bookmarkEnd w:id="81"/>
    <w:p>
      <w:pPr>
        <w:ind w:left="180" w:firstLine="652"/>
        <w:spacing w:after="0" w:line="282" w:lineRule="auto"/>
        <w:tabs>
          <w:tab w:leader="none" w:pos="1703"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constitutes a failure to pay the principal of such indebtedness when due and payable at its stated maturity, upon required repurchase, upon declaration of acceleration or otherwise, in each case after the expiration of any applicable grace period; or</w:t>
      </w:r>
    </w:p>
    <w:p>
      <w:pPr>
        <w:spacing w:after="0" w:line="161"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483"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such indebtedness becoming or being declared due and payable before its stated maturity, in each case where such default is not cured or waived within thirty (30) days after written notice to the Company by the Trustee or to the Company and the Trustee by Holders of at least twenty five percent (25%) of the aggregate principal amount of Notes then outstanding;</w:t>
      </w:r>
    </w:p>
    <w:p>
      <w:pPr>
        <w:spacing w:after="0" w:line="175" w:lineRule="exact"/>
        <w:rPr>
          <w:rFonts w:ascii="Times New Roman" w:cs="Times New Roman" w:eastAsia="Times New Roman" w:hAnsi="Times New Roman"/>
          <w:sz w:val="18"/>
          <w:szCs w:val="18"/>
          <w:color w:val="auto"/>
        </w:rPr>
      </w:pPr>
    </w:p>
    <w:p>
      <w:pPr>
        <w:ind w:left="860" w:hanging="676"/>
        <w:spacing w:after="0"/>
        <w:tabs>
          <w:tab w:leader="none" w:pos="8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of its Significant Subsidiaries, pursuant to or within the meaning of any Bankruptcy Law, either:</w:t>
      </w:r>
    </w:p>
    <w:p>
      <w:pPr>
        <w:spacing w:after="0" w:line="225" w:lineRule="exact"/>
        <w:rPr>
          <w:rFonts w:ascii="Times New Roman" w:cs="Times New Roman" w:eastAsia="Times New Roman" w:hAnsi="Times New Roman"/>
          <w:sz w:val="18"/>
          <w:szCs w:val="18"/>
          <w:color w:val="auto"/>
        </w:rPr>
      </w:pPr>
    </w:p>
    <w:p>
      <w:pPr>
        <w:ind w:left="1500" w:hanging="668"/>
        <w:spacing w:after="0"/>
        <w:tabs>
          <w:tab w:leader="none" w:pos="150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commences a voluntary case or proceeding;</w:t>
      </w:r>
    </w:p>
    <w:p>
      <w:pPr>
        <w:spacing w:after="0" w:line="225" w:lineRule="exact"/>
        <w:rPr>
          <w:rFonts w:ascii="Times New Roman" w:cs="Times New Roman" w:eastAsia="Times New Roman" w:hAnsi="Times New Roman"/>
          <w:sz w:val="18"/>
          <w:szCs w:val="18"/>
          <w:color w:val="auto"/>
        </w:rPr>
      </w:pPr>
    </w:p>
    <w:p>
      <w:pPr>
        <w:ind w:left="1500" w:hanging="668"/>
        <w:spacing w:after="0"/>
        <w:tabs>
          <w:tab w:leader="none" w:pos="150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entry of an order for relief against it in an involuntary case or proceeding;</w:t>
      </w:r>
    </w:p>
    <w:p>
      <w:pPr>
        <w:spacing w:after="0" w:line="225" w:lineRule="exact"/>
        <w:rPr>
          <w:rFonts w:ascii="Times New Roman" w:cs="Times New Roman" w:eastAsia="Times New Roman" w:hAnsi="Times New Roman"/>
          <w:sz w:val="18"/>
          <w:szCs w:val="18"/>
          <w:color w:val="auto"/>
        </w:rPr>
      </w:pPr>
    </w:p>
    <w:p>
      <w:pPr>
        <w:ind w:left="1500" w:hanging="668"/>
        <w:spacing w:after="0"/>
        <w:tabs>
          <w:tab w:leader="none" w:pos="150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appointment of a custodian of it or for any substantial part of its property;</w:t>
      </w:r>
    </w:p>
    <w:p>
      <w:pPr>
        <w:spacing w:after="0" w:line="225" w:lineRule="exact"/>
        <w:rPr>
          <w:rFonts w:ascii="Times New Roman" w:cs="Times New Roman" w:eastAsia="Times New Roman" w:hAnsi="Times New Roman"/>
          <w:sz w:val="18"/>
          <w:szCs w:val="18"/>
          <w:color w:val="auto"/>
        </w:rPr>
      </w:pPr>
    </w:p>
    <w:p>
      <w:pPr>
        <w:ind w:left="1500" w:hanging="668"/>
        <w:spacing w:after="0"/>
        <w:tabs>
          <w:tab w:leader="none" w:pos="150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 general assignment for the benefit of its creditors;</w:t>
      </w:r>
    </w:p>
    <w:p>
      <w:pPr>
        <w:spacing w:after="0" w:line="225" w:lineRule="exact"/>
        <w:rPr>
          <w:rFonts w:ascii="Times New Roman" w:cs="Times New Roman" w:eastAsia="Times New Roman" w:hAnsi="Times New Roman"/>
          <w:sz w:val="18"/>
          <w:szCs w:val="18"/>
          <w:color w:val="auto"/>
        </w:rPr>
      </w:pPr>
    </w:p>
    <w:p>
      <w:pPr>
        <w:ind w:left="1500" w:hanging="668"/>
        <w:spacing w:after="0"/>
        <w:tabs>
          <w:tab w:leader="none" w:pos="150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takes any comparable action under any foreign Bankruptcy Law; or</w:t>
      </w:r>
    </w:p>
    <w:p>
      <w:pPr>
        <w:spacing w:after="0" w:line="225" w:lineRule="exact"/>
        <w:rPr>
          <w:rFonts w:ascii="Times New Roman" w:cs="Times New Roman" w:eastAsia="Times New Roman" w:hAnsi="Times New Roman"/>
          <w:sz w:val="18"/>
          <w:szCs w:val="18"/>
          <w:color w:val="auto"/>
        </w:rPr>
      </w:pPr>
    </w:p>
    <w:p>
      <w:pPr>
        <w:jc w:val="both"/>
        <w:ind w:left="180" w:firstLine="652"/>
        <w:spacing w:after="0" w:line="258" w:lineRule="auto"/>
        <w:tabs>
          <w:tab w:leader="none" w:pos="1568"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is not paying its debts (other than indebtedness for money borrowed of the Company’s Subsidiaries if such Subsidiary is a special purpose entity that serves as a vehicle to obtain financing that is otherwise non-recourse to the Company and its other Subsidiaries (it being understood and agreed that limited recourse provisions in respect of the applicable financing assets or that otherwise are customary in transactions in which the primary recourse is to financing assets will not cause indebtedness that is otherwise non-recourse to constitute recourse indebtedness)) as they become due; or</w:t>
      </w:r>
    </w:p>
    <w:p>
      <w:pPr>
        <w:spacing w:after="0" w:line="183" w:lineRule="exact"/>
        <w:rPr>
          <w:rFonts w:ascii="Times New Roman" w:cs="Times New Roman" w:eastAsia="Times New Roman" w:hAnsi="Times New Roman"/>
          <w:sz w:val="18"/>
          <w:szCs w:val="18"/>
          <w:color w:val="auto"/>
        </w:rPr>
      </w:pPr>
    </w:p>
    <w:p>
      <w:pPr>
        <w:ind w:left="840" w:hanging="656"/>
        <w:spacing w:after="0"/>
        <w:tabs>
          <w:tab w:leader="none" w:pos="8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or decree under any Bankruptcy Law that either:</w:t>
      </w:r>
    </w:p>
    <w:p>
      <w:pPr>
        <w:spacing w:after="0" w:line="225" w:lineRule="exact"/>
        <w:rPr>
          <w:rFonts w:ascii="Times New Roman" w:cs="Times New Roman" w:eastAsia="Times New Roman" w:hAnsi="Times New Roman"/>
          <w:sz w:val="18"/>
          <w:szCs w:val="18"/>
          <w:color w:val="auto"/>
        </w:rPr>
      </w:pPr>
    </w:p>
    <w:p>
      <w:pPr>
        <w:ind w:left="1500" w:hanging="668"/>
        <w:spacing w:after="0"/>
        <w:tabs>
          <w:tab w:leader="none" w:pos="150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for relief against the Company or any of its Significant Subsidiaries in an involuntary case or proceeding;</w:t>
      </w:r>
    </w:p>
    <w:p>
      <w:pPr>
        <w:spacing w:after="0" w:line="396" w:lineRule="exact"/>
        <w:rPr>
          <w:rFonts w:ascii="Times New Roman" w:cs="Times New Roman" w:eastAsia="Times New Roman" w:hAnsi="Times New Roman"/>
          <w:sz w:val="18"/>
          <w:szCs w:val="18"/>
          <w:color w:val="auto"/>
        </w:rPr>
      </w:pPr>
    </w:p>
    <w:p>
      <w:pPr>
        <w:ind w:left="4440" w:hanging="92"/>
        <w:spacing w:after="0"/>
        <w:tabs>
          <w:tab w:leader="none" w:pos="4440" w:val="left"/>
        </w:tabs>
        <w:numPr>
          <w:ilvl w:val="2"/>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82" w:name="page83"/>
    <w:bookmarkEnd w:id="82"/>
    <w:p>
      <w:pPr>
        <w:ind w:left="1300" w:firstLine="652"/>
        <w:spacing w:after="0" w:line="282" w:lineRule="auto"/>
        <w:tabs>
          <w:tab w:leader="none" w:pos="2576"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custodian of the Company or any of its Significant Subsidiaries, or for any substantial part of the property of the Company or any of its Significant Subsidiaries;</w:t>
      </w:r>
    </w:p>
    <w:p>
      <w:pPr>
        <w:spacing w:after="0" w:line="161"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the winding up or liquidation of the Company or any of its Significant Subsidiaries; or</w:t>
      </w:r>
    </w:p>
    <w:p>
      <w:pPr>
        <w:spacing w:after="0" w:line="221" w:lineRule="exact"/>
        <w:rPr>
          <w:rFonts w:ascii="Times New Roman" w:cs="Times New Roman" w:eastAsia="Times New Roman" w:hAnsi="Times New Roman"/>
          <w:sz w:val="18"/>
          <w:szCs w:val="18"/>
          <w:color w:val="auto"/>
        </w:rPr>
      </w:pPr>
    </w:p>
    <w:p>
      <w:pPr>
        <w:ind w:left="1300" w:right="20" w:firstLine="652"/>
        <w:spacing w:after="0" w:line="286" w:lineRule="auto"/>
        <w:tabs>
          <w:tab w:leader="none" w:pos="2562"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grants any similar relief under any foreign Bankruptcy Law, and, in each case under this </w:t>
      </w:r>
      <w:r>
        <w:rPr>
          <w:rFonts w:ascii="Times New Roman" w:cs="Times New Roman" w:eastAsia="Times New Roman" w:hAnsi="Times New Roman"/>
          <w:sz w:val="18"/>
          <w:szCs w:val="18"/>
          <w:b w:val="1"/>
          <w:bCs w:val="1"/>
          <w:color w:val="auto"/>
        </w:rPr>
        <w:t>Section 7.01(A)(ix)</w:t>
      </w:r>
      <w:r>
        <w:rPr>
          <w:rFonts w:ascii="Times New Roman" w:cs="Times New Roman" w:eastAsia="Times New Roman" w:hAnsi="Times New Roman"/>
          <w:sz w:val="18"/>
          <w:szCs w:val="18"/>
          <w:color w:val="auto"/>
        </w:rPr>
        <w:t>, such order or decree remains unstayed and in effect for at least sixty (60) days.</w:t>
      </w:r>
    </w:p>
    <w:p>
      <w:pPr>
        <w:spacing w:after="0" w:line="154" w:lineRule="exact"/>
        <w:rPr>
          <w:rFonts w:ascii="Times New Roman" w:cs="Times New Roman" w:eastAsia="Times New Roman" w:hAnsi="Times New Roman"/>
          <w:sz w:val="18"/>
          <w:szCs w:val="18"/>
          <w:color w:val="auto"/>
        </w:rPr>
      </w:pPr>
    </w:p>
    <w:p>
      <w:pPr>
        <w:jc w:val="both"/>
        <w:ind w:firstLine="656"/>
        <w:spacing w:after="0" w:line="268" w:lineRule="auto"/>
        <w:tabs>
          <w:tab w:leader="none" w:pos="1297"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Cause Irrelevant</w:t>
      </w:r>
      <w:r>
        <w:rPr>
          <w:rFonts w:ascii="Times New Roman" w:cs="Times New Roman" w:eastAsia="Times New Roman" w:hAnsi="Times New Roman"/>
          <w:sz w:val="18"/>
          <w:szCs w:val="18"/>
          <w:color w:val="auto"/>
        </w:rPr>
        <w:t>. Each of the events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7.01(A)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constitute an Event of Default regardless of the cause thereof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whether voluntary or involuntary or effected by operation of law or pursuant to any judgment, decree or order of any court or any order, rule or regulation of any administrative or governmental body.</w:t>
      </w:r>
    </w:p>
    <w:p>
      <w:pPr>
        <w:spacing w:after="0" w:line="171"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7.02.</w:t>
        <w:tab/>
        <w:t>A</w:t>
      </w:r>
      <w:r>
        <w:rPr>
          <w:rFonts w:ascii="Times New Roman" w:cs="Times New Roman" w:eastAsia="Times New Roman" w:hAnsi="Times New Roman"/>
          <w:sz w:val="12"/>
          <w:szCs w:val="12"/>
          <w:b w:val="1"/>
          <w:bCs w:val="1"/>
          <w:color w:val="auto"/>
        </w:rPr>
        <w:t>cceleration</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656"/>
        <w:spacing w:after="0" w:line="268" w:lineRule="auto"/>
        <w:tabs>
          <w:tab w:leader="none" w:pos="1366"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Automatic Acceleration in Certain Circumstances</w:t>
      </w:r>
      <w:r>
        <w:rPr>
          <w:rFonts w:ascii="Times New Roman" w:cs="Times New Roman" w:eastAsia="Times New Roman" w:hAnsi="Times New Roman"/>
          <w:sz w:val="18"/>
          <w:szCs w:val="18"/>
          <w:color w:val="auto"/>
        </w:rPr>
        <w:t>. If an Event of Default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7.01(A)(viii)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7.01(A)(ix)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to the Company (and not solely with respect to a Significant Subsidiary of the Company), then the principal amount of, and all accrued and unpaid interest on, all of the Notes then outstanding will immediately become due and payable without any further action or notice by any Person.</w:t>
      </w:r>
    </w:p>
    <w:p>
      <w:pPr>
        <w:spacing w:after="0" w:line="170" w:lineRule="exact"/>
        <w:rPr>
          <w:rFonts w:ascii="Times New Roman" w:cs="Times New Roman" w:eastAsia="Times New Roman" w:hAnsi="Times New Roman"/>
          <w:sz w:val="18"/>
          <w:szCs w:val="18"/>
          <w:color w:val="auto"/>
        </w:rPr>
      </w:pPr>
    </w:p>
    <w:p>
      <w:pPr>
        <w:jc w:val="both"/>
        <w:ind w:firstLine="656"/>
        <w:spacing w:after="0" w:line="259" w:lineRule="auto"/>
        <w:tabs>
          <w:tab w:leader="none" w:pos="1261"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Optional Acceleration</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7.03</w:t>
      </w:r>
      <w:r>
        <w:rPr>
          <w:rFonts w:ascii="Times New Roman" w:cs="Times New Roman" w:eastAsia="Times New Roman" w:hAnsi="Times New Roman"/>
          <w:sz w:val="18"/>
          <w:szCs w:val="18"/>
          <w:color w:val="auto"/>
        </w:rPr>
        <w:t>, if an Event of Default (other than an Event of Default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7.01(A)(viii)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 xml:space="preserve">7.01(A)(ix) </w:t>
      </w:r>
      <w:r>
        <w:rPr>
          <w:rFonts w:ascii="Times New Roman" w:cs="Times New Roman" w:eastAsia="Times New Roman" w:hAnsi="Times New Roman"/>
          <w:sz w:val="18"/>
          <w:szCs w:val="18"/>
          <w:color w:val="auto"/>
        </w:rPr>
        <w:t>with respect to the Company and not solely with respect to a Significant Subsidiary of the Company) occurs and is continuing, then the Trustee,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notice to the Company, or Holders of at least twenty five percent (25%) of the aggregate principal amount of Notes then outstanding, by notice to the Company and the Trustee, may declare the principal amount of, and all accrued and unpaid interest on, all of the Notes then outstanding to become due and payable immediately.</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For the avoidance of doubt, any failure by the Company to provide any notice under this Indenture other than as set forth in </w:t>
      </w:r>
      <w:r>
        <w:rPr>
          <w:rFonts w:ascii="Times New Roman" w:cs="Times New Roman" w:eastAsia="Times New Roman" w:hAnsi="Times New Roman"/>
          <w:sz w:val="18"/>
          <w:szCs w:val="18"/>
          <w:b w:val="1"/>
          <w:bCs w:val="1"/>
          <w:color w:val="auto"/>
        </w:rPr>
        <w:t>Section 7.01(A)(iii)</w:t>
      </w:r>
      <w:r>
        <w:rPr>
          <w:rFonts w:ascii="Times New Roman" w:cs="Times New Roman" w:eastAsia="Times New Roman" w:hAnsi="Times New Roman"/>
          <w:sz w:val="18"/>
          <w:szCs w:val="18"/>
          <w:color w:val="auto"/>
        </w:rPr>
        <w:t xml:space="preserve"> shall be subject to </w:t>
      </w:r>
      <w:r>
        <w:rPr>
          <w:rFonts w:ascii="Times New Roman" w:cs="Times New Roman" w:eastAsia="Times New Roman" w:hAnsi="Times New Roman"/>
          <w:sz w:val="18"/>
          <w:szCs w:val="18"/>
          <w:b w:val="1"/>
          <w:bCs w:val="1"/>
          <w:color w:val="auto"/>
        </w:rPr>
        <w:t>Section 7.01(A)(vi)</w:t>
      </w:r>
      <w:r>
        <w:rPr>
          <w:rFonts w:ascii="Times New Roman" w:cs="Times New Roman" w:eastAsia="Times New Roman" w:hAnsi="Times New Roman"/>
          <w:sz w:val="18"/>
          <w:szCs w:val="18"/>
          <w:color w:val="auto"/>
        </w:rPr>
        <w:t xml:space="preserve"> (including the sixty (60)-day cure period contained therein), and any related Default or Event of Default shall be deemed cured upon delivery of such notice to the applicable recipient prior to (i) the expiration of such sixty (60)-day period; or (ii) if later, the delivery of a notice of acceleration with respect to such Default or Event of Default, in each case whether or not the events or circumstances that are the subject of such notice have already occurred at the time such notice is given.</w:t>
      </w:r>
    </w:p>
    <w:p>
      <w:pPr>
        <w:spacing w:after="0" w:line="181" w:lineRule="exact"/>
        <w:rPr>
          <w:sz w:val="20"/>
          <w:szCs w:val="20"/>
          <w:color w:val="auto"/>
        </w:rPr>
      </w:pPr>
    </w:p>
    <w:p>
      <w:pPr>
        <w:jc w:val="both"/>
        <w:ind w:firstLine="656"/>
        <w:spacing w:after="0" w:line="258" w:lineRule="auto"/>
        <w:tabs>
          <w:tab w:leader="none" w:pos="124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Rescission of Acceleration</w:t>
      </w:r>
      <w:r>
        <w:rPr>
          <w:rFonts w:ascii="Times New Roman" w:cs="Times New Roman" w:eastAsia="Times New Roman" w:hAnsi="Times New Roman"/>
          <w:sz w:val="18"/>
          <w:szCs w:val="18"/>
          <w:color w:val="auto"/>
        </w:rPr>
        <w:t>. Notwithstanding anything to the contrary in this Indenture or the Notes, the Holders of a majority in aggregate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amount of the Notes then outstanding, by notice to the Company and the Trustee, may, on behalf of all Holders, rescind any acceleration of the Notes and its consequences if (i) such rescission would not conflict with any judgment or decree of a court of competent jurisdiction; and (ii) all existing Events of Default (except the non-payment of principal of, or interest on, the Notes that has become due solely because of such acceleration) have been cured or waived. No such rescission will affect any subsequent Default or impair any right consequent thereto.</w:t>
      </w:r>
    </w:p>
    <w:p>
      <w:pPr>
        <w:spacing w:after="0" w:line="356"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1"/>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7.03.</w:t>
        <w:tab/>
        <w:t>S</w:t>
      </w:r>
      <w:r>
        <w:rPr>
          <w:rFonts w:ascii="Times New Roman" w:cs="Times New Roman" w:eastAsia="Times New Roman" w:hAnsi="Times New Roman"/>
          <w:sz w:val="12"/>
          <w:szCs w:val="12"/>
          <w:b w:val="1"/>
          <w:bCs w:val="1"/>
          <w:color w:val="auto"/>
        </w:rPr>
        <w:t>ole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emedy for a</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ailure to</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eport</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jc w:val="both"/>
        <w:ind w:firstLine="656"/>
        <w:spacing w:after="0" w:line="255" w:lineRule="auto"/>
        <w:tabs>
          <w:tab w:leader="none" w:pos="1266"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Notwithstanding anything to the contrary in this Indenture or the Notes, the Company may elect that the sole remedy for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Event of Default pursuant to </w:t>
      </w:r>
      <w:r>
        <w:rPr>
          <w:rFonts w:ascii="Times New Roman" w:cs="Times New Roman" w:eastAsia="Times New Roman" w:hAnsi="Times New Roman"/>
          <w:sz w:val="18"/>
          <w:szCs w:val="18"/>
          <w:b w:val="1"/>
          <w:bCs w:val="1"/>
          <w:color w:val="auto"/>
        </w:rPr>
        <w:t>Section 7.01(A)(vi)</w:t>
      </w:r>
      <w:r>
        <w:rPr>
          <w:rFonts w:ascii="Times New Roman" w:cs="Times New Roman" w:eastAsia="Times New Roman" w:hAnsi="Times New Roman"/>
          <w:sz w:val="18"/>
          <w:szCs w:val="18"/>
          <w:color w:val="auto"/>
        </w:rPr>
        <w:t xml:space="preserve"> arising from the Company’s failure to comply with </w:t>
      </w:r>
      <w:r>
        <w:rPr>
          <w:rFonts w:ascii="Times New Roman" w:cs="Times New Roman" w:eastAsia="Times New Roman" w:hAnsi="Times New Roman"/>
          <w:sz w:val="18"/>
          <w:szCs w:val="18"/>
          <w:b w:val="1"/>
          <w:bCs w:val="1"/>
          <w:color w:val="auto"/>
        </w:rPr>
        <w:t>Section 3.02</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color w:val="auto"/>
        </w:rPr>
        <w:t>Reporting Event of Default</w:t>
      </w:r>
      <w:r>
        <w:rPr>
          <w:rFonts w:ascii="Times New Roman" w:cs="Times New Roman" w:eastAsia="Times New Roman" w:hAnsi="Times New Roman"/>
          <w:sz w:val="18"/>
          <w:szCs w:val="18"/>
          <w:color w:val="auto"/>
        </w:rPr>
        <w:t xml:space="preserve">”) will, for each of the first three hundred sixty (360) calendar days on which a Reporting Event of Default has occurred and is continuing, consist exclusively of the accrual of Special Interest on the Notes. If the Company has made such an election, then (i) the Notes will be subject to acceleration pursuant to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7.02 </w:t>
      </w:r>
      <w:r>
        <w:rPr>
          <w:rFonts w:ascii="Times New Roman" w:cs="Times New Roman" w:eastAsia="Times New Roman" w:hAnsi="Times New Roman"/>
          <w:sz w:val="18"/>
          <w:szCs w:val="18"/>
          <w:color w:val="auto"/>
        </w:rPr>
        <w:t>on account of the relevant Reporting Event of Default from, and including, the three hundred sixty first (361st) calendar day on which a Reporting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Event of Default has occurred and is continuing or if the Company fails to pay any accrued and unpaid Special Interest when due; and (ii) Special Interest will cease to accrue on any Notes from, and including, such three hundred sixty first (361st) calendar day (it being understood that interest on any defaulted Special Interest will nonetheless accrue pursuant to </w:t>
      </w:r>
      <w:r>
        <w:rPr>
          <w:rFonts w:ascii="Times New Roman" w:cs="Times New Roman" w:eastAsia="Times New Roman" w:hAnsi="Times New Roman"/>
          <w:sz w:val="18"/>
          <w:szCs w:val="18"/>
          <w:b w:val="1"/>
          <w:bCs w:val="1"/>
          <w:color w:val="auto"/>
        </w:rPr>
        <w:t>Section 2.05(B)</w:t>
      </w:r>
      <w:r>
        <w:rPr>
          <w:rFonts w:ascii="Times New Roman" w:cs="Times New Roman" w:eastAsia="Times New Roman" w:hAnsi="Times New Roman"/>
          <w:sz w:val="18"/>
          <w:szCs w:val="18"/>
          <w:color w:val="auto"/>
        </w:rPr>
        <w:t>).</w:t>
      </w:r>
    </w:p>
    <w:p>
      <w:pPr>
        <w:spacing w:after="0" w:line="182" w:lineRule="exact"/>
        <w:rPr>
          <w:rFonts w:ascii="Times New Roman" w:cs="Times New Roman" w:eastAsia="Times New Roman" w:hAnsi="Times New Roman"/>
          <w:sz w:val="18"/>
          <w:szCs w:val="18"/>
          <w:color w:val="auto"/>
        </w:rPr>
      </w:pPr>
    </w:p>
    <w:p>
      <w:pPr>
        <w:jc w:val="both"/>
        <w:ind w:firstLine="656"/>
        <w:spacing w:after="0" w:line="255" w:lineRule="auto"/>
        <w:tabs>
          <w:tab w:leader="none" w:pos="1333"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Amount and Payment of Special Interest</w:t>
      </w:r>
      <w:r>
        <w:rPr>
          <w:rFonts w:ascii="Times New Roman" w:cs="Times New Roman" w:eastAsia="Times New Roman" w:hAnsi="Times New Roman"/>
          <w:sz w:val="18"/>
          <w:szCs w:val="18"/>
          <w:color w:val="auto"/>
        </w:rPr>
        <w:t>. Any Special Interest that accrues on a Note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7.03(A)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be payable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same dates and in the same manner as the Stated Interest on such Note and will accrue at a rate per annum equal to one quarter of one percent (0.25%) of the principal amount thereof for the first one hundred eighty (180) days on which Special Interest accrues and, thereafter, at a rate per annum equal to one half of one percent (0.50%) of the principal amount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in no event will Special Interest, together with any Additional Interest (excluding any interest that accrues on any Deferred Additional Interest pursuant to </w:t>
      </w:r>
      <w:r>
        <w:rPr>
          <w:rFonts w:ascii="Times New Roman" w:cs="Times New Roman" w:eastAsia="Times New Roman" w:hAnsi="Times New Roman"/>
          <w:sz w:val="18"/>
          <w:szCs w:val="18"/>
          <w:b w:val="1"/>
          <w:bCs w:val="1"/>
          <w:color w:val="auto"/>
        </w:rPr>
        <w:t>Section 3.04(C)</w:t>
      </w:r>
      <w:r>
        <w:rPr>
          <w:rFonts w:ascii="Times New Roman" w:cs="Times New Roman" w:eastAsia="Times New Roman" w:hAnsi="Times New Roman"/>
          <w:sz w:val="18"/>
          <w:szCs w:val="18"/>
          <w:color w:val="auto"/>
        </w:rPr>
        <w:t>), accrue on any day on a Note at a combined rate per annum that exceeds one half of one percent (0.50%). For the avoidance of doubt, any Special Interest that accrues on a Note will be in addition to the Stated Interest that accrues on such Note and, subject to the proviso of the immediately preceding sentence, in addition to any Additional Interest that accrues on such Note.</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If a Reporting Event of Default giving rise to the Company’s obligation to pay Special Interest pursuant to </w:t>
      </w:r>
      <w:r>
        <w:rPr>
          <w:rFonts w:ascii="Times New Roman" w:cs="Times New Roman" w:eastAsia="Times New Roman" w:hAnsi="Times New Roman"/>
          <w:sz w:val="18"/>
          <w:szCs w:val="18"/>
          <w:b w:val="1"/>
          <w:bCs w:val="1"/>
          <w:color w:val="auto"/>
        </w:rPr>
        <w:t>Section 7.03(A)</w:t>
      </w:r>
      <w:r>
        <w:rPr>
          <w:rFonts w:ascii="Times New Roman" w:cs="Times New Roman" w:eastAsia="Times New Roman" w:hAnsi="Times New Roman"/>
          <w:sz w:val="18"/>
          <w:szCs w:val="18"/>
          <w:color w:val="auto"/>
        </w:rPr>
        <w:t xml:space="preserve"> initially occurs at or after the Close of Business on a Regular Record Date and prior to the Open of Business on the corresponding Interest Payment Date, the Special Interest that accrues during such period will be due on the Interest Payment Date next succeeding such corresponding Interest Payment Date, and no interest shall accrue in respect of such delay.</w:t>
      </w:r>
    </w:p>
    <w:p>
      <w:pPr>
        <w:spacing w:after="0" w:line="176" w:lineRule="exact"/>
        <w:rPr>
          <w:sz w:val="20"/>
          <w:szCs w:val="20"/>
          <w:color w:val="auto"/>
        </w:rPr>
      </w:pPr>
    </w:p>
    <w:p>
      <w:pPr>
        <w:jc w:val="both"/>
        <w:ind w:firstLine="656"/>
        <w:spacing w:after="0" w:line="259" w:lineRule="auto"/>
        <w:tabs>
          <w:tab w:leader="none" w:pos="13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 of Election</w:t>
      </w:r>
      <w:r>
        <w:rPr>
          <w:rFonts w:ascii="Times New Roman" w:cs="Times New Roman" w:eastAsia="Times New Roman" w:hAnsi="Times New Roman"/>
          <w:sz w:val="18"/>
          <w:szCs w:val="18"/>
          <w:color w:val="auto"/>
        </w:rPr>
        <w:t>. To make the election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7.03(A)</w:t>
      </w:r>
      <w:r>
        <w:rPr>
          <w:rFonts w:ascii="Times New Roman" w:cs="Times New Roman" w:eastAsia="Times New Roman" w:hAnsi="Times New Roman"/>
          <w:sz w:val="18"/>
          <w:szCs w:val="18"/>
          <w:color w:val="auto"/>
        </w:rPr>
        <w:t>, the Company must send to the Holders, the Trustee and the Paying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Agent, before the date on which each Reporting Event of Default first occurs, a notice that (i) briefly describes the report(s) that the Company failed to file with the SEC; (ii) states that the Company is electing that the sole remedy for such Reporting Event of Default consist of the accrual of Special Interest; and (iii) briefly describes the periods during which and rate at which Special Interest will accrue and the circumstances under which the Notes will be subject to acceleration on account of such Reporting Event of Default.</w:t>
      </w:r>
    </w:p>
    <w:p>
      <w:pPr>
        <w:spacing w:after="0" w:line="354"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1"/>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4" w:name="page85"/>
    <w:bookmarkEnd w:id="84"/>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For the avoidance of doubt, if (x) the Company timely elects to pay Special Interest as the sole remedy during the first three hundred sixty (360) days on which a Reporting Event of Default has occurred and is continuing; (y) the Company pays such Special Interest in accordance with this Indenture; and (z) the Company files the delinquent reports that were required to be filed and gave rise to the relevant Reporting Event of Default (in each case in this </w:t>
      </w:r>
      <w:r>
        <w:rPr>
          <w:rFonts w:ascii="Times New Roman" w:cs="Times New Roman" w:eastAsia="Times New Roman" w:hAnsi="Times New Roman"/>
          <w:sz w:val="18"/>
          <w:szCs w:val="18"/>
          <w:b w:val="1"/>
          <w:bCs w:val="1"/>
          <w:color w:val="auto"/>
        </w:rPr>
        <w:t xml:space="preserve">clause (z) </w:t>
      </w:r>
      <w:r>
        <w:rPr>
          <w:rFonts w:ascii="Times New Roman" w:cs="Times New Roman" w:eastAsia="Times New Roman" w:hAnsi="Times New Roman"/>
          <w:sz w:val="18"/>
          <w:szCs w:val="18"/>
          <w:color w:val="auto"/>
        </w:rPr>
        <w:t>pursuant to the provisions set forth in</w:t>
      </w:r>
      <w:r>
        <w:rPr>
          <w:rFonts w:ascii="Times New Roman" w:cs="Times New Roman" w:eastAsia="Times New Roman" w:hAnsi="Times New Roman"/>
          <w:sz w:val="18"/>
          <w:szCs w:val="18"/>
          <w:b w:val="1"/>
          <w:bCs w:val="1"/>
          <w:color w:val="auto"/>
        </w:rPr>
        <w:t xml:space="preserve"> Section 3.02</w:t>
      </w:r>
      <w:r>
        <w:rPr>
          <w:rFonts w:ascii="Times New Roman" w:cs="Times New Roman" w:eastAsia="Times New Roman" w:hAnsi="Times New Roman"/>
          <w:sz w:val="18"/>
          <w:szCs w:val="18"/>
          <w:color w:val="auto"/>
        </w:rPr>
        <w:t>) prior to the three hundred sixty first (361st) day on which such Reporting Event of Default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has occurred and is continuing (or prior to the delivery of any related notice of acceleration on or after such three hundred sixty first (361st) day), such Reporting Event of Default will be deemed cured and the Notes will not be subject to acceleration as a result of the initial failure to comply with the Company’s reporting obligations set forth in </w:t>
      </w:r>
      <w:r>
        <w:rPr>
          <w:rFonts w:ascii="Times New Roman" w:cs="Times New Roman" w:eastAsia="Times New Roman" w:hAnsi="Times New Roman"/>
          <w:sz w:val="18"/>
          <w:szCs w:val="18"/>
          <w:b w:val="1"/>
          <w:bCs w:val="1"/>
          <w:color w:val="auto"/>
        </w:rPr>
        <w:t>Section 3.02</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56"/>
        <w:spacing w:after="0" w:line="261" w:lineRule="auto"/>
        <w:tabs>
          <w:tab w:leader="none" w:pos="1293"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 to Trustee and Paying Agent; Trustee’s Disclaimer</w:t>
      </w:r>
      <w:r>
        <w:rPr>
          <w:rFonts w:ascii="Times New Roman" w:cs="Times New Roman" w:eastAsia="Times New Roman" w:hAnsi="Times New Roman"/>
          <w:sz w:val="18"/>
          <w:szCs w:val="18"/>
          <w:color w:val="auto"/>
        </w:rPr>
        <w:t>. If Special Interest accrues on any Note, then, no later than five (5)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Days before each date on which such Special Interest is to be paid, the Company will deliver an Officer’s Certificate to the Trustee and the Paying Agent stating (i) that the Company is obligated to pay Special Interest on such Note on such date of payment; and (ii) the amount of such Special Interest that is payable on such date of payment. The Trustee will have no duty to determine whether any Special Interest is payable or the amount thereof.</w:t>
      </w:r>
    </w:p>
    <w:p>
      <w:pPr>
        <w:spacing w:after="0" w:line="177" w:lineRule="exact"/>
        <w:rPr>
          <w:rFonts w:ascii="Times New Roman" w:cs="Times New Roman" w:eastAsia="Times New Roman" w:hAnsi="Times New Roman"/>
          <w:sz w:val="18"/>
          <w:szCs w:val="18"/>
          <w:color w:val="auto"/>
        </w:rPr>
      </w:pPr>
    </w:p>
    <w:p>
      <w:pPr>
        <w:ind w:firstLine="656"/>
        <w:spacing w:after="0" w:line="286" w:lineRule="auto"/>
        <w:tabs>
          <w:tab w:leader="none" w:pos="123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Effect on Other Events of Default</w:t>
      </w:r>
      <w:r>
        <w:rPr>
          <w:rFonts w:ascii="Times New Roman" w:cs="Times New Roman" w:eastAsia="Times New Roman" w:hAnsi="Times New Roman"/>
          <w:sz w:val="18"/>
          <w:szCs w:val="18"/>
          <w:color w:val="auto"/>
        </w:rPr>
        <w:t>. No election pursuant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7.03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respect to a Reporting Event of Default will affect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of any Holder with respect to any other Event of Default, including with respect to any other Reporting Event of Default.</w:t>
      </w:r>
    </w:p>
    <w:p>
      <w:pPr>
        <w:spacing w:after="0" w:line="15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7.04.</w:t>
        <w:tab/>
        <w:t>O</w:t>
      </w:r>
      <w:r>
        <w:rPr>
          <w:rFonts w:ascii="Times New Roman" w:cs="Times New Roman" w:eastAsia="Times New Roman" w:hAnsi="Times New Roman"/>
          <w:sz w:val="12"/>
          <w:szCs w:val="12"/>
          <w:b w:val="1"/>
          <w:bCs w:val="1"/>
          <w:color w:val="auto"/>
        </w:rPr>
        <w:t>ther</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emedies</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ind w:firstLine="656"/>
        <w:spacing w:after="0" w:line="284" w:lineRule="auto"/>
        <w:tabs>
          <w:tab w:leader="none" w:pos="129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Trustee May Pursue All Remedies</w:t>
      </w:r>
      <w:r>
        <w:rPr>
          <w:rFonts w:ascii="Times New Roman" w:cs="Times New Roman" w:eastAsia="Times New Roman" w:hAnsi="Times New Roman"/>
          <w:sz w:val="18"/>
          <w:szCs w:val="18"/>
          <w:color w:val="auto"/>
        </w:rPr>
        <w:t>. If an Event of Default occurs and is continuing, then the Trustee may pursue any available remedy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collect the payment of any amounts due with respect to the Notes or to enforce the performance of any provision of this Indenture or the Notes.</w:t>
      </w:r>
    </w:p>
    <w:p>
      <w:pPr>
        <w:spacing w:after="0" w:line="158" w:lineRule="exact"/>
        <w:rPr>
          <w:rFonts w:ascii="Times New Roman" w:cs="Times New Roman" w:eastAsia="Times New Roman" w:hAnsi="Times New Roman"/>
          <w:sz w:val="18"/>
          <w:szCs w:val="18"/>
          <w:color w:val="auto"/>
        </w:rPr>
      </w:pPr>
    </w:p>
    <w:p>
      <w:pPr>
        <w:jc w:val="both"/>
        <w:ind w:firstLine="656"/>
        <w:spacing w:after="0" w:line="267" w:lineRule="auto"/>
        <w:tabs>
          <w:tab w:leader="none" w:pos="1261"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Procedural Matters</w:t>
      </w:r>
      <w:r>
        <w:rPr>
          <w:rFonts w:ascii="Times New Roman" w:cs="Times New Roman" w:eastAsia="Times New Roman" w:hAnsi="Times New Roman"/>
          <w:sz w:val="18"/>
          <w:szCs w:val="18"/>
          <w:color w:val="auto"/>
        </w:rPr>
        <w:t>. The Trustee may maintain a proceeding even if it does not possess any of the Notes or does not produce any of them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such proceeding. A delay or omission by the Trustee or any Holder in exercising any right or remedy following an Event of Default will not impair the right or remedy or constitute a waiver of, or acquiescence in, such Event of Default. All remedies will be cumulative to the extent permitted by law.</w:t>
      </w:r>
    </w:p>
    <w:p>
      <w:pPr>
        <w:spacing w:after="0" w:line="171"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7.05.</w:t>
        <w:tab/>
        <w:t>W</w:t>
      </w:r>
      <w:r>
        <w:rPr>
          <w:rFonts w:ascii="Times New Roman" w:cs="Times New Roman" w:eastAsia="Times New Roman" w:hAnsi="Times New Roman"/>
          <w:sz w:val="12"/>
          <w:szCs w:val="12"/>
          <w:b w:val="1"/>
          <w:bCs w:val="1"/>
          <w:color w:val="auto"/>
        </w:rPr>
        <w:t>aiver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ast</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efaults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An Event of Default pursuant to </w:t>
      </w:r>
      <w:r>
        <w:rPr>
          <w:rFonts w:ascii="Times New Roman" w:cs="Times New Roman" w:eastAsia="Times New Roman" w:hAnsi="Times New Roman"/>
          <w:sz w:val="18"/>
          <w:szCs w:val="18"/>
          <w:b w:val="1"/>
          <w:bCs w:val="1"/>
          <w:color w:val="auto"/>
        </w:rPr>
        <w:t>clause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(iv)</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(vi)</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Section 7.01(A)</w:t>
      </w:r>
      <w:r>
        <w:rPr>
          <w:rFonts w:ascii="Times New Roman" w:cs="Times New Roman" w:eastAsia="Times New Roman" w:hAnsi="Times New Roman"/>
          <w:sz w:val="18"/>
          <w:szCs w:val="18"/>
          <w:color w:val="auto"/>
        </w:rPr>
        <w:t xml:space="preserve"> (that, in the case of </w:t>
      </w:r>
      <w:r>
        <w:rPr>
          <w:rFonts w:ascii="Times New Roman" w:cs="Times New Roman" w:eastAsia="Times New Roman" w:hAnsi="Times New Roman"/>
          <w:sz w:val="18"/>
          <w:szCs w:val="18"/>
          <w:b w:val="1"/>
          <w:bCs w:val="1"/>
          <w:color w:val="auto"/>
        </w:rPr>
        <w:t>clause (vi)</w:t>
      </w:r>
      <w:r>
        <w:rPr>
          <w:rFonts w:ascii="Times New Roman" w:cs="Times New Roman" w:eastAsia="Times New Roman" w:hAnsi="Times New Roman"/>
          <w:sz w:val="18"/>
          <w:szCs w:val="18"/>
          <w:color w:val="auto"/>
        </w:rPr>
        <w:t xml:space="preserve"> only, results from a Default under any covenant that cannot be amended without the consent of each affected Holder), and a Default that could lead to such an Event of Default, can be waived only with the consent of each affected Holder. Each other Default or Event of Default may be waived, on behalf of all Holders, by the Holders of a majority in aggregate principal amount of the Notes then outstanding. If an Event of Default is so waived, then it will cease to exist. If a Default is so waived, then it will be deemed to be cured and any Event of Default arising therefrom will be deemed not to occur. However, no such waiver will extend to any subsequent or other Default or Event of Default or impair any right arising therefrom.</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7.06.</w:t>
        <w:tab/>
        <w:t>C</w:t>
      </w:r>
      <w:r>
        <w:rPr>
          <w:rFonts w:ascii="Times New Roman" w:cs="Times New Roman" w:eastAsia="Times New Roman" w:hAnsi="Times New Roman"/>
          <w:sz w:val="12"/>
          <w:szCs w:val="12"/>
          <w:b w:val="1"/>
          <w:bCs w:val="1"/>
          <w:color w:val="auto"/>
        </w:rPr>
        <w:t>ontrol by</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ajority</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Holders of a majority in aggregate principal amount of the Notes then outstanding may direct the time, method and place of conducting any proceeding for exercising any remedy available to the Trustee or exercising any trust or power conferred on it. However, the Trustee may refuse to follow any direction that conflicts with law, this Indenture or the Notes, or that, subject to </w:t>
      </w:r>
      <w:r>
        <w:rPr>
          <w:rFonts w:ascii="Times New Roman" w:cs="Times New Roman" w:eastAsia="Times New Roman" w:hAnsi="Times New Roman"/>
          <w:sz w:val="18"/>
          <w:szCs w:val="18"/>
          <w:b w:val="1"/>
          <w:bCs w:val="1"/>
          <w:color w:val="auto"/>
        </w:rPr>
        <w:t>Section 10.01</w:t>
      </w:r>
      <w:r>
        <w:rPr>
          <w:rFonts w:ascii="Times New Roman" w:cs="Times New Roman" w:eastAsia="Times New Roman" w:hAnsi="Times New Roman"/>
          <w:sz w:val="18"/>
          <w:szCs w:val="18"/>
          <w:color w:val="auto"/>
        </w:rPr>
        <w:t>, the Trustee determines may be unduly prejudicial to the rights of other Holders or may involve the Trustee in liability, unless the Trustee is offered (and, if requested, provided with) security and indemnity satisfactory to the Trustee against any loss, liability or expense to the Trustee that may result from the Trustee’s following such direction.</w:t>
      </w:r>
    </w:p>
    <w:p>
      <w:pPr>
        <w:spacing w:after="0" w:line="17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7.07.</w:t>
        <w:tab/>
        <w:t>L</w:t>
      </w:r>
      <w:r>
        <w:rPr>
          <w:rFonts w:ascii="Times New Roman" w:cs="Times New Roman" w:eastAsia="Times New Roman" w:hAnsi="Times New Roman"/>
          <w:sz w:val="12"/>
          <w:szCs w:val="12"/>
          <w:b w:val="1"/>
          <w:bCs w:val="1"/>
          <w:color w:val="auto"/>
        </w:rPr>
        <w:t>imitation 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uits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No Holder may pursue any remedy with respect to this Indenture or the Notes (except to enforce (x) its rights to receive the principal of, or the Fundamental Change Repurchase Price or Redemption Price for, or any interest on, any Notes; or (y) the Company’s obligations to Convert any Notes pursuant to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unless:</w:t>
      </w:r>
    </w:p>
    <w:p>
      <w:pPr>
        <w:spacing w:after="0" w:line="176" w:lineRule="exact"/>
        <w:rPr>
          <w:sz w:val="20"/>
          <w:szCs w:val="20"/>
          <w:color w:val="auto"/>
        </w:rPr>
      </w:pPr>
    </w:p>
    <w:p>
      <w:pPr>
        <w:ind w:left="1320" w:hanging="664"/>
        <w:spacing w:after="0"/>
        <w:tabs>
          <w:tab w:leader="none" w:pos="13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has previously delivered to the Trustee notice that an Event of Default is continuing;</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27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at least twenty five percent (25%) in aggregate principal amount of the Notes then outstanding deliver a request to the Trustee to pursue such remedy;</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288"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or Holders offer and, if requested, provide to the Trustee security and indemnity satisfactory to the Trustee against any loss, liability or expense to the Trustee that may result from the Trustee’s following such request;</w:t>
      </w:r>
    </w:p>
    <w:p>
      <w:pPr>
        <w:spacing w:after="0" w:line="161" w:lineRule="exact"/>
        <w:rPr>
          <w:rFonts w:ascii="Times New Roman" w:cs="Times New Roman" w:eastAsia="Times New Roman" w:hAnsi="Times New Roman"/>
          <w:sz w:val="18"/>
          <w:szCs w:val="18"/>
          <w:color w:val="auto"/>
        </w:rPr>
      </w:pPr>
    </w:p>
    <w:p>
      <w:pPr>
        <w:ind w:left="1260" w:hanging="604"/>
        <w:spacing w:after="0"/>
        <w:tabs>
          <w:tab w:leader="none" w:pos="12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comply with such request within sixty (60) calendar days after its receipt of such request and such offer of security 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indemnity; and</w:t>
      </w:r>
    </w:p>
    <w:p>
      <w:pPr>
        <w:spacing w:after="0" w:line="206" w:lineRule="exact"/>
        <w:rPr>
          <w:rFonts w:ascii="Times New Roman" w:cs="Times New Roman" w:eastAsia="Times New Roman" w:hAnsi="Times New Roman"/>
          <w:sz w:val="18"/>
          <w:szCs w:val="18"/>
          <w:color w:val="auto"/>
        </w:rPr>
      </w:pPr>
    </w:p>
    <w:p>
      <w:pPr>
        <w:ind w:firstLine="656"/>
        <w:spacing w:after="0" w:line="282" w:lineRule="auto"/>
        <w:tabs>
          <w:tab w:leader="none" w:pos="1359"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such sixty (60) calendar day period, Holders of a majority in aggregate principal amount of the Notes then outstanding do not deliver to the Trustee a direction that is inconsistent with such request.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Holder of a Note may not use this Indenture to prejudice the rights of another Holder or to obtain a preference or priority over another Holder.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Trustee will have no duty to determine whether any Holder’s use of this Indenture complies with the preceding sentence.</w:t>
      </w:r>
    </w:p>
    <w:p>
      <w:pPr>
        <w:spacing w:after="0" w:line="203"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7.08.</w:t>
        <w:tab/>
        <w:t>A</w:t>
      </w:r>
      <w:r>
        <w:rPr>
          <w:rFonts w:ascii="Times New Roman" w:cs="Times New Roman" w:eastAsia="Times New Roman" w:hAnsi="Times New Roman"/>
          <w:sz w:val="12"/>
          <w:szCs w:val="12"/>
          <w:b w:val="1"/>
          <w:bCs w:val="1"/>
          <w:color w:val="auto"/>
        </w:rPr>
        <w:t>bsolute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ight of</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2"/>
          <w:szCs w:val="12"/>
          <w:b w:val="1"/>
          <w:bCs w:val="1"/>
          <w:color w:val="auto"/>
        </w:rPr>
        <w:t>olders to</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nstitute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uit for the</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nforcement of the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ight to</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eceive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ayment and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onversion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onsideration</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this Indenture or the Notes (but without limiting </w:t>
      </w:r>
      <w:r>
        <w:rPr>
          <w:rFonts w:ascii="Times New Roman" w:cs="Times New Roman" w:eastAsia="Times New Roman" w:hAnsi="Times New Roman"/>
          <w:sz w:val="18"/>
          <w:szCs w:val="18"/>
          <w:b w:val="1"/>
          <w:bCs w:val="1"/>
          <w:color w:val="auto"/>
        </w:rPr>
        <w:t>Section 8.01</w:t>
      </w:r>
      <w:r>
        <w:rPr>
          <w:rFonts w:ascii="Times New Roman" w:cs="Times New Roman" w:eastAsia="Times New Roman" w:hAnsi="Times New Roman"/>
          <w:sz w:val="18"/>
          <w:szCs w:val="18"/>
          <w:color w:val="auto"/>
        </w:rPr>
        <w:t xml:space="preserve">), the right of each Holder of a Note to bring suit for the enforcement of any payment or delivery, as applicable, of the principal of, or the Fundamental Change Repurchase Price or Redemption Price for, or any interest on, or the Conversion Consideration due pursuant to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xml:space="preserve"> upon Conversion of, such Note on or after the respective due dates therefor provided in this Indenture and the Notes, will not be impaired or affected without the consent of such Holder.</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6" w:name="page87"/>
    <w:bookmarkEnd w:id="86"/>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7.09.</w:t>
        <w:tab/>
        <w:t>C</w:t>
      </w:r>
      <w:r>
        <w:rPr>
          <w:rFonts w:ascii="Times New Roman" w:cs="Times New Roman" w:eastAsia="Times New Roman" w:hAnsi="Times New Roman"/>
          <w:sz w:val="12"/>
          <w:szCs w:val="12"/>
          <w:b w:val="1"/>
          <w:bCs w:val="1"/>
          <w:color w:val="auto"/>
        </w:rPr>
        <w:t>ollection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uit by</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rustee</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The Trustee will have the right, upon the occurrence and continuance of an Event of Default pursuant to </w:t>
      </w:r>
      <w:r>
        <w:rPr>
          <w:rFonts w:ascii="Times New Roman" w:cs="Times New Roman" w:eastAsia="Times New Roman" w:hAnsi="Times New Roman"/>
          <w:sz w:val="18"/>
          <w:szCs w:val="18"/>
          <w:b w:val="1"/>
          <w:bCs w:val="1"/>
          <w:color w:val="auto"/>
        </w:rPr>
        <w:t>clause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(iv)</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Section 7.01(A)</w:t>
      </w:r>
      <w:r>
        <w:rPr>
          <w:rFonts w:ascii="Times New Roman" w:cs="Times New Roman" w:eastAsia="Times New Roman" w:hAnsi="Times New Roman"/>
          <w:sz w:val="18"/>
          <w:szCs w:val="18"/>
          <w:color w:val="auto"/>
        </w:rPr>
        <w:t xml:space="preserve">, to recover judgment in its own name and as trustee of an express trust against the Company for the total unpaid or undelivered principal of, or Fundamental Change Repurchase Price or Redemption Price for, or any interest on, or Conversion Consideration due pursuant to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xml:space="preserve"> upon Conversion of, the Notes, as applicable, and, to the extent lawful, any Default Interest on any Defaulted Amounts, and such further amounts sufficient to cover the costs and expenses of collection, including compensation provided for in </w:t>
      </w:r>
      <w:r>
        <w:rPr>
          <w:rFonts w:ascii="Times New Roman" w:cs="Times New Roman" w:eastAsia="Times New Roman" w:hAnsi="Times New Roman"/>
          <w:sz w:val="18"/>
          <w:szCs w:val="18"/>
          <w:b w:val="1"/>
          <w:bCs w:val="1"/>
          <w:color w:val="auto"/>
        </w:rPr>
        <w:t>Section 10.06</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7.10.</w:t>
        <w:tab/>
        <w:t>T</w:t>
      </w:r>
      <w:r>
        <w:rPr>
          <w:rFonts w:ascii="Times New Roman" w:cs="Times New Roman" w:eastAsia="Times New Roman" w:hAnsi="Times New Roman"/>
          <w:sz w:val="12"/>
          <w:szCs w:val="12"/>
          <w:b w:val="1"/>
          <w:bCs w:val="1"/>
          <w:color w:val="auto"/>
        </w:rPr>
        <w:t>rustee</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ay</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ile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roofs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laim</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Trustee has the right to (A) file such proofs of claim and other papers or documents as may be necessary or advisable in order to have the claims of the Trustee and the Holders allowed in any judicial proceedings relative to the Company (or any other obligor upon the Notes) or its creditors or property and (B) collect, receive and distribute any money or other property payable or deliverable on any such claims. Each Holder authorizes any custodian in such proceeding to make such payments to the Trustee, and, if the Trustee consents to the making of such payments directly to the Holders, to pay to the Trustee any amount due to the Trustee for the reasonable compensation, expenses, disbursements and advances of the Trustee, and its agents and counsel, and any other amounts payable to the Trustee pursuant to </w:t>
      </w:r>
      <w:r>
        <w:rPr>
          <w:rFonts w:ascii="Times New Roman" w:cs="Times New Roman" w:eastAsia="Times New Roman" w:hAnsi="Times New Roman"/>
          <w:sz w:val="18"/>
          <w:szCs w:val="18"/>
          <w:b w:val="1"/>
          <w:bCs w:val="1"/>
          <w:color w:val="auto"/>
        </w:rPr>
        <w:t>Section 10.06</w:t>
      </w:r>
      <w:r>
        <w:rPr>
          <w:rFonts w:ascii="Times New Roman" w:cs="Times New Roman" w:eastAsia="Times New Roman" w:hAnsi="Times New Roman"/>
          <w:sz w:val="18"/>
          <w:szCs w:val="18"/>
          <w:color w:val="auto"/>
        </w:rPr>
        <w:t>. To the extent that the payment of any such compensation, expenses, disbursements, advances and other amounts out of the estate in such proceeding, is denied for any reason, payment of the same will be secured by a lien (senior to the rights of Holders) on, and will be paid out of, any and all distributions, dividends, money, securities and other properties that the Holders may be entitled to receive in such proceeding (whether in liquidation or under any plan of reorganization or arrangement or otherwise). Nothing in this Indenture will be deemed to authorize the Trustee to authorize, consent to,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186"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7.11.</w:t>
        <w:tab/>
        <w:t>P</w:t>
      </w:r>
      <w:r>
        <w:rPr>
          <w:rFonts w:ascii="Times New Roman" w:cs="Times New Roman" w:eastAsia="Times New Roman" w:hAnsi="Times New Roman"/>
          <w:sz w:val="12"/>
          <w:szCs w:val="12"/>
          <w:b w:val="1"/>
          <w:bCs w:val="1"/>
          <w:color w:val="auto"/>
        </w:rPr>
        <w:t>riorities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 Trustee will pay or deliver in the following order any money or other property that it collects pursuant to this </w:t>
      </w:r>
      <w:r>
        <w:rPr>
          <w:rFonts w:ascii="Times New Roman" w:cs="Times New Roman" w:eastAsia="Times New Roman" w:hAnsi="Times New Roman"/>
          <w:sz w:val="18"/>
          <w:szCs w:val="18"/>
          <w:b w:val="1"/>
          <w:bCs w:val="1"/>
          <w:color w:val="auto"/>
        </w:rPr>
        <w:t>Article 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68" w:lineRule="auto"/>
        <w:rPr>
          <w:sz w:val="20"/>
          <w:szCs w:val="20"/>
          <w:color w:val="auto"/>
        </w:rPr>
      </w:pP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to the Trustee and its agents and attorneys for amounts due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10.06</w:t>
      </w:r>
      <w:r>
        <w:rPr>
          <w:rFonts w:ascii="Times New Roman" w:cs="Times New Roman" w:eastAsia="Times New Roman" w:hAnsi="Times New Roman"/>
          <w:sz w:val="18"/>
          <w:szCs w:val="18"/>
          <w:color w:val="auto"/>
        </w:rPr>
        <w:t>, including payment of all fees and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and all expenses and liabilities incurred, and all advances made, by, the Trustee (in each of its capacities under this Indenture, including as Note Agent) and the costs and expenses of collection;</w:t>
      </w:r>
    </w:p>
    <w:p>
      <w:pPr>
        <w:spacing w:after="0" w:line="173" w:lineRule="exact"/>
        <w:rPr>
          <w:sz w:val="20"/>
          <w:szCs w:val="20"/>
          <w:color w:val="auto"/>
        </w:rPr>
      </w:pPr>
    </w:p>
    <w:p>
      <w:pPr>
        <w:jc w:val="both"/>
        <w:ind w:left="6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to Holders for unpaid amounts or other property due on the Notes, including the principal of, or the Fundamental 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Repurchase Price or Redemption Price for, or any interest on, or any Conversion Consideration due upon Conversion of, the Notes, ratably, and without preference or priority of any kind, according to such amounts or other property due and payable on all of the Notes; and</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7" w:name="page88"/>
    <w:bookmarkEnd w:id="87"/>
    <w:p>
      <w:pPr>
        <w:ind w:left="1300"/>
        <w:spacing w:after="0"/>
        <w:tabs>
          <w:tab w:leader="none" w:pos="1960" w:val="left"/>
        </w:tabs>
        <w:rPr>
          <w:sz w:val="20"/>
          <w:szCs w:val="20"/>
          <w:color w:val="auto"/>
        </w:rPr>
      </w:pP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to the Company or such other Person as a court of competent jurisdiction directs.</w:t>
      </w:r>
    </w:p>
    <w:p>
      <w:pPr>
        <w:spacing w:after="0" w:line="22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The Trustee may fix a record date and payment date for any payment or delivery to the Holders pursuant to this </w:t>
      </w:r>
      <w:r>
        <w:rPr>
          <w:rFonts w:ascii="Times New Roman" w:cs="Times New Roman" w:eastAsia="Times New Roman" w:hAnsi="Times New Roman"/>
          <w:sz w:val="18"/>
          <w:szCs w:val="18"/>
          <w:b w:val="1"/>
          <w:bCs w:val="1"/>
          <w:color w:val="auto"/>
        </w:rPr>
        <w:t>Section 7.11</w:t>
      </w:r>
      <w:r>
        <w:rPr>
          <w:rFonts w:ascii="Times New Roman" w:cs="Times New Roman" w:eastAsia="Times New Roman" w:hAnsi="Times New Roman"/>
          <w:sz w:val="18"/>
          <w:szCs w:val="18"/>
          <w:color w:val="auto"/>
        </w:rPr>
        <w:t>, in which case the Trustee will instruct the Company to, and the Company will, deliver, at least fifteen (15) calendar days before such record date, to each Holder and the Trustee a notice stating such record date, such payment date and the amount of such payment or nature of such delivery, as applicable.</w:t>
      </w:r>
    </w:p>
    <w:p>
      <w:pPr>
        <w:spacing w:after="0" w:line="171"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7.12.</w:t>
        <w:tab/>
        <w:t>U</w:t>
      </w:r>
      <w:r>
        <w:rPr>
          <w:rFonts w:ascii="Times New Roman" w:cs="Times New Roman" w:eastAsia="Times New Roman" w:hAnsi="Times New Roman"/>
          <w:sz w:val="12"/>
          <w:szCs w:val="12"/>
          <w:b w:val="1"/>
          <w:bCs w:val="1"/>
          <w:color w:val="auto"/>
        </w:rPr>
        <w:t>ndertaking for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osts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any suit for the enforcement of any right or remedy under this Indenture or the Notes or in any suit against the Trustee for any action taken or omitted by it as Trustee, a court, in its discretion, may (A) require the filing by any litigant party in such suit of an undertaking to pay the costs of such suit; and (B) assess reasonable costs (including reasonable attorneys’ fees) against any litigant party in such suit, having due regard to the merits and good faith of the claims or defenses made by such litigant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b w:val="1"/>
          <w:bCs w:val="1"/>
          <w:color w:val="auto"/>
        </w:rPr>
        <w:t>Section 7.12</w:t>
      </w:r>
      <w:r>
        <w:rPr>
          <w:rFonts w:ascii="Times New Roman" w:cs="Times New Roman" w:eastAsia="Times New Roman" w:hAnsi="Times New Roman"/>
          <w:sz w:val="18"/>
          <w:szCs w:val="18"/>
          <w:color w:val="auto"/>
        </w:rPr>
        <w:t xml:space="preserve"> does not apply to any suit by the Trustee, any suit by a Holder pursuant to </w:t>
      </w:r>
      <w:r>
        <w:rPr>
          <w:rFonts w:ascii="Times New Roman" w:cs="Times New Roman" w:eastAsia="Times New Roman" w:hAnsi="Times New Roman"/>
          <w:sz w:val="18"/>
          <w:szCs w:val="18"/>
          <w:b w:val="1"/>
          <w:bCs w:val="1"/>
          <w:color w:val="auto"/>
        </w:rPr>
        <w:t>Section 7.08</w:t>
      </w:r>
      <w:r>
        <w:rPr>
          <w:rFonts w:ascii="Times New Roman" w:cs="Times New Roman" w:eastAsia="Times New Roman" w:hAnsi="Times New Roman"/>
          <w:sz w:val="18"/>
          <w:szCs w:val="18"/>
          <w:color w:val="auto"/>
        </w:rPr>
        <w:t xml:space="preserve"> or any suit by one or more Holders of more than ten percent (10%) in aggregate principal amount of the Notes then outstanding.</w:t>
      </w:r>
    </w:p>
    <w:p>
      <w:pPr>
        <w:spacing w:after="0" w:line="183" w:lineRule="exact"/>
        <w:rPr>
          <w:sz w:val="20"/>
          <w:szCs w:val="20"/>
          <w:color w:val="auto"/>
        </w:rPr>
      </w:pPr>
    </w:p>
    <w:p>
      <w:pPr>
        <w:ind w:left="3020"/>
        <w:spacing w:after="0"/>
        <w:tabs>
          <w:tab w:leader="none" w:pos="4140" w:val="left"/>
        </w:tabs>
        <w:rPr>
          <w:sz w:val="20"/>
          <w:szCs w:val="20"/>
          <w:color w:val="auto"/>
        </w:rPr>
      </w:pPr>
      <w:r>
        <w:rPr>
          <w:rFonts w:ascii="Times New Roman" w:cs="Times New Roman" w:eastAsia="Times New Roman" w:hAnsi="Times New Roman"/>
          <w:sz w:val="18"/>
          <w:szCs w:val="18"/>
          <w:b w:val="1"/>
          <w:bCs w:val="1"/>
          <w:color w:val="auto"/>
        </w:rPr>
        <w:t>Article 8.</w:t>
      </w:r>
      <w:r>
        <w:rPr>
          <w:sz w:val="20"/>
          <w:szCs w:val="20"/>
          <w:color w:val="auto"/>
        </w:rPr>
        <w:tab/>
      </w:r>
      <w:r>
        <w:rPr>
          <w:rFonts w:ascii="Times New Roman" w:cs="Times New Roman" w:eastAsia="Times New Roman" w:hAnsi="Times New Roman"/>
          <w:sz w:val="17"/>
          <w:szCs w:val="17"/>
          <w:b w:val="1"/>
          <w:bCs w:val="1"/>
          <w:color w:val="auto"/>
        </w:rPr>
        <w:t>AMENDMENTS, SUPPLEMENTS AND WAIVERS</w:t>
      </w:r>
    </w:p>
    <w:p>
      <w:pPr>
        <w:spacing w:after="0" w:line="22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8.01.</w:t>
        <w:tab/>
        <w:t>W</w:t>
      </w:r>
      <w:r>
        <w:rPr>
          <w:rFonts w:ascii="Times New Roman" w:cs="Times New Roman" w:eastAsia="Times New Roman" w:hAnsi="Times New Roman"/>
          <w:sz w:val="12"/>
          <w:szCs w:val="12"/>
          <w:b w:val="1"/>
          <w:bCs w:val="1"/>
          <w:color w:val="auto"/>
        </w:rPr>
        <w:t>ithout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onsent of</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2"/>
          <w:szCs w:val="12"/>
          <w:b w:val="1"/>
          <w:bCs w:val="1"/>
          <w:color w:val="auto"/>
        </w:rPr>
        <w:t>olders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w:t>
      </w:r>
      <w:r>
        <w:rPr>
          <w:rFonts w:ascii="Times New Roman" w:cs="Times New Roman" w:eastAsia="Times New Roman" w:hAnsi="Times New Roman"/>
          <w:sz w:val="18"/>
          <w:szCs w:val="18"/>
          <w:b w:val="1"/>
          <w:bCs w:val="1"/>
          <w:color w:val="auto"/>
        </w:rPr>
        <w:t>Section 8.02</w:t>
      </w:r>
      <w:r>
        <w:rPr>
          <w:rFonts w:ascii="Times New Roman" w:cs="Times New Roman" w:eastAsia="Times New Roman" w:hAnsi="Times New Roman"/>
          <w:sz w:val="18"/>
          <w:szCs w:val="18"/>
          <w:color w:val="auto"/>
        </w:rPr>
        <w:t>, the Company and the Trustee may amend or supplement this Indenture or the Notes without the consent of any Holder to:</w:t>
      </w:r>
    </w:p>
    <w:p>
      <w:pPr>
        <w:spacing w:after="0" w:line="159" w:lineRule="exact"/>
        <w:rPr>
          <w:sz w:val="20"/>
          <w:szCs w:val="20"/>
          <w:color w:val="auto"/>
        </w:rPr>
      </w:pPr>
    </w:p>
    <w:p>
      <w:pPr>
        <w:ind w:left="1320" w:hanging="664"/>
        <w:spacing w:after="0"/>
        <w:tabs>
          <w:tab w:leader="none" w:pos="13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 any ambiguity or correct any omission, defect or inconsistency in this Indenture or the Notes;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guarantees with respect to the Company’s obligations under this Indenture or the Notes;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the Notes;</w:t>
      </w:r>
    </w:p>
    <w:p>
      <w:pPr>
        <w:spacing w:after="0" w:line="225" w:lineRule="exact"/>
        <w:rPr>
          <w:rFonts w:ascii="Times New Roman" w:cs="Times New Roman" w:eastAsia="Times New Roman" w:hAnsi="Times New Roman"/>
          <w:sz w:val="18"/>
          <w:szCs w:val="18"/>
          <w:color w:val="auto"/>
        </w:rPr>
      </w:pPr>
    </w:p>
    <w:p>
      <w:pPr>
        <w:ind w:left="1420" w:hanging="764"/>
        <w:spacing w:after="0"/>
        <w:tabs>
          <w:tab w:leader="none" w:pos="14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to the Company’s covenants or Events of Default for the benefit of the Holders or surrender any right or power conferred on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 for the assumption of the Company’s obligations under this Indenture and the Notes pursuant to, and in compliance with, </w:t>
      </w:r>
      <w:r>
        <w:rPr>
          <w:rFonts w:ascii="Times New Roman" w:cs="Times New Roman" w:eastAsia="Times New Roman" w:hAnsi="Times New Roman"/>
          <w:sz w:val="18"/>
          <w:szCs w:val="18"/>
          <w:b w:val="1"/>
          <w:bCs w:val="1"/>
          <w:color w:val="auto"/>
        </w:rPr>
        <w:t>Article</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6</w:t>
      </w:r>
      <w:r>
        <w:rPr>
          <w:rFonts w:ascii="Times New Roman" w:cs="Times New Roman" w:eastAsia="Times New Roman" w:hAnsi="Times New Roman"/>
          <w:sz w:val="18"/>
          <w:szCs w:val="18"/>
          <w:color w:val="auto"/>
        </w:rPr>
        <w:t>;</w:t>
      </w:r>
    </w:p>
    <w:p>
      <w:pPr>
        <w:spacing w:after="0" w:line="202"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 into supplemental indentures pursuant to, and in accordance with, </w:t>
      </w:r>
      <w:r>
        <w:rPr>
          <w:rFonts w:ascii="Times New Roman" w:cs="Times New Roman" w:eastAsia="Times New Roman" w:hAnsi="Times New Roman"/>
          <w:sz w:val="18"/>
          <w:szCs w:val="18"/>
          <w:b w:val="1"/>
          <w:bCs w:val="1"/>
          <w:color w:val="auto"/>
        </w:rPr>
        <w:t>Section 5.09</w:t>
      </w:r>
      <w:r>
        <w:rPr>
          <w:rFonts w:ascii="Times New Roman" w:cs="Times New Roman" w:eastAsia="Times New Roman" w:hAnsi="Times New Roman"/>
          <w:sz w:val="18"/>
          <w:szCs w:val="18"/>
          <w:color w:val="auto"/>
        </w:rPr>
        <w:t xml:space="preserve"> in connection with an Ordinary Share Change Event;</w:t>
      </w:r>
    </w:p>
    <w:p>
      <w:pPr>
        <w:spacing w:after="0" w:line="227" w:lineRule="exact"/>
        <w:rPr>
          <w:rFonts w:ascii="Times New Roman" w:cs="Times New Roman" w:eastAsia="Times New Roman" w:hAnsi="Times New Roman"/>
          <w:sz w:val="18"/>
          <w:szCs w:val="18"/>
          <w:color w:val="auto"/>
        </w:rPr>
      </w:pPr>
    </w:p>
    <w:p>
      <w:pPr>
        <w:ind w:firstLine="656"/>
        <w:spacing w:after="0" w:line="284" w:lineRule="auto"/>
        <w:tabs>
          <w:tab w:leader="none" w:pos="1258"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irrevocably elect or eliminate any Settlement Method or Specified Dollar Amount;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no such election or elimination will affect any Settlement Method theretofore elected (or deemed to be elected) with respect to any Note pursuant to </w:t>
      </w:r>
      <w:r>
        <w:rPr>
          <w:rFonts w:ascii="Times New Roman" w:cs="Times New Roman" w:eastAsia="Times New Roman" w:hAnsi="Times New Roman"/>
          <w:sz w:val="18"/>
          <w:szCs w:val="18"/>
          <w:b w:val="1"/>
          <w:bCs w:val="1"/>
          <w:color w:val="auto"/>
        </w:rPr>
        <w:t>Section 5.03(A)</w:t>
      </w:r>
      <w:r>
        <w:rPr>
          <w:rFonts w:ascii="Times New Roman" w:cs="Times New Roman" w:eastAsia="Times New Roman" w:hAnsi="Times New Roman"/>
          <w:sz w:val="18"/>
          <w:szCs w:val="18"/>
          <w:color w:val="auto"/>
        </w:rPr>
        <w:t>;</w:t>
      </w:r>
    </w:p>
    <w:p>
      <w:pPr>
        <w:spacing w:after="0" w:line="331"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1"/>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8" w:name="page89"/>
    <w:bookmarkEnd w:id="88"/>
    <w:p>
      <w:pPr>
        <w:ind w:left="1320" w:hanging="664"/>
        <w:spacing w:after="0"/>
        <w:tabs>
          <w:tab w:leader="none" w:pos="13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or provide for the acceptance of the appointment, under this Indenture, of a successor Trustee;</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139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 the provisions of this Indenture and the Notes to the “Description of Notes” section of the Company’s preliminary offering memorandum, dated May 11, 2026, as supplemented by the related pricing term sheet, dated May 11, 2026;</w:t>
      </w:r>
    </w:p>
    <w:p>
      <w:pPr>
        <w:spacing w:after="0" w:line="15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 for or confirm the issuance of additional Notes pursuant to </w:t>
      </w:r>
      <w:r>
        <w:rPr>
          <w:rFonts w:ascii="Times New Roman" w:cs="Times New Roman" w:eastAsia="Times New Roman" w:hAnsi="Times New Roman"/>
          <w:sz w:val="18"/>
          <w:szCs w:val="18"/>
          <w:b w:val="1"/>
          <w:bCs w:val="1"/>
          <w:color w:val="auto"/>
        </w:rPr>
        <w:t>Section 2.03(B)</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firstLine="656"/>
        <w:spacing w:after="0" w:line="282" w:lineRule="auto"/>
        <w:tabs>
          <w:tab w:leader="none" w:pos="1339"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any requirement of the SEC in connection with any qualification of this Indenture, or any related supplemental indenture, under the Trust Indenture Act, as then in effect; or</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251"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other change to this Indenture or the Notes that does not, individually or in the aggregate with all other such changes, adversely affect the rights of the Holders, as such, in any material respect, as determined by the Company in good faith.</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At the written request of any Holder of a Note or owner of a beneficial interest in a Global Note, the Company will provide a copy of the “Description of Notes” section and pricing term sheet referred to in </w:t>
      </w:r>
      <w:r>
        <w:rPr>
          <w:rFonts w:ascii="Times New Roman" w:cs="Times New Roman" w:eastAsia="Times New Roman" w:hAnsi="Times New Roman"/>
          <w:sz w:val="18"/>
          <w:szCs w:val="18"/>
          <w:b w:val="1"/>
          <w:bCs w:val="1"/>
          <w:color w:val="auto"/>
        </w:rPr>
        <w:t>Section 8.01(I)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8.02.</w:t>
        <w:tab/>
        <w:t>W</w:t>
      </w:r>
      <w:r>
        <w:rPr>
          <w:rFonts w:ascii="Times New Roman" w:cs="Times New Roman" w:eastAsia="Times New Roman" w:hAnsi="Times New Roman"/>
          <w:sz w:val="12"/>
          <w:szCs w:val="12"/>
          <w:b w:val="1"/>
          <w:bCs w:val="1"/>
          <w:color w:val="auto"/>
        </w:rPr>
        <w:t>ith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onsent of</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2"/>
          <w:szCs w:val="12"/>
          <w:b w:val="1"/>
          <w:bCs w:val="1"/>
          <w:color w:val="auto"/>
        </w:rPr>
        <w:t>olders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656"/>
        <w:spacing w:after="0" w:line="259" w:lineRule="auto"/>
        <w:tabs>
          <w:tab w:leader="none" w:pos="1343"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Sections 8.01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7.05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7.08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immediately following sentence, the Company and the Trustee may,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consent of the Holders of a majority in aggregate principal amount of the Notes then outstanding, amend or supplement this Indenture or the Notes or waive compliance with any provision of this Indenture or the Notes. Notwithstanding anything to the contrary in the foregoing sentence, but subject to </w:t>
      </w:r>
      <w:r>
        <w:rPr>
          <w:rFonts w:ascii="Times New Roman" w:cs="Times New Roman" w:eastAsia="Times New Roman" w:hAnsi="Times New Roman"/>
          <w:sz w:val="18"/>
          <w:szCs w:val="18"/>
          <w:b w:val="1"/>
          <w:bCs w:val="1"/>
          <w:color w:val="auto"/>
        </w:rPr>
        <w:t>Section 8.01</w:t>
      </w:r>
      <w:r>
        <w:rPr>
          <w:rFonts w:ascii="Times New Roman" w:cs="Times New Roman" w:eastAsia="Times New Roman" w:hAnsi="Times New Roman"/>
          <w:sz w:val="18"/>
          <w:szCs w:val="18"/>
          <w:color w:val="auto"/>
        </w:rPr>
        <w:t>, without the consent of each affected Holder, no amendment or supplement to this Indenture or the Notes, or waiver of any provision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Indenture or the Notes, may:</w:t>
      </w:r>
    </w:p>
    <w:p>
      <w:pPr>
        <w:spacing w:after="0" w:line="183"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or change the stated maturity, of any Note;</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2108"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Redemption Price or Fundamental Change Repurchase Price for any Note or change the times at which, or the circumstances under which, the Notes may or will be redeemed or repurchased by the Company;</w:t>
      </w:r>
    </w:p>
    <w:p>
      <w:pPr>
        <w:spacing w:after="0" w:line="161"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or extend the time for the payment, of interest on any Note;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that adversely affects the Conversion rights of any Note;</w:t>
      </w:r>
    </w:p>
    <w:p>
      <w:pPr>
        <w:spacing w:after="0" w:line="22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impair the rights of any Holder set forth in </w:t>
      </w:r>
      <w:r>
        <w:rPr>
          <w:rFonts w:ascii="Times New Roman" w:cs="Times New Roman" w:eastAsia="Times New Roman" w:hAnsi="Times New Roman"/>
          <w:sz w:val="18"/>
          <w:szCs w:val="18"/>
          <w:b w:val="1"/>
          <w:bCs w:val="1"/>
          <w:color w:val="auto"/>
        </w:rPr>
        <w:t>Section 7.08</w:t>
      </w:r>
      <w:r>
        <w:rPr>
          <w:rFonts w:ascii="Times New Roman" w:cs="Times New Roman" w:eastAsia="Times New Roman" w:hAnsi="Times New Roman"/>
          <w:sz w:val="18"/>
          <w:szCs w:val="18"/>
          <w:color w:val="auto"/>
        </w:rPr>
        <w:t xml:space="preserve"> (as such section is in effect on the Issue Date);</w:t>
      </w:r>
    </w:p>
    <w:p>
      <w:pPr>
        <w:spacing w:after="0" w:line="22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ranking of the Notes;</w:t>
      </w:r>
    </w:p>
    <w:p>
      <w:pPr>
        <w:spacing w:after="0" w:line="396"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2"/>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ind w:left="1980" w:hanging="676"/>
        <w:spacing w:after="0"/>
        <w:tabs>
          <w:tab w:leader="none" w:pos="19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Note payable in money, or at a place of payment, other than that stated in this Indenture or the Note;</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200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the Company’s obligation to pay Additional Amounts on any Note in a manner adverse to any Holder or beneficial owner of the Notes;</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Notes whose Holders must consent to any amendment, supplement, waiver or other modification; or</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832"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direct or indirect change to any amendment, supplement, waiver or modification provision of this Indenture or the Notes that requires the consent of each affected Holder.</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For the avoidance of doubt, pursuant to </w:t>
      </w:r>
      <w:r>
        <w:rPr>
          <w:rFonts w:ascii="Times New Roman" w:cs="Times New Roman" w:eastAsia="Times New Roman" w:hAnsi="Times New Roman"/>
          <w:sz w:val="18"/>
          <w:szCs w:val="18"/>
          <w:b w:val="1"/>
          <w:bCs w:val="1"/>
          <w:color w:val="auto"/>
        </w:rPr>
        <w:t>clauses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(iv)</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b w:val="1"/>
          <w:bCs w:val="1"/>
          <w:color w:val="auto"/>
        </w:rPr>
        <w:t>Section 8.02(A)</w:t>
      </w:r>
      <w:r>
        <w:rPr>
          <w:rFonts w:ascii="Times New Roman" w:cs="Times New Roman" w:eastAsia="Times New Roman" w:hAnsi="Times New Roman"/>
          <w:sz w:val="18"/>
          <w:szCs w:val="18"/>
          <w:color w:val="auto"/>
        </w:rPr>
        <w:t>, no amendment or supplement to this Indenture or the Notes, or waiver of any provision of this Indenture or the Notes, may (except as expressly provided otherwise in this Indenture or the Notes) change the type or reduce the amount of consideration due on any Note (whether on an Interest Payment Date, Redemption Date, Fundamental Change Repurchase Date or the Maturity Date or upon Conversion, or otherwise), or the date(s) or time(s) such consideration is payable or deliverable, as applicable, without the consent of each affected Holder.</w:t>
      </w:r>
    </w:p>
    <w:p>
      <w:pPr>
        <w:spacing w:after="0" w:line="179" w:lineRule="exact"/>
        <w:rPr>
          <w:sz w:val="20"/>
          <w:szCs w:val="20"/>
          <w:color w:val="auto"/>
        </w:rPr>
      </w:pPr>
    </w:p>
    <w:p>
      <w:pPr>
        <w:ind w:firstLine="656"/>
        <w:spacing w:after="0" w:line="286" w:lineRule="auto"/>
        <w:tabs>
          <w:tab w:leader="none" w:pos="1243"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Holders Need Not Approve the Particular Form of any Amendment</w:t>
      </w:r>
      <w:r>
        <w:rPr>
          <w:rFonts w:ascii="Times New Roman" w:cs="Times New Roman" w:eastAsia="Times New Roman" w:hAnsi="Times New Roman"/>
          <w:sz w:val="18"/>
          <w:szCs w:val="18"/>
          <w:color w:val="auto"/>
        </w:rPr>
        <w:t>. A consent of any Holder pursuant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8.02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need approve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only the substance, and not necessarily the particular form, of the proposed amendment, supplement or waiver.</w:t>
      </w:r>
    </w:p>
    <w:p>
      <w:pPr>
        <w:spacing w:after="0" w:line="15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8.03.</w:t>
        <w:tab/>
        <w:t>N</w:t>
      </w:r>
      <w:r>
        <w:rPr>
          <w:rFonts w:ascii="Times New Roman" w:cs="Times New Roman" w:eastAsia="Times New Roman" w:hAnsi="Times New Roman"/>
          <w:sz w:val="12"/>
          <w:szCs w:val="12"/>
          <w:b w:val="1"/>
          <w:bCs w:val="1"/>
          <w:color w:val="auto"/>
        </w:rPr>
        <w:t>otice of</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mendments</w:t>
      </w:r>
      <w:r>
        <w:rPr>
          <w:rFonts w:ascii="Times New Roman" w:cs="Times New Roman" w:eastAsia="Times New Roman" w:hAnsi="Times New Roman"/>
          <w:sz w:val="18"/>
          <w:szCs w:val="18"/>
          <w:b w:val="1"/>
          <w:bCs w:val="1"/>
          <w:color w:val="auto"/>
        </w:rPr>
        <w:t>, S</w:t>
      </w:r>
      <w:r>
        <w:rPr>
          <w:rFonts w:ascii="Times New Roman" w:cs="Times New Roman" w:eastAsia="Times New Roman" w:hAnsi="Times New Roman"/>
          <w:sz w:val="12"/>
          <w:szCs w:val="12"/>
          <w:b w:val="1"/>
          <w:bCs w:val="1"/>
          <w:color w:val="auto"/>
        </w:rPr>
        <w:t>upplements and</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aivers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As soon as reasonably practicable after any amendment, supplement or waiver pursuant to </w:t>
      </w:r>
      <w:r>
        <w:rPr>
          <w:rFonts w:ascii="Times New Roman" w:cs="Times New Roman" w:eastAsia="Times New Roman" w:hAnsi="Times New Roman"/>
          <w:sz w:val="18"/>
          <w:szCs w:val="18"/>
          <w:b w:val="1"/>
          <w:bCs w:val="1"/>
          <w:color w:val="auto"/>
        </w:rPr>
        <w:t>Section 8.01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8.02</w:t>
      </w:r>
      <w:r>
        <w:rPr>
          <w:rFonts w:ascii="Times New Roman" w:cs="Times New Roman" w:eastAsia="Times New Roman" w:hAnsi="Times New Roman"/>
          <w:sz w:val="18"/>
          <w:szCs w:val="18"/>
          <w:color w:val="auto"/>
        </w:rPr>
        <w:t xml:space="preserve"> becomes effective, the Company will send to the Holders and the Trustee notice that (A) describes the substance of such amendment, supplement or waiver in reasonable detail and (B) states the effective date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will not be required to provide such notice to the Holders if such amendment, supplement or waiver is included in a periodic report filed by the Company with the SEC within four (4) Business Days of its effectiveness. The failure to send, or the existence of any defect in, such notice will not impair or affect the validity of such amendment, supplement or waiver.</w:t>
      </w:r>
    </w:p>
    <w:p>
      <w:pPr>
        <w:spacing w:after="0" w:line="17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8.04.</w:t>
        <w:tab/>
        <w:t>R</w:t>
      </w:r>
      <w:r>
        <w:rPr>
          <w:rFonts w:ascii="Times New Roman" w:cs="Times New Roman" w:eastAsia="Times New Roman" w:hAnsi="Times New Roman"/>
          <w:sz w:val="12"/>
          <w:szCs w:val="12"/>
          <w:b w:val="1"/>
          <w:bCs w:val="1"/>
          <w:color w:val="auto"/>
        </w:rPr>
        <w:t>evocation</w:t>
      </w:r>
      <w:r>
        <w:rPr>
          <w:rFonts w:ascii="Times New Roman" w:cs="Times New Roman" w:eastAsia="Times New Roman" w:hAnsi="Times New Roman"/>
          <w:sz w:val="18"/>
          <w:szCs w:val="18"/>
          <w:b w:val="1"/>
          <w:bCs w:val="1"/>
          <w:color w:val="auto"/>
        </w:rPr>
        <w:t>, E</w:t>
      </w:r>
      <w:r>
        <w:rPr>
          <w:rFonts w:ascii="Times New Roman" w:cs="Times New Roman" w:eastAsia="Times New Roman" w:hAnsi="Times New Roman"/>
          <w:sz w:val="12"/>
          <w:szCs w:val="12"/>
          <w:b w:val="1"/>
          <w:bCs w:val="1"/>
          <w:color w:val="auto"/>
        </w:rPr>
        <w:t>ffect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olicitation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onsents</w:t>
      </w:r>
      <w:r>
        <w:rPr>
          <w:rFonts w:ascii="Times New Roman" w:cs="Times New Roman" w:eastAsia="Times New Roman" w:hAnsi="Times New Roman"/>
          <w:sz w:val="18"/>
          <w:szCs w:val="18"/>
          <w:b w:val="1"/>
          <w:bCs w:val="1"/>
          <w:color w:val="auto"/>
        </w:rPr>
        <w:t>; S</w:t>
      </w:r>
      <w:r>
        <w:rPr>
          <w:rFonts w:ascii="Times New Roman" w:cs="Times New Roman" w:eastAsia="Times New Roman" w:hAnsi="Times New Roman"/>
          <w:sz w:val="12"/>
          <w:szCs w:val="12"/>
          <w:b w:val="1"/>
          <w:bCs w:val="1"/>
          <w:color w:val="auto"/>
        </w:rPr>
        <w:t>pecial</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ecord</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ates</w:t>
      </w:r>
      <w:r>
        <w:rPr>
          <w:rFonts w:ascii="Times New Roman" w:cs="Times New Roman" w:eastAsia="Times New Roman" w:hAnsi="Times New Roman"/>
          <w:sz w:val="18"/>
          <w:szCs w:val="18"/>
          <w:b w:val="1"/>
          <w:bCs w:val="1"/>
          <w:color w:val="auto"/>
        </w:rPr>
        <w:t>; E</w:t>
      </w:r>
      <w:r>
        <w:rPr>
          <w:rFonts w:ascii="Times New Roman" w:cs="Times New Roman" w:eastAsia="Times New Roman" w:hAnsi="Times New Roman"/>
          <w:sz w:val="12"/>
          <w:szCs w:val="12"/>
          <w:b w:val="1"/>
          <w:bCs w:val="1"/>
          <w:color w:val="auto"/>
        </w:rPr>
        <w:t>tc</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jc w:val="both"/>
        <w:ind w:firstLine="656"/>
        <w:spacing w:after="0" w:line="261" w:lineRule="auto"/>
        <w:tabs>
          <w:tab w:leader="none" w:pos="1312"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Revocation and Effect of Consents</w:t>
      </w:r>
      <w:r>
        <w:rPr>
          <w:rFonts w:ascii="Times New Roman" w:cs="Times New Roman" w:eastAsia="Times New Roman" w:hAnsi="Times New Roman"/>
          <w:sz w:val="18"/>
          <w:szCs w:val="18"/>
          <w:color w:val="auto"/>
        </w:rPr>
        <w:t>. The consent of a Holder of a Note to an amendment, supplement or waiver will bind (and constitute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consent of) each subsequent Holder of any Note to the extent the same evidences any portion of the same indebtedness as the consenting Holder’s Note, subject to the right of any Holder of a Note to revoke (if not prohibited pursuant to </w:t>
      </w:r>
      <w:r>
        <w:rPr>
          <w:rFonts w:ascii="Times New Roman" w:cs="Times New Roman" w:eastAsia="Times New Roman" w:hAnsi="Times New Roman"/>
          <w:sz w:val="18"/>
          <w:szCs w:val="18"/>
          <w:b w:val="1"/>
          <w:bCs w:val="1"/>
          <w:color w:val="auto"/>
        </w:rPr>
        <w:t>Section 8.04(B)</w:t>
      </w:r>
      <w:r>
        <w:rPr>
          <w:rFonts w:ascii="Times New Roman" w:cs="Times New Roman" w:eastAsia="Times New Roman" w:hAnsi="Times New Roman"/>
          <w:sz w:val="18"/>
          <w:szCs w:val="18"/>
          <w:color w:val="auto"/>
        </w:rPr>
        <w:t>) any such consent with respect to such Note by delivering notice of revocation to the Trustee before the time such amendment, supplement or waiver becomes effective.</w:t>
      </w:r>
    </w:p>
    <w:p>
      <w:pPr>
        <w:spacing w:after="0" w:line="352"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1"/>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jc w:val="both"/>
        <w:ind w:firstLine="656"/>
        <w:spacing w:after="0" w:line="257" w:lineRule="auto"/>
        <w:tabs>
          <w:tab w:leader="none" w:pos="1302"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Special Record Dates</w:t>
      </w:r>
      <w:r>
        <w:rPr>
          <w:rFonts w:ascii="Times New Roman" w:cs="Times New Roman" w:eastAsia="Times New Roman" w:hAnsi="Times New Roman"/>
          <w:sz w:val="18"/>
          <w:szCs w:val="18"/>
          <w:color w:val="auto"/>
        </w:rPr>
        <w:t>. The Company may, but is not required to, fix a record date for the purpose of determining the Holders entitled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consent or take any other action in connection with any amendment, supplement or waiver pursuant to this </w:t>
      </w:r>
      <w:r>
        <w:rPr>
          <w:rFonts w:ascii="Times New Roman" w:cs="Times New Roman" w:eastAsia="Times New Roman" w:hAnsi="Times New Roman"/>
          <w:sz w:val="18"/>
          <w:szCs w:val="18"/>
          <w:b w:val="1"/>
          <w:bCs w:val="1"/>
          <w:color w:val="auto"/>
        </w:rPr>
        <w:t>Article 8</w:t>
      </w:r>
      <w:r>
        <w:rPr>
          <w:rFonts w:ascii="Times New Roman" w:cs="Times New Roman" w:eastAsia="Times New Roman" w:hAnsi="Times New Roman"/>
          <w:sz w:val="18"/>
          <w:szCs w:val="18"/>
          <w:color w:val="auto"/>
        </w:rPr>
        <w:t xml:space="preserve">. If a record date is fixed, then, notwithstanding anything to the contrary in </w:t>
      </w:r>
      <w:r>
        <w:rPr>
          <w:rFonts w:ascii="Times New Roman" w:cs="Times New Roman" w:eastAsia="Times New Roman" w:hAnsi="Times New Roman"/>
          <w:sz w:val="18"/>
          <w:szCs w:val="18"/>
          <w:b w:val="1"/>
          <w:bCs w:val="1"/>
          <w:color w:val="auto"/>
        </w:rPr>
        <w:t>Section 8.04(A)</w:t>
      </w:r>
      <w:r>
        <w:rPr>
          <w:rFonts w:ascii="Times New Roman" w:cs="Times New Roman" w:eastAsia="Times New Roman" w:hAnsi="Times New Roman"/>
          <w:sz w:val="18"/>
          <w:szCs w:val="18"/>
          <w:color w:val="auto"/>
        </w:rPr>
        <w:t xml:space="preserve">, only Persons who are Holders as of such record date (or their duly designated proxies) will be entitled to give such consent, to revoke any consent previously given or to take any such action, regardless of whether such Persons continue to be Holders after such record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consent will be valid or effective for more than one hundred and twenty (120) calendar days after such record date.</w:t>
      </w:r>
    </w:p>
    <w:p>
      <w:pPr>
        <w:spacing w:after="0" w:line="182" w:lineRule="exact"/>
        <w:rPr>
          <w:rFonts w:ascii="Times New Roman" w:cs="Times New Roman" w:eastAsia="Times New Roman" w:hAnsi="Times New Roman"/>
          <w:sz w:val="18"/>
          <w:szCs w:val="18"/>
          <w:color w:val="auto"/>
        </w:rPr>
      </w:pPr>
    </w:p>
    <w:p>
      <w:pPr>
        <w:ind w:firstLine="656"/>
        <w:spacing w:after="0" w:line="284" w:lineRule="auto"/>
        <w:tabs>
          <w:tab w:leader="none" w:pos="141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Solicitation of Consents</w:t>
      </w:r>
      <w:r>
        <w:rPr>
          <w:rFonts w:ascii="Times New Roman" w:cs="Times New Roman" w:eastAsia="Times New Roman" w:hAnsi="Times New Roman"/>
          <w:sz w:val="18"/>
          <w:szCs w:val="18"/>
          <w:color w:val="auto"/>
        </w:rPr>
        <w:t>. For the avoidance of doubt, each reference in this Indenture or the Notes to the consent of a Holder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deemed to include any such consent obtained in connection with a repurchase of, or tender or exchange offer for, any Notes.</w:t>
      </w:r>
    </w:p>
    <w:p>
      <w:pPr>
        <w:sectPr>
          <w:pgSz w:w="11900" w:h="16838" w:orient="portrait"/>
          <w:cols w:equalWidth="0" w:num="1">
            <w:col w:w="11240"/>
          </w:cols>
          <w:pgMar w:left="320" w:top="119" w:right="339" w:bottom="1440" w:gutter="0" w:footer="0" w:header="0"/>
        </w:sectPr>
      </w:pPr>
    </w:p>
    <w:p>
      <w:pPr>
        <w:spacing w:after="0" w:line="156" w:lineRule="exact"/>
        <w:rPr>
          <w:sz w:val="20"/>
          <w:szCs w:val="20"/>
          <w:color w:val="auto"/>
        </w:rPr>
      </w:pPr>
    </w:p>
    <w:p>
      <w:pPr>
        <w:jc w:val="both"/>
        <w:ind w:firstLine="656"/>
        <w:spacing w:after="0" w:line="268" w:lineRule="auto"/>
        <w:tabs>
          <w:tab w:leader="none" w:pos="1298"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Effectiveness and Binding Effect</w:t>
      </w:r>
      <w:r>
        <w:rPr>
          <w:rFonts w:ascii="Times New Roman" w:cs="Times New Roman" w:eastAsia="Times New Roman" w:hAnsi="Times New Roman"/>
          <w:sz w:val="18"/>
          <w:szCs w:val="18"/>
          <w:color w:val="auto"/>
        </w:rPr>
        <w:t>. Each amendment, supplement or waiver pursuant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Article 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its terms and, when it becomes effective with respect to any Note (or any portion thereof), will thereafter bind portion).</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hanging="2"/>
        <w:spacing w:after="0" w:line="282" w:lineRule="auto"/>
        <w:rPr>
          <w:sz w:val="20"/>
          <w:szCs w:val="20"/>
          <w:color w:val="auto"/>
        </w:rPr>
      </w:pPr>
      <w:r>
        <w:rPr>
          <w:rFonts w:ascii="Times New Roman" w:cs="Times New Roman" w:eastAsia="Times New Roman" w:hAnsi="Times New Roman"/>
          <w:sz w:val="18"/>
          <w:szCs w:val="18"/>
          <w:color w:val="auto"/>
        </w:rPr>
        <w:t>will become effective in accordance every Holder of such Note (or such</w:t>
      </w:r>
    </w:p>
    <w:p>
      <w:pPr>
        <w:spacing w:after="0" w:line="373" w:lineRule="exact"/>
        <w:rPr>
          <w:sz w:val="20"/>
          <w:szCs w:val="20"/>
          <w:color w:val="auto"/>
        </w:rPr>
      </w:pPr>
    </w:p>
    <w:p>
      <w:pPr>
        <w:sectPr>
          <w:pgSz w:w="11900" w:h="16838" w:orient="portrait"/>
          <w:cols w:equalWidth="0" w:num="2">
            <w:col w:w="8560" w:space="40"/>
            <w:col w:w="2640"/>
          </w:cols>
          <w:pgMar w:left="320" w:top="119" w:right="339" w:bottom="1440" w:gutter="0" w:footer="0" w:header="0"/>
          <w:type w:val="continuous"/>
        </w:sect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8.05.</w:t>
        <w:tab/>
        <w:t>N</w:t>
      </w:r>
      <w:r>
        <w:rPr>
          <w:rFonts w:ascii="Times New Roman" w:cs="Times New Roman" w:eastAsia="Times New Roman" w:hAnsi="Times New Roman"/>
          <w:sz w:val="12"/>
          <w:szCs w:val="12"/>
          <w:b w:val="1"/>
          <w:bCs w:val="1"/>
          <w:color w:val="auto"/>
        </w:rPr>
        <w:t>otations and</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xchanges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If any amendment, supplement or waiver changes the terms of a Note, then the Trustee or the Company may, in its discretion, require the Holder of such Note to deliver such Note to the Trustee so that the Trustee may place an appropriate notation prepared by the Company on such Note and return such Note to such Holder. Alternatively, at its discretion, the Company may, in exchange for such Note, issue, execute and deliver, and the Trustee will authenticate, in each case in accordance with </w:t>
      </w:r>
      <w:r>
        <w:rPr>
          <w:rFonts w:ascii="Times New Roman" w:cs="Times New Roman" w:eastAsia="Times New Roman" w:hAnsi="Times New Roman"/>
          <w:sz w:val="18"/>
          <w:szCs w:val="18"/>
          <w:b w:val="1"/>
          <w:bCs w:val="1"/>
          <w:color w:val="auto"/>
        </w:rPr>
        <w:t>Section 2.02</w:t>
      </w:r>
      <w:r>
        <w:rPr>
          <w:rFonts w:ascii="Times New Roman" w:cs="Times New Roman" w:eastAsia="Times New Roman" w:hAnsi="Times New Roman"/>
          <w:sz w:val="18"/>
          <w:szCs w:val="18"/>
          <w:color w:val="auto"/>
        </w:rPr>
        <w:t xml:space="preserve">, a new Note that reflects the changed terms. The failure to make any appropriate notation or issue a new Note pursuant to this </w:t>
      </w:r>
      <w:r>
        <w:rPr>
          <w:rFonts w:ascii="Times New Roman" w:cs="Times New Roman" w:eastAsia="Times New Roman" w:hAnsi="Times New Roman"/>
          <w:sz w:val="18"/>
          <w:szCs w:val="18"/>
          <w:b w:val="1"/>
          <w:bCs w:val="1"/>
          <w:color w:val="auto"/>
        </w:rPr>
        <w:t>Section 8.05</w:t>
      </w:r>
      <w:r>
        <w:rPr>
          <w:rFonts w:ascii="Times New Roman" w:cs="Times New Roman" w:eastAsia="Times New Roman" w:hAnsi="Times New Roman"/>
          <w:sz w:val="18"/>
          <w:szCs w:val="18"/>
          <w:color w:val="auto"/>
        </w:rPr>
        <w:t xml:space="preserve"> will not impair or affect the validity of such amendment, supplement or waiver.</w:t>
      </w:r>
    </w:p>
    <w:p>
      <w:pPr>
        <w:spacing w:after="0" w:line="17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8.06.</w:t>
        <w:tab/>
        <w:t>T</w:t>
      </w:r>
      <w:r>
        <w:rPr>
          <w:rFonts w:ascii="Times New Roman" w:cs="Times New Roman" w:eastAsia="Times New Roman" w:hAnsi="Times New Roman"/>
          <w:sz w:val="12"/>
          <w:szCs w:val="12"/>
          <w:b w:val="1"/>
          <w:bCs w:val="1"/>
          <w:color w:val="auto"/>
        </w:rPr>
        <w:t>rustee to</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xecute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upplemental</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ndentures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Trustee will execute and deliver any amendment or supplemental indenture authorized pursuant to this </w:t>
      </w:r>
      <w:r>
        <w:rPr>
          <w:rFonts w:ascii="Times New Roman" w:cs="Times New Roman" w:eastAsia="Times New Roman" w:hAnsi="Times New Roman"/>
          <w:sz w:val="18"/>
          <w:szCs w:val="18"/>
          <w:b w:val="1"/>
          <w:bCs w:val="1"/>
          <w:color w:val="auto"/>
        </w:rPr>
        <w:t>Article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Trustee need not (but may, in its sole and absolute discretion) execute or deliver any such amendment or supplemental indenture that the Trustee concludes adversely affects the Trustee’s rights, duties, liabilities or immunities. In executing any amendment or supplemental indenture, the Trustee will be entitled to receive, and (subject to </w:t>
      </w:r>
      <w:r>
        <w:rPr>
          <w:rFonts w:ascii="Times New Roman" w:cs="Times New Roman" w:eastAsia="Times New Roman" w:hAnsi="Times New Roman"/>
          <w:sz w:val="18"/>
          <w:szCs w:val="18"/>
          <w:b w:val="1"/>
          <w:bCs w:val="1"/>
          <w:color w:val="auto"/>
        </w:rPr>
        <w:t>Sections 10.01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10.02</w:t>
      </w:r>
      <w:r>
        <w:rPr>
          <w:rFonts w:ascii="Times New Roman" w:cs="Times New Roman" w:eastAsia="Times New Roman" w:hAnsi="Times New Roman"/>
          <w:sz w:val="18"/>
          <w:szCs w:val="18"/>
          <w:color w:val="auto"/>
        </w:rPr>
        <w:t>) will be fully protected in relying on, an Officer’s Certificate and an Opinion of Counsel stating that</w:t>
      </w:r>
    </w:p>
    <w:p>
      <w:pPr>
        <w:spacing w:after="0" w:line="3" w:lineRule="exact"/>
        <w:rPr>
          <w:sz w:val="20"/>
          <w:szCs w:val="20"/>
          <w:color w:val="auto"/>
        </w:rPr>
      </w:pPr>
    </w:p>
    <w:p>
      <w:pPr>
        <w:ind w:firstLine="8"/>
        <w:spacing w:after="0" w:line="260" w:lineRule="auto"/>
        <w:tabs>
          <w:tab w:leader="none" w:pos="319"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such amendment or supplemental indenture is authorized or permitted by this Indenture; and (B) in the case of the Opinion of Counsel, such amendment or supplemental indenture is valid, binding and enforceable against the Company in accordance with its terms.</w:t>
      </w:r>
    </w:p>
    <w:p>
      <w:pPr>
        <w:spacing w:after="0" w:line="352"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1"/>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91" w:name="page92"/>
    <w:bookmarkEnd w:id="91"/>
    <w:p>
      <w:pPr>
        <w:ind w:left="3600"/>
        <w:spacing w:after="0"/>
        <w:tabs>
          <w:tab w:leader="none" w:pos="4740" w:val="left"/>
        </w:tabs>
        <w:rPr>
          <w:sz w:val="20"/>
          <w:szCs w:val="20"/>
          <w:color w:val="auto"/>
        </w:rPr>
      </w:pPr>
      <w:r>
        <w:rPr>
          <w:rFonts w:ascii="Times New Roman" w:cs="Times New Roman" w:eastAsia="Times New Roman" w:hAnsi="Times New Roman"/>
          <w:sz w:val="18"/>
          <w:szCs w:val="18"/>
          <w:b w:val="1"/>
          <w:bCs w:val="1"/>
          <w:color w:val="auto"/>
        </w:rPr>
        <w:t>Article 9.</w:t>
      </w:r>
      <w:r>
        <w:rPr>
          <w:sz w:val="20"/>
          <w:szCs w:val="20"/>
          <w:color w:val="auto"/>
        </w:rPr>
        <w:tab/>
      </w:r>
      <w:r>
        <w:rPr>
          <w:rFonts w:ascii="Times New Roman" w:cs="Times New Roman" w:eastAsia="Times New Roman" w:hAnsi="Times New Roman"/>
          <w:sz w:val="17"/>
          <w:szCs w:val="17"/>
          <w:b w:val="1"/>
          <w:bCs w:val="1"/>
          <w:color w:val="auto"/>
        </w:rPr>
        <w:t>SATISFACTION AND DISCHARGE</w:t>
      </w:r>
    </w:p>
    <w:p>
      <w:pPr>
        <w:spacing w:after="0" w:line="22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9.01.</w:t>
        <w:tab/>
        <w:t>T</w:t>
      </w:r>
      <w:r>
        <w:rPr>
          <w:rFonts w:ascii="Times New Roman" w:cs="Times New Roman" w:eastAsia="Times New Roman" w:hAnsi="Times New Roman"/>
          <w:sz w:val="12"/>
          <w:szCs w:val="12"/>
          <w:b w:val="1"/>
          <w:bCs w:val="1"/>
          <w:color w:val="auto"/>
        </w:rPr>
        <w:t>ermination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ompany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2"/>
          <w:szCs w:val="12"/>
          <w:b w:val="1"/>
          <w:bCs w:val="1"/>
          <w:color w:val="auto"/>
        </w:rPr>
        <w:t>s</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bligations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Indenture will be discharged, and will cease to be of further effect as to all Notes issued under this Indenture, when:</w:t>
      </w:r>
    </w:p>
    <w:p>
      <w:pPr>
        <w:spacing w:after="0" w:line="221" w:lineRule="exact"/>
        <w:rPr>
          <w:sz w:val="20"/>
          <w:szCs w:val="20"/>
          <w:color w:val="auto"/>
        </w:rPr>
      </w:pPr>
    </w:p>
    <w:p>
      <w:pPr>
        <w:ind w:left="1300" w:hanging="644"/>
        <w:spacing w:after="0"/>
        <w:tabs>
          <w:tab w:leader="none" w:pos="130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Notes then outstanding (other than Notes replaced pursuant to </w:t>
      </w:r>
      <w:r>
        <w:rPr>
          <w:rFonts w:ascii="Times New Roman" w:cs="Times New Roman" w:eastAsia="Times New Roman" w:hAnsi="Times New Roman"/>
          <w:sz w:val="18"/>
          <w:szCs w:val="18"/>
          <w:b w:val="1"/>
          <w:bCs w:val="1"/>
          <w:color w:val="auto"/>
        </w:rPr>
        <w:t>Section 2.13</w:t>
      </w:r>
      <w:r>
        <w:rPr>
          <w:rFonts w:ascii="Times New Roman" w:cs="Times New Roman" w:eastAsia="Times New Roman" w:hAnsi="Times New Roman"/>
          <w:sz w:val="18"/>
          <w:szCs w:val="18"/>
          <w:color w:val="auto"/>
        </w:rPr>
        <w:t>) have (i) been delivered to the Trustee for cancellation; or</w:t>
      </w:r>
    </w:p>
    <w:p>
      <w:pPr>
        <w:spacing w:after="0" w:line="31" w:lineRule="exact"/>
        <w:rPr>
          <w:rFonts w:ascii="Times New Roman" w:cs="Times New Roman" w:eastAsia="Times New Roman" w:hAnsi="Times New Roman"/>
          <w:sz w:val="18"/>
          <w:szCs w:val="18"/>
          <w:color w:val="auto"/>
        </w:rPr>
      </w:pPr>
    </w:p>
    <w:p>
      <w:pPr>
        <w:ind w:firstLine="8"/>
        <w:spacing w:after="0" w:line="260" w:lineRule="auto"/>
        <w:tabs>
          <w:tab w:leader="none" w:pos="271"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 due and payable (whether on a Redemption Date, a Fundamental Change Repurchase Date, the Maturity Date, upon Conversion or otherwise) for an amount of cash or Conversion Consideration, as applicable, that has been fixed;</w:t>
      </w:r>
    </w:p>
    <w:p>
      <w:pPr>
        <w:spacing w:after="0" w:line="181" w:lineRule="exact"/>
        <w:rPr>
          <w:rFonts w:ascii="Times New Roman" w:cs="Times New Roman" w:eastAsia="Times New Roman" w:hAnsi="Times New Roman"/>
          <w:sz w:val="18"/>
          <w:szCs w:val="18"/>
          <w:color w:val="auto"/>
        </w:rPr>
      </w:pPr>
    </w:p>
    <w:p>
      <w:pPr>
        <w:jc w:val="both"/>
        <w:ind w:firstLine="656"/>
        <w:spacing w:after="0" w:line="261" w:lineRule="auto"/>
        <w:tabs>
          <w:tab w:leader="none" w:pos="1401"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caused there to be irrevocably deposited with the Trustee, or with the Paying Agent (or, with respect to Conversion Consideration, the Conversion Agent), in each case for the benefit of the Holders, or has otherwise caused there to be delivered to the Holders, cash (or, with respect to Notes to be Converted, Conversion Consideration) sufficient to satisfy all amounts or other property (including, if applicable, all related Additional Amounts) due on all Notes then outstanding (other than Notes replaced pursuant to </w:t>
      </w:r>
      <w:r>
        <w:rPr>
          <w:rFonts w:ascii="Times New Roman" w:cs="Times New Roman" w:eastAsia="Times New Roman" w:hAnsi="Times New Roman"/>
          <w:sz w:val="18"/>
          <w:szCs w:val="18"/>
          <w:b w:val="1"/>
          <w:bCs w:val="1"/>
          <w:color w:val="auto"/>
        </w:rPr>
        <w:t>Section 2.13</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paid all other amounts payable by it under this Indenture; and</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226"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the Trustee an Officer’s Certificate and an Opinion of Counsel, each stating that the conditions precedent to the discharge of this Indenture have been satisfied;</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Article 10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11.01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survive such discharge and, until no Notes remain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2.15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Trustee, the Paying Agent and the Conversion Agent with respect to money or other property deposited with them will survive such discharge.</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the Company’s request, the Trustee will acknowledge the satisfaction and discharge of this Indenture.</w:t>
      </w:r>
    </w:p>
    <w:p>
      <w:pPr>
        <w:spacing w:after="0" w:line="221"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9.02.</w:t>
        <w:tab/>
        <w:t>R</w:t>
      </w:r>
      <w:r>
        <w:rPr>
          <w:rFonts w:ascii="Times New Roman" w:cs="Times New Roman" w:eastAsia="Times New Roman" w:hAnsi="Times New Roman"/>
          <w:sz w:val="12"/>
          <w:szCs w:val="12"/>
          <w:b w:val="1"/>
          <w:bCs w:val="1"/>
          <w:color w:val="auto"/>
        </w:rPr>
        <w:t>epayment to</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ompany</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Subject to applicable unclaimed property law, the Trustee, the Paying Agent and the Conversion Agent will promptly notify the Company if there exists (and, at the Company’s request, promptly deliver to the Company) any cash, Conversion Consideration or other property held by any of them for payment or delivery on the Notes that remain unclaimed two (2) years after the date on which such payment or delivery was due. After such delivery to the Company, the Trustee, the Paying Agent and the Conversion Agent will have no further liability to any Holder with respect to such cash, Conversion Consideration or other property, and Holders entitled to the payment or delivery of such cash, Conversion Consideration or other property must look to the Company for payment as a general creditor of the Company.</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2" w:name="page93"/>
    <w:bookmarkEnd w:id="92"/>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9.03.</w:t>
        <w:tab/>
        <w:t>R</w:t>
      </w:r>
      <w:r>
        <w:rPr>
          <w:rFonts w:ascii="Times New Roman" w:cs="Times New Roman" w:eastAsia="Times New Roman" w:hAnsi="Times New Roman"/>
          <w:sz w:val="12"/>
          <w:szCs w:val="12"/>
          <w:b w:val="1"/>
          <w:bCs w:val="1"/>
          <w:color w:val="auto"/>
        </w:rPr>
        <w:t>einstatement</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If the Trustee, the Paying Agent or the Conversion Agent is unable to apply any cash or other property deposited with it pursuant to </w:t>
      </w:r>
      <w:r>
        <w:rPr>
          <w:rFonts w:ascii="Times New Roman" w:cs="Times New Roman" w:eastAsia="Times New Roman" w:hAnsi="Times New Roman"/>
          <w:sz w:val="18"/>
          <w:szCs w:val="18"/>
          <w:b w:val="1"/>
          <w:bCs w:val="1"/>
          <w:color w:val="auto"/>
        </w:rPr>
        <w:t>Section 9.01</w:t>
      </w:r>
      <w:r>
        <w:rPr>
          <w:rFonts w:ascii="Times New Roman" w:cs="Times New Roman" w:eastAsia="Times New Roman" w:hAnsi="Times New Roman"/>
          <w:sz w:val="18"/>
          <w:szCs w:val="18"/>
          <w:color w:val="auto"/>
        </w:rPr>
        <w:t xml:space="preserve"> because of any legal proceeding or any order or judgment of any court or other governmental authority that enjoins, restrains or otherwise prohibits such application, then the discharge of this Indenture pursuant to </w:t>
      </w:r>
      <w:r>
        <w:rPr>
          <w:rFonts w:ascii="Times New Roman" w:cs="Times New Roman" w:eastAsia="Times New Roman" w:hAnsi="Times New Roman"/>
          <w:sz w:val="18"/>
          <w:szCs w:val="18"/>
          <w:b w:val="1"/>
          <w:bCs w:val="1"/>
          <w:color w:val="auto"/>
        </w:rPr>
        <w:t>Section 9.01</w:t>
      </w:r>
      <w:r>
        <w:rPr>
          <w:rFonts w:ascii="Times New Roman" w:cs="Times New Roman" w:eastAsia="Times New Roman" w:hAnsi="Times New Roman"/>
          <w:sz w:val="18"/>
          <w:szCs w:val="18"/>
          <w:color w:val="auto"/>
        </w:rPr>
        <w:t xml:space="preserve"> will be rescinded;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Company thereafter pays or delivers any cash or other property due on the Notes to the Holders thereof, then the Company will be subrogated to the rights of such Holders to receive such cash or other property from the cash or other property, if any, held by the Trustee, the Paying Agent or the Conversion Agent, as applicable.</w:t>
      </w:r>
    </w:p>
    <w:p>
      <w:pPr>
        <w:spacing w:after="0" w:line="179" w:lineRule="exact"/>
        <w:rPr>
          <w:sz w:val="20"/>
          <w:szCs w:val="20"/>
          <w:color w:val="auto"/>
        </w:rPr>
      </w:pPr>
    </w:p>
    <w:p>
      <w:pPr>
        <w:ind w:left="4580"/>
        <w:spacing w:after="0"/>
        <w:tabs>
          <w:tab w:leader="none" w:pos="5800" w:val="left"/>
        </w:tabs>
        <w:rPr>
          <w:sz w:val="20"/>
          <w:szCs w:val="20"/>
          <w:color w:val="auto"/>
        </w:rPr>
      </w:pPr>
      <w:r>
        <w:rPr>
          <w:rFonts w:ascii="Times New Roman" w:cs="Times New Roman" w:eastAsia="Times New Roman" w:hAnsi="Times New Roman"/>
          <w:sz w:val="18"/>
          <w:szCs w:val="18"/>
          <w:b w:val="1"/>
          <w:bCs w:val="1"/>
          <w:color w:val="auto"/>
        </w:rPr>
        <w:t>Article 10.</w:t>
      </w:r>
      <w:r>
        <w:rPr>
          <w:sz w:val="20"/>
          <w:szCs w:val="20"/>
          <w:color w:val="auto"/>
        </w:rPr>
        <w:tab/>
      </w:r>
      <w:r>
        <w:rPr>
          <w:rFonts w:ascii="Times New Roman" w:cs="Times New Roman" w:eastAsia="Times New Roman" w:hAnsi="Times New Roman"/>
          <w:sz w:val="17"/>
          <w:szCs w:val="17"/>
          <w:b w:val="1"/>
          <w:bCs w:val="1"/>
          <w:color w:val="auto"/>
        </w:rPr>
        <w:t>TRUSTEE</w:t>
      </w:r>
    </w:p>
    <w:p>
      <w:pPr>
        <w:spacing w:after="0" w:line="22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10.01.</w:t>
        <w:tab/>
        <w:t>D</w:t>
      </w:r>
      <w:r>
        <w:rPr>
          <w:rFonts w:ascii="Times New Roman" w:cs="Times New Roman" w:eastAsia="Times New Roman" w:hAnsi="Times New Roman"/>
          <w:sz w:val="12"/>
          <w:szCs w:val="12"/>
          <w:b w:val="1"/>
          <w:bCs w:val="1"/>
          <w:color w:val="auto"/>
        </w:rPr>
        <w:t>uties of the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rustee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56"/>
        <w:spacing w:after="0" w:line="261" w:lineRule="auto"/>
        <w:tabs>
          <w:tab w:leader="none" w:pos="128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 Event of Default has occurred and is continuing, and a Responsible Officer of the Trustee has written notice or actual knowledge of the same, then, without limiting the generality of </w:t>
      </w:r>
      <w:r>
        <w:rPr>
          <w:rFonts w:ascii="Times New Roman" w:cs="Times New Roman" w:eastAsia="Times New Roman" w:hAnsi="Times New Roman"/>
          <w:sz w:val="18"/>
          <w:szCs w:val="18"/>
          <w:b w:val="1"/>
          <w:bCs w:val="1"/>
          <w:color w:val="auto"/>
        </w:rPr>
        <w:t>Section 10.02(F)</w:t>
      </w:r>
      <w:r>
        <w:rPr>
          <w:rFonts w:ascii="Times New Roman" w:cs="Times New Roman" w:eastAsia="Times New Roman" w:hAnsi="Times New Roman"/>
          <w:sz w:val="18"/>
          <w:szCs w:val="18"/>
          <w:color w:val="auto"/>
        </w:rPr>
        <w:t>, the Trustee will exercise such of the rights and powers vested in it by this Indenture, and use the same degree of care and skill in its exercise, as a prudent person would exercise or use under the circumstances in the conduct of such person’s own affairs.</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during the continuance of an Event of Default: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41"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duties of the Trustee will be determined solely by the express provisions of this Indenture, and the Trustee need perform only those duties that are specifically set forth in this Indenture and no others, and no implied covenants or obligations will be read into this Indenture against the Trustee; and</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987"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absence of bad faith or willful misconduct on its part, the Trustee may, without investigation, conclusively rely, as to the truth of the statements and the correctness of the opinions expressed therein, upon Officer’s Certificates or Opinions of Counsel that are provided to the Trustee and conform to the requirements of this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Trustee will examine the certificates and opinions to determine whether or not they conform to the requirements of this Indenture.</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not be relieved from liabilities for its negligence or willful misconduct, except that:</w:t>
      </w:r>
    </w:p>
    <w:p>
      <w:pPr>
        <w:spacing w:after="0" w:line="22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paragraph will not limit the effect of </w:t>
      </w:r>
      <w:r>
        <w:rPr>
          <w:rFonts w:ascii="Times New Roman" w:cs="Times New Roman" w:eastAsia="Times New Roman" w:hAnsi="Times New Roman"/>
          <w:sz w:val="18"/>
          <w:szCs w:val="18"/>
          <w:b w:val="1"/>
          <w:bCs w:val="1"/>
          <w:color w:val="auto"/>
        </w:rPr>
        <w:t>Section 10.01(B)</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660" w:firstLine="644"/>
        <w:spacing w:after="0" w:line="282" w:lineRule="auto"/>
        <w:tabs>
          <w:tab w:leader="none" w:pos="1973"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not be liable for any error of judgment made in good faith by a Responsible Officer, unless it is proved that the Trustee was negligent in ascertaining the pertinent facts; and</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2001"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will not be liable with respect to any action it takes or omits to take in good faith in accordance with a direction received by it pursuant to </w:t>
      </w:r>
      <w:r>
        <w:rPr>
          <w:rFonts w:ascii="Times New Roman" w:cs="Times New Roman" w:eastAsia="Times New Roman" w:hAnsi="Times New Roman"/>
          <w:sz w:val="18"/>
          <w:szCs w:val="18"/>
          <w:b w:val="1"/>
          <w:bCs w:val="1"/>
          <w:color w:val="auto"/>
        </w:rPr>
        <w:t>Section 7.06</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will require the Trustee to expend or risk its own funds or incur any liability.</w:t>
      </w:r>
    </w:p>
    <w:p>
      <w:pPr>
        <w:spacing w:after="0" w:line="396"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2"/>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3" w:name="page94"/>
    <w:bookmarkEnd w:id="93"/>
    <w:p>
      <w:pPr>
        <w:ind w:firstLine="656"/>
        <w:spacing w:after="0" w:line="282" w:lineRule="auto"/>
        <w:tabs>
          <w:tab w:leader="none" w:pos="1377"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not be liable for interest on any money received by it, except as the Trustee may agree in writing with the Company. Money held in trust by the Trustee need not be segregated from other funds, except to the extent required by law.</w:t>
      </w:r>
    </w:p>
    <w:p>
      <w:pPr>
        <w:spacing w:after="0" w:line="16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not be liable in its individual capacity for the obligations evidenced by the Notes.</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41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provision of this Indenture that in any way relates to the Trustee (including any provision that affects the liability of, or affords protection to, the Trustee) is subject to this </w:t>
      </w:r>
      <w:r>
        <w:rPr>
          <w:rFonts w:ascii="Times New Roman" w:cs="Times New Roman" w:eastAsia="Times New Roman" w:hAnsi="Times New Roman"/>
          <w:sz w:val="18"/>
          <w:szCs w:val="18"/>
          <w:b w:val="1"/>
          <w:bCs w:val="1"/>
          <w:color w:val="auto"/>
        </w:rPr>
        <w:t>Section 10.01</w:t>
      </w:r>
      <w:r>
        <w:rPr>
          <w:rFonts w:ascii="Times New Roman" w:cs="Times New Roman" w:eastAsia="Times New Roman" w:hAnsi="Times New Roman"/>
          <w:sz w:val="18"/>
          <w:szCs w:val="18"/>
          <w:color w:val="auto"/>
        </w:rPr>
        <w:t>, regardless of whether such provision so expressly provides.</w:t>
      </w:r>
    </w:p>
    <w:p>
      <w:pPr>
        <w:spacing w:after="0" w:line="158"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10.02.</w:t>
        <w:tab/>
        <w:t>R</w:t>
      </w:r>
      <w:r>
        <w:rPr>
          <w:rFonts w:ascii="Times New Roman" w:cs="Times New Roman" w:eastAsia="Times New Roman" w:hAnsi="Times New Roman"/>
          <w:sz w:val="12"/>
          <w:szCs w:val="12"/>
          <w:b w:val="1"/>
          <w:bCs w:val="1"/>
          <w:color w:val="auto"/>
        </w:rPr>
        <w:t>ights of the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rustee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firstLine="656"/>
        <w:spacing w:after="0" w:line="282" w:lineRule="auto"/>
        <w:tabs>
          <w:tab w:leader="none" w:pos="133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conclusively rely on any document that it believes to be genuine and signed or presented by the proper Person, and the Trustee need not investigate any fact or matter stated in such document.</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248"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Trustee acts or refrains from acting, it may require an Officer’s Certificate, an Opinion of Counsel or both. The Trustee will not be liable for any action it takes or omits to take in good faith in reliance on such Officer’s Certificate or Opinion of Counsel. The Trustee may consult with counsel; and the written advice of such counsel, or any Opinion of Counsel, will constitute full and complete authorization of the Trustee to take or omit to take any action in good faith in reliance thereon without liability.</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1369"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act through its attorneys and agents and will not be responsible for the misconduct or negligence of any such agent appointed with due care.</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271"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not be liable for any action it takes or omits to take in good faith and that it believes to be authorized or within the rights or powers vested in it by this Indenture.</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278"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specifically provided in this Indenture, any demand, request, direction or notice from the Company will be sufficient if signed by an Officer of the Company.</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33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need not exercise any rights or powers vested in it by this Indenture at the request or direction of any Holder unless such Holder has offered (and, if requested, provided) the Trustee security or indemnity satisfactory to the Trustee against any loss, liability or expense that it may incur in complying with such request or direction.</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293"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not be responsible or liable for any punitive, special, indirect or consequential loss or damage (including lost profits), even if the Trustee has been advised of the likelihood of such loss or damage and regardless of the form of action.</w:t>
      </w:r>
    </w:p>
    <w:p>
      <w:pPr>
        <w:spacing w:after="0" w:line="161"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permissive rights of the Trustee set forth in this Indenture will not be construed as duties imposed on the Trustee.</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not be required to give any bond or surety in respect of the execution or performance of this Indenture or otherwise.</w:t>
      </w:r>
    </w:p>
    <w:p>
      <w:pPr>
        <w:spacing w:after="0" w:line="396"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1"/>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jc w:val="both"/>
        <w:ind w:firstLine="656"/>
        <w:spacing w:after="0" w:line="266" w:lineRule="auto"/>
        <w:tabs>
          <w:tab w:leader="none" w:pos="1418"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 Responsible Officer of the Trustee has received notice from the Company that Additional Amounts, Additional Interest or Special Interest is owing or, if applicable, accruing, on the Notes, the Trustee may assume that no Additional Amounts, Additional Interest or Special Interest, as applicable, is payable or, if applicable, accruing.</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1258"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privileges, protections, immunities and benefits given to the Trustee, including its right to be indemnified, are extended to, and will be enforceable by, the Trustee in each of its capacities under this Indenture, including as Note Agent.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not be charged with knowledge of any document or agreement other than this Indenture and the Notes.</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301"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Trustee nor any Note Agent will have any responsibility or liability to any person for any action taken or not taken by, or any records or any other aspect of the operations of, the Depositary (including the delivery of notices, or the making of payments, through the facilities of the Depositary) and may conclusively rely, without investigation, on any information provided by the Depositary.</w:t>
      </w:r>
    </w:p>
    <w:p>
      <w:pPr>
        <w:spacing w:after="0" w:line="172"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10.03.</w:t>
        <w:tab/>
        <w:t>I</w:t>
      </w:r>
      <w:r>
        <w:rPr>
          <w:rFonts w:ascii="Times New Roman" w:cs="Times New Roman" w:eastAsia="Times New Roman" w:hAnsi="Times New Roman"/>
          <w:sz w:val="12"/>
          <w:szCs w:val="12"/>
          <w:b w:val="1"/>
          <w:bCs w:val="1"/>
          <w:color w:val="auto"/>
        </w:rPr>
        <w:t>ndividual</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ights of the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rustee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Trustee, in its individual or any other capacity, may become the owner or pledgee of any Note and may otherwise deal with the Company or any of its Affiliates with the same rights that it would have if it were not Trustee;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the Trustee acquires a “conflicting interest” (within the meaning of Section 310(b) of the Trust Indenture Act), then it must eliminate such conflict within ninety (90) days or resign as Trustee. Each Note Agent will have the same rights and duties as the Trustee under this </w:t>
      </w:r>
      <w:r>
        <w:rPr>
          <w:rFonts w:ascii="Times New Roman" w:cs="Times New Roman" w:eastAsia="Times New Roman" w:hAnsi="Times New Roman"/>
          <w:sz w:val="18"/>
          <w:szCs w:val="18"/>
          <w:b w:val="1"/>
          <w:bCs w:val="1"/>
          <w:color w:val="auto"/>
        </w:rPr>
        <w:t>Section 10.03</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10.04.</w:t>
        <w:tab/>
        <w:t>T</w:t>
      </w:r>
      <w:r>
        <w:rPr>
          <w:rFonts w:ascii="Times New Roman" w:cs="Times New Roman" w:eastAsia="Times New Roman" w:hAnsi="Times New Roman"/>
          <w:sz w:val="12"/>
          <w:szCs w:val="12"/>
          <w:b w:val="1"/>
          <w:bCs w:val="1"/>
          <w:color w:val="auto"/>
        </w:rPr>
        <w:t>rustee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2"/>
          <w:szCs w:val="12"/>
          <w:b w:val="1"/>
          <w:bCs w:val="1"/>
          <w:color w:val="auto"/>
        </w:rPr>
        <w:t>s</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isclaimer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Trustee will not be (A) responsible for, and makes no representation as to, the validity or adequacy of this Indenture or the Notes; (B) accountable for the Company’s use of the proceeds from the Notes or any money paid to the Company or upon the Company’s direction under any provision of this Indenture; (C) responsible for the use or application of any money received by any Paying Agent other than the Trustee; and (D) responsible for any statement or recital in this Indenture, the Notes or any other document relating to the sale of the Notes or this Indenture, other than the Trustee’s certificate of authentication.</w:t>
      </w:r>
    </w:p>
    <w:p>
      <w:pPr>
        <w:spacing w:after="0" w:line="17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10.05.</w:t>
        <w:tab/>
        <w:t>N</w:t>
      </w:r>
      <w:r>
        <w:rPr>
          <w:rFonts w:ascii="Times New Roman" w:cs="Times New Roman" w:eastAsia="Times New Roman" w:hAnsi="Times New Roman"/>
          <w:sz w:val="12"/>
          <w:szCs w:val="12"/>
          <w:b w:val="1"/>
          <w:bCs w:val="1"/>
          <w:color w:val="auto"/>
        </w:rPr>
        <w:t>otice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efaults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If a Default or Event of Default occurs and is continuing and is actually known to a Responsible Officer of the Trustee, then the Trustee will send Holders a notice of such Default or Event of Default within ninety (90) days after it occurs or, if it is not actually known to a Responsible Officer of the Trustee at such time, promptly (and in any event within ten (10) Business Days) after it becomes actually known to a Responsible Officer of the Trustee;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except in the case of a Default or Event of Default in the payment of the principal of, or interest on, any Note, the Trustee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withhold such notice if and for so long as it in good faith determines that withholding such notice is in the interests of the Holders. The Trustee will not be deemed to have notice or be charged with knowledge of any Default or Event of Default unless (A) written notice thereof has been received by a Responsible Officer; and (B) such notice references the Notes and this Indenture and states on its face that a Default or Event of Default has occurred. For the avoidance of doubt, the Trustee will not be required to deliver such notice at any time after such Default or Event of Default is cured or waived.</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- 85 -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10.06.</w:t>
        <w:tab/>
        <w:t>C</w:t>
      </w:r>
      <w:r>
        <w:rPr>
          <w:rFonts w:ascii="Times New Roman" w:cs="Times New Roman" w:eastAsia="Times New Roman" w:hAnsi="Times New Roman"/>
          <w:sz w:val="12"/>
          <w:szCs w:val="12"/>
          <w:b w:val="1"/>
          <w:bCs w:val="1"/>
          <w:color w:val="auto"/>
        </w:rPr>
        <w:t>ompensation and</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ndemnity</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56"/>
        <w:spacing w:after="0" w:line="258" w:lineRule="auto"/>
        <w:tabs>
          <w:tab w:leader="none" w:pos="1339"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from time to time, pay the Trustee reasonable compensation for its acceptance of this Indenture and services under this Indenture as separately agreed to by the Company and the Trustee. The Trustee’s compensation will not be limited by any law on compensation of a trustee of an express trust. In addition to the compensation for the Trustee’s services, the Company will reimburse the Trustee promptly upon request for all reasonable disbursements, advances and expenses incurred or made by it under this Indenture, including the reasonable compensation, disbursements and expenses of the Trustee’s agents and counsel.</w:t>
      </w:r>
    </w:p>
    <w:p>
      <w:pPr>
        <w:spacing w:after="0" w:line="183" w:lineRule="exact"/>
        <w:rPr>
          <w:rFonts w:ascii="Times New Roman" w:cs="Times New Roman" w:eastAsia="Times New Roman" w:hAnsi="Times New Roman"/>
          <w:sz w:val="18"/>
          <w:szCs w:val="18"/>
          <w:color w:val="auto"/>
        </w:rPr>
      </w:pPr>
    </w:p>
    <w:p>
      <w:pPr>
        <w:jc w:val="both"/>
        <w:ind w:firstLine="656"/>
        <w:spacing w:after="0" w:line="253" w:lineRule="auto"/>
        <w:tabs>
          <w:tab w:leader="none" w:pos="1243"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will indemnify the Trustee (in each of its capacities under this Indenture) and its directors, officers, employees and agents, in their capacities as such, against any and all losses, liabilities or expenses incurred by it arising out of or in connection with the acceptance or administration of its duties under this Indenture, including the costs and expenses of enforcing this Indenture against the Company (including this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10.06</w:t>
      </w:r>
      <w:r>
        <w:rPr>
          <w:rFonts w:ascii="Times New Roman" w:cs="Times New Roman" w:eastAsia="Times New Roman" w:hAnsi="Times New Roman"/>
          <w:sz w:val="18"/>
          <w:szCs w:val="18"/>
          <w:color w:val="auto"/>
        </w:rPr>
        <w:t>) and defending itself against any claim (whether asserted by the Company, any Holder or any other Person) or liability in connection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exercise or performance of any of its powers or duties under this Indenture, except to the extent any such loss, liability or expense is attributable (as determined by a final decision of a court of competent jurisdiction) to its negligence or willful misconduct. The Trustee will promptly notify the Company of any claim for which it may seek indemnity, but the Trustee’s failure to so notify the Company will not relieve the Company of its obligations under this </w:t>
      </w:r>
      <w:r>
        <w:rPr>
          <w:rFonts w:ascii="Times New Roman" w:cs="Times New Roman" w:eastAsia="Times New Roman" w:hAnsi="Times New Roman"/>
          <w:sz w:val="18"/>
          <w:szCs w:val="18"/>
          <w:b w:val="1"/>
          <w:bCs w:val="1"/>
          <w:color w:val="auto"/>
        </w:rPr>
        <w:t>Section 10.06(B)</w:t>
      </w:r>
      <w:r>
        <w:rPr>
          <w:rFonts w:ascii="Times New Roman" w:cs="Times New Roman" w:eastAsia="Times New Roman" w:hAnsi="Times New Roman"/>
          <w:sz w:val="18"/>
          <w:szCs w:val="18"/>
          <w:color w:val="auto"/>
        </w:rPr>
        <w:t>, except to the extent the Company is materially prejudiced by such failure. The Company will defend such claim, and the Trustee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cooperate in such defense. If the Trustee is advised by counsel that it may have defenses available to it that are in conflict with the defenses available to the Company, or that there is an actual or potential conflict of interest, then the Trustee may retain separate counsel, and the Company will pay the reasonable fees and expenses of such counsel (including the reasonable fees and expenses of counsel to the Trustee incurred in evaluating whether such a conflict exists). The Company need not pay for any settlement of any such claim made without its consent, which consent will not be unreasonably withheld.</w:t>
      </w:r>
    </w:p>
    <w:p>
      <w:pPr>
        <w:spacing w:after="0" w:line="18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obligations of the Company under this </w:t>
      </w:r>
      <w:r>
        <w:rPr>
          <w:rFonts w:ascii="Times New Roman" w:cs="Times New Roman" w:eastAsia="Times New Roman" w:hAnsi="Times New Roman"/>
          <w:sz w:val="18"/>
          <w:szCs w:val="18"/>
          <w:b w:val="1"/>
          <w:bCs w:val="1"/>
          <w:color w:val="auto"/>
        </w:rPr>
        <w:t>Section 10.06</w:t>
      </w:r>
      <w:r>
        <w:rPr>
          <w:rFonts w:ascii="Times New Roman" w:cs="Times New Roman" w:eastAsia="Times New Roman" w:hAnsi="Times New Roman"/>
          <w:sz w:val="18"/>
          <w:szCs w:val="18"/>
          <w:color w:val="auto"/>
        </w:rPr>
        <w:t xml:space="preserve"> will survive the resignation or removal of the Trustee and the discharge of this</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Indenture.</w:t>
      </w:r>
    </w:p>
    <w:p>
      <w:pPr>
        <w:spacing w:after="0" w:line="202" w:lineRule="exact"/>
        <w:rPr>
          <w:rFonts w:ascii="Times New Roman" w:cs="Times New Roman" w:eastAsia="Times New Roman" w:hAnsi="Times New Roman"/>
          <w:sz w:val="18"/>
          <w:szCs w:val="18"/>
          <w:color w:val="auto"/>
        </w:rPr>
      </w:pPr>
    </w:p>
    <w:p>
      <w:pPr>
        <w:jc w:val="both"/>
        <w:ind w:firstLine="656"/>
        <w:spacing w:after="0" w:line="268" w:lineRule="auto"/>
        <w:tabs>
          <w:tab w:leader="none" w:pos="1393"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secure the Company’s payment obligations in this </w:t>
      </w:r>
      <w:r>
        <w:rPr>
          <w:rFonts w:ascii="Times New Roman" w:cs="Times New Roman" w:eastAsia="Times New Roman" w:hAnsi="Times New Roman"/>
          <w:sz w:val="18"/>
          <w:szCs w:val="18"/>
          <w:b w:val="1"/>
          <w:bCs w:val="1"/>
          <w:color w:val="auto"/>
        </w:rPr>
        <w:t>Section 10.06</w:t>
      </w:r>
      <w:r>
        <w:rPr>
          <w:rFonts w:ascii="Times New Roman" w:cs="Times New Roman" w:eastAsia="Times New Roman" w:hAnsi="Times New Roman"/>
          <w:sz w:val="18"/>
          <w:szCs w:val="18"/>
          <w:color w:val="auto"/>
        </w:rPr>
        <w:t>, the Trustee will have a lien prior to the Notes on all money or property held or collected by the Trustee, except that held in trust to pay principal of, or interest on, particular Notes, which lien will survive the discharge of this Indenture.</w:t>
      </w:r>
    </w:p>
    <w:p>
      <w:pPr>
        <w:spacing w:after="0" w:line="170" w:lineRule="exact"/>
        <w:rPr>
          <w:rFonts w:ascii="Times New Roman" w:cs="Times New Roman" w:eastAsia="Times New Roman" w:hAnsi="Times New Roman"/>
          <w:sz w:val="18"/>
          <w:szCs w:val="18"/>
          <w:color w:val="auto"/>
        </w:rPr>
      </w:pPr>
    </w:p>
    <w:p>
      <w:pPr>
        <w:jc w:val="both"/>
        <w:ind w:right="20" w:firstLine="656"/>
        <w:spacing w:after="0" w:line="268" w:lineRule="auto"/>
        <w:tabs>
          <w:tab w:leader="none" w:pos="120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Trustee incurs expenses or renders services after an Event of Default pursuant to </w:t>
      </w:r>
      <w:r>
        <w:rPr>
          <w:rFonts w:ascii="Times New Roman" w:cs="Times New Roman" w:eastAsia="Times New Roman" w:hAnsi="Times New Roman"/>
          <w:sz w:val="18"/>
          <w:szCs w:val="18"/>
          <w:b w:val="1"/>
          <w:bCs w:val="1"/>
          <w:color w:val="auto"/>
        </w:rPr>
        <w:t>clause (viii)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(ix)</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Section 7.01(A)</w:t>
      </w:r>
      <w:r>
        <w:rPr>
          <w:rFonts w:ascii="Times New Roman" w:cs="Times New Roman" w:eastAsia="Times New Roman" w:hAnsi="Times New Roman"/>
          <w:sz w:val="18"/>
          <w:szCs w:val="18"/>
          <w:color w:val="auto"/>
        </w:rPr>
        <w:t xml:space="preserve"> occurs, then such expenses and the compensation for such services (including the fees and expenses of its agents and counsel) are intended to constitute expenses of administration under any Bankruptcy Law.</w:t>
      </w:r>
    </w:p>
    <w:p>
      <w:pPr>
        <w:spacing w:after="0" w:line="345"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1"/>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6" w:name="page97"/>
    <w:bookmarkEnd w:id="96"/>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10.07.</w:t>
        <w:tab/>
        <w:t>R</w:t>
      </w:r>
      <w:r>
        <w:rPr>
          <w:rFonts w:ascii="Times New Roman" w:cs="Times New Roman" w:eastAsia="Times New Roman" w:hAnsi="Times New Roman"/>
          <w:sz w:val="12"/>
          <w:szCs w:val="12"/>
          <w:b w:val="1"/>
          <w:bCs w:val="1"/>
          <w:color w:val="auto"/>
        </w:rPr>
        <w:t>eplacement of the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rustee</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right="20" w:firstLine="656"/>
        <w:spacing w:after="0" w:line="286" w:lineRule="auto"/>
        <w:tabs>
          <w:tab w:leader="none" w:pos="1447"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b w:val="1"/>
          <w:bCs w:val="1"/>
          <w:color w:val="auto"/>
        </w:rPr>
        <w:t>Section 10.07</w:t>
      </w:r>
      <w:r>
        <w:rPr>
          <w:rFonts w:ascii="Times New Roman" w:cs="Times New Roman" w:eastAsia="Times New Roman" w:hAnsi="Times New Roman"/>
          <w:sz w:val="18"/>
          <w:szCs w:val="18"/>
          <w:color w:val="auto"/>
        </w:rPr>
        <w:t xml:space="preserve">, a resignation or removal of the Trustee, and the appointment of a successor Trustee, will become effective only upon such successor Trustee’s acceptance of appointment as provided in this </w:t>
      </w:r>
      <w:r>
        <w:rPr>
          <w:rFonts w:ascii="Times New Roman" w:cs="Times New Roman" w:eastAsia="Times New Roman" w:hAnsi="Times New Roman"/>
          <w:sz w:val="18"/>
          <w:szCs w:val="18"/>
          <w:b w:val="1"/>
          <w:bCs w:val="1"/>
          <w:color w:val="auto"/>
        </w:rPr>
        <w:t>Section 10.07</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jc w:val="both"/>
        <w:ind w:firstLine="656"/>
        <w:spacing w:after="0" w:line="266" w:lineRule="auto"/>
        <w:tabs>
          <w:tab w:leader="none" w:pos="127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resign at any time and be discharged from the trust created by this Indenture by so notifying the Company. The Holders of a majority in aggregate principal amount of the Notes then outstanding may remove the Trustee by so notifying the Trustee and the Company in writing. The Company may remove the Trustee if:</w:t>
      </w:r>
    </w:p>
    <w:p>
      <w:pPr>
        <w:spacing w:after="0" w:line="17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fails to comply with </w:t>
      </w:r>
      <w:r>
        <w:rPr>
          <w:rFonts w:ascii="Times New Roman" w:cs="Times New Roman" w:eastAsia="Times New Roman" w:hAnsi="Times New Roman"/>
          <w:sz w:val="18"/>
          <w:szCs w:val="18"/>
          <w:b w:val="1"/>
          <w:bCs w:val="1"/>
          <w:color w:val="auto"/>
        </w:rPr>
        <w:t>Section 10.09</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2180" w:hanging="876"/>
        <w:spacing w:after="0"/>
        <w:tabs>
          <w:tab w:leader="none" w:pos="218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is adjudged to be bankrupt or insolvent or an order for relief is entered with respect to the Trustee under any</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Bankruptcy Law;</w:t>
      </w:r>
    </w:p>
    <w:p>
      <w:pPr>
        <w:spacing w:after="0" w:line="206"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custodian or public officer takes charge of the Trustee or its property;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becomes incapable of acting.</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7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Trustee resigns or is removed, or if a vacancy exists in the office of the Trustee for any reason, then (i) the Company will promptly appoint a successor Trustee; and (ii) at any time within one (1) year after the successor Trustee takes office, the Holders of a majority in aggregate principal amount of the Notes then outstanding may appoint a successor Trustee to replace such successor Trustee appointed by the Company.</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71"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successor Trustee does not take office within sixty (60) days after the retiring Trustee resigns or is removed, then the retiring Trustee, the Company or the Holders of at least ten percent (10%) in aggregate principal amount of the Notes then outstanding may petition any court of competent jurisdiction for the appointment of a successor Trustee.</w:t>
      </w:r>
    </w:p>
    <w:p>
      <w:pPr>
        <w:spacing w:after="0" w:line="171" w:lineRule="exact"/>
        <w:rPr>
          <w:rFonts w:ascii="Times New Roman" w:cs="Times New Roman" w:eastAsia="Times New Roman" w:hAnsi="Times New Roman"/>
          <w:sz w:val="18"/>
          <w:szCs w:val="18"/>
          <w:color w:val="auto"/>
        </w:rPr>
      </w:pPr>
    </w:p>
    <w:p>
      <w:pPr>
        <w:ind w:firstLine="656"/>
        <w:spacing w:after="0" w:line="286" w:lineRule="auto"/>
        <w:tabs>
          <w:tab w:leader="none" w:pos="1404"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Trustee, after written request by a Holder of at least six (6) months, fails to comply with </w:t>
      </w:r>
      <w:r>
        <w:rPr>
          <w:rFonts w:ascii="Times New Roman" w:cs="Times New Roman" w:eastAsia="Times New Roman" w:hAnsi="Times New Roman"/>
          <w:sz w:val="18"/>
          <w:szCs w:val="18"/>
          <w:b w:val="1"/>
          <w:bCs w:val="1"/>
          <w:color w:val="auto"/>
        </w:rPr>
        <w:t>Section 10.09</w:t>
      </w:r>
      <w:r>
        <w:rPr>
          <w:rFonts w:ascii="Times New Roman" w:cs="Times New Roman" w:eastAsia="Times New Roman" w:hAnsi="Times New Roman"/>
          <w:sz w:val="18"/>
          <w:szCs w:val="18"/>
          <w:color w:val="auto"/>
        </w:rPr>
        <w:t>, then such Holder may petition any court of competent jurisdiction for the removal of the Trustee and the appointment of a successor Trustee.</w:t>
      </w:r>
    </w:p>
    <w:p>
      <w:pPr>
        <w:spacing w:after="0" w:line="158" w:lineRule="exact"/>
        <w:rPr>
          <w:rFonts w:ascii="Times New Roman" w:cs="Times New Roman" w:eastAsia="Times New Roman" w:hAnsi="Times New Roman"/>
          <w:sz w:val="18"/>
          <w:szCs w:val="18"/>
          <w:color w:val="auto"/>
        </w:rPr>
      </w:pPr>
    </w:p>
    <w:p>
      <w:pPr>
        <w:jc w:val="both"/>
        <w:ind w:firstLine="656"/>
        <w:spacing w:after="0" w:line="258" w:lineRule="auto"/>
        <w:tabs>
          <w:tab w:leader="none" w:pos="1273"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successor Trustee will deliver a written acceptance of its appointment to the retiring Trustee and to the Company, upon which notice the resignation or removal of the retiring Trustee will become effective and the successor Trustee will have all the rights, powers and duties of the Trustee under this Indenture. The successor Trustee will send notice of its succession to Holders. The retiring Trustee will, upon payment of all amounts due to it under this Indenture, promptly transfer all property held by it as Trustee to the successor Trustee, which property will, for the avoidance of doubt, be subject to the lien provided for in </w:t>
      </w:r>
      <w:r>
        <w:rPr>
          <w:rFonts w:ascii="Times New Roman" w:cs="Times New Roman" w:eastAsia="Times New Roman" w:hAnsi="Times New Roman"/>
          <w:sz w:val="18"/>
          <w:szCs w:val="18"/>
          <w:b w:val="1"/>
          <w:bCs w:val="1"/>
          <w:color w:val="auto"/>
        </w:rPr>
        <w:t>Section 10.06(D)</w:t>
      </w:r>
      <w:r>
        <w:rPr>
          <w:rFonts w:ascii="Times New Roman" w:cs="Times New Roman" w:eastAsia="Times New Roman" w:hAnsi="Times New Roman"/>
          <w:sz w:val="18"/>
          <w:szCs w:val="18"/>
          <w:color w:val="auto"/>
        </w:rPr>
        <w:t>.</w:t>
      </w:r>
    </w:p>
    <w:p>
      <w:pPr>
        <w:spacing w:after="0" w:line="354"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2"/>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7" w:name="page98"/>
    <w:bookmarkEnd w:id="97"/>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10.08.</w:t>
        <w:tab/>
        <w:t>S</w:t>
      </w:r>
      <w:r>
        <w:rPr>
          <w:rFonts w:ascii="Times New Roman" w:cs="Times New Roman" w:eastAsia="Times New Roman" w:hAnsi="Times New Roman"/>
          <w:sz w:val="12"/>
          <w:szCs w:val="12"/>
          <w:b w:val="1"/>
          <w:bCs w:val="1"/>
          <w:color w:val="auto"/>
        </w:rPr>
        <w:t>uccessor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rustee by</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erger</w:t>
      </w:r>
      <w:r>
        <w:rPr>
          <w:rFonts w:ascii="Times New Roman" w:cs="Times New Roman" w:eastAsia="Times New Roman" w:hAnsi="Times New Roman"/>
          <w:sz w:val="18"/>
          <w:szCs w:val="18"/>
          <w:b w:val="1"/>
          <w:bCs w:val="1"/>
          <w:color w:val="auto"/>
        </w:rPr>
        <w:t>, E</w:t>
      </w:r>
      <w:r>
        <w:rPr>
          <w:rFonts w:ascii="Times New Roman" w:cs="Times New Roman" w:eastAsia="Times New Roman" w:hAnsi="Times New Roman"/>
          <w:sz w:val="12"/>
          <w:szCs w:val="12"/>
          <w:b w:val="1"/>
          <w:bCs w:val="1"/>
          <w:color w:val="auto"/>
        </w:rPr>
        <w:t>tc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Any entity into which the Trustee may be merged or converted or with which it may be consolidated, or any entity resulting from any merger, conversion or consolidation to which the Trustee is a party, or any entity succeeding to all or substantially all of the corporate trust business of the Trustee, will (without the execution or filing of any paper or any further act on the part of any of the parties to this Indenture) be the successor of the Trustee under this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entity is otherwise qualified and eligible to act as such under this </w:t>
      </w:r>
      <w:r>
        <w:rPr>
          <w:rFonts w:ascii="Times New Roman" w:cs="Times New Roman" w:eastAsia="Times New Roman" w:hAnsi="Times New Roman"/>
          <w:sz w:val="18"/>
          <w:szCs w:val="18"/>
          <w:b w:val="1"/>
          <w:bCs w:val="1"/>
          <w:color w:val="auto"/>
        </w:rPr>
        <w:t>Article 10</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10.09.</w:t>
        <w:tab/>
        <w:t>E</w:t>
      </w:r>
      <w:r>
        <w:rPr>
          <w:rFonts w:ascii="Times New Roman" w:cs="Times New Roman" w:eastAsia="Times New Roman" w:hAnsi="Times New Roman"/>
          <w:sz w:val="12"/>
          <w:szCs w:val="12"/>
          <w:b w:val="1"/>
          <w:bCs w:val="1"/>
          <w:color w:val="auto"/>
        </w:rPr>
        <w:t>ligibility</w:t>
      </w:r>
      <w:r>
        <w:rPr>
          <w:rFonts w:ascii="Times New Roman" w:cs="Times New Roman" w:eastAsia="Times New Roman" w:hAnsi="Times New Roman"/>
          <w:sz w:val="18"/>
          <w:szCs w:val="18"/>
          <w:b w:val="1"/>
          <w:bCs w:val="1"/>
          <w:color w:val="auto"/>
        </w:rPr>
        <w:t>; D</w:t>
      </w:r>
      <w:r>
        <w:rPr>
          <w:rFonts w:ascii="Times New Roman" w:cs="Times New Roman" w:eastAsia="Times New Roman" w:hAnsi="Times New Roman"/>
          <w:sz w:val="12"/>
          <w:szCs w:val="12"/>
          <w:b w:val="1"/>
          <w:bCs w:val="1"/>
          <w:color w:val="auto"/>
        </w:rPr>
        <w:t>isqualification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There will at all times be a Trustee under this Indenture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$100.0 million as set forth in its most recent published annual report of condition.</w:t>
      </w:r>
    </w:p>
    <w:p>
      <w:pPr>
        <w:spacing w:after="0" w:line="176" w:lineRule="exact"/>
        <w:rPr>
          <w:sz w:val="20"/>
          <w:szCs w:val="20"/>
          <w:color w:val="auto"/>
        </w:rPr>
      </w:pPr>
    </w:p>
    <w:p>
      <w:pPr>
        <w:ind w:left="4220"/>
        <w:spacing w:after="0"/>
        <w:tabs>
          <w:tab w:leader="none" w:pos="5440" w:val="left"/>
        </w:tabs>
        <w:rPr>
          <w:sz w:val="20"/>
          <w:szCs w:val="20"/>
          <w:color w:val="auto"/>
        </w:rPr>
      </w:pPr>
      <w:r>
        <w:rPr>
          <w:rFonts w:ascii="Times New Roman" w:cs="Times New Roman" w:eastAsia="Times New Roman" w:hAnsi="Times New Roman"/>
          <w:sz w:val="18"/>
          <w:szCs w:val="18"/>
          <w:b w:val="1"/>
          <w:bCs w:val="1"/>
          <w:color w:val="auto"/>
        </w:rPr>
        <w:t>Article 11.</w:t>
      </w:r>
      <w:r>
        <w:rPr>
          <w:sz w:val="20"/>
          <w:szCs w:val="20"/>
          <w:color w:val="auto"/>
        </w:rPr>
        <w:tab/>
      </w:r>
      <w:r>
        <w:rPr>
          <w:rFonts w:ascii="Times New Roman" w:cs="Times New Roman" w:eastAsia="Times New Roman" w:hAnsi="Times New Roman"/>
          <w:sz w:val="17"/>
          <w:szCs w:val="17"/>
          <w:b w:val="1"/>
          <w:bCs w:val="1"/>
          <w:color w:val="auto"/>
        </w:rPr>
        <w:t>MISCELLANEOUS</w:t>
      </w:r>
    </w:p>
    <w:p>
      <w:pPr>
        <w:spacing w:after="0" w:line="22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11.01.</w:t>
        <w:tab/>
        <w:t>N</w:t>
      </w:r>
      <w:r>
        <w:rPr>
          <w:rFonts w:ascii="Times New Roman" w:cs="Times New Roman" w:eastAsia="Times New Roman" w:hAnsi="Times New Roman"/>
          <w:sz w:val="12"/>
          <w:szCs w:val="12"/>
          <w:b w:val="1"/>
          <w:bCs w:val="1"/>
          <w:color w:val="auto"/>
        </w:rPr>
        <w:t>otices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notice or communication by the Company or the Trustee to the other will be deemed to have been duly given if in writing and delivered in person or by first class mail (registered or certified, return receipt requested), facsimile transmission, electronic transmission or other similar means of unsecured electronic communication or overnight air courier guaranteeing next day delivery, or to the other’s address, which initially is as follows: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IREN Limited</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Level 5, 55 Market Street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Sydney, NSW 2000 Australia</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(which will not constitute notice)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Davis Polk &amp; Wardwell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450 Lexington Avenue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Mark J. DiFiore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Trustee: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633 West 5th Street, 24th Floor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Los Angeles, California 90071</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B. Scarbrough (IREN Limited Administrator)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- 88 -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8" w:name="page99"/>
    <w:bookmarkEnd w:id="98"/>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the preceding paragraph, notices to the Trustee (other than a notice pursuant to </w:t>
      </w:r>
      <w:r>
        <w:rPr>
          <w:rFonts w:ascii="Times New Roman" w:cs="Times New Roman" w:eastAsia="Times New Roman" w:hAnsi="Times New Roman"/>
          <w:sz w:val="18"/>
          <w:szCs w:val="18"/>
          <w:b w:val="1"/>
          <w:bCs w:val="1"/>
          <w:color w:val="auto"/>
        </w:rPr>
        <w:t>Section 2.12</w:t>
      </w:r>
      <w:r>
        <w:rPr>
          <w:rFonts w:ascii="Times New Roman" w:cs="Times New Roman" w:eastAsia="Times New Roman" w:hAnsi="Times New Roman"/>
          <w:sz w:val="18"/>
          <w:szCs w:val="18"/>
          <w:color w:val="auto"/>
        </w:rPr>
        <w:t>) or any Note Agent must be in writing and will be deemed to have been given upon actual receipt by the Trustee or such Note Agent, as applicable.</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or the Trustee, by notice to the other, may designate additional or different addresses (including facsimile numbers and electronic addresses) for subsequent notices or communications.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Trustee will not have any duty to confirm that the person sending any notice, instruction or other communication by electronic transmission (including by e-mail, facsimile transmission, web portal or other electronic methods) is, in fact, a person authorized to do so. Electronic signatures believed by the Trustee to comply with the ESIGN Act of 2000 or other applicable law (including electronic images of handwritten signatures and digital signatures provided by DocuSign, Orbit, Adobe Sign or any other digital signature provider acceptable to the Trustee) will be deemed original signatures for all purposes. Any person that uses electronic signatures or electronic methods to send communications to the Trustee assumes all risks arising out of such use, including the risk of the Trustee acting on an unauthorized communication and the risk of interception or misuse by third parties. Notwithstanding anything to the contrary in this paragraph, the Trustee may, in any instance and in its sole discretion, require that an original document bearing a manual signature be delivered to the Trustee in lieu of, or in addition to, any such electronic communication.</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notices and communications (other than those sent to Holders) will be deemed to have been duly given: (A) at the time delivered by hand, if personally delivered; (B) five (5) Business Days after being deposited in the mail, postage prepaid, if mailed; (C) when receipt is acknowledged, if transmitted by facsimile, electronic transmission or other similar means of unsecured electronic communication; and (D) the next Business Day after timely delivery to the courier, if sent by overnight air courier guaranteeing next day delivery.</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All notices or communications required to be made to a Holder pursuant to this Indenture must be made in writing and will be deemed to be duly sent or given in writing if mailed by first class mail, certified or registered, return receipt requested, or by overnight air courier guaranteeing next day delivery, to its address shown on the Register;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notice or communication to a Holder of a Global Note may, but need not, instead be sent pursuant to the Depositary Procedures (in which case, such notice will be deemed to be duly sent or given in writing). The failure to send a notice or communication to a Holder, or any defect in such notice or communication, will not affect its sufficiency with respect to any other Holder.</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If the Trustee is then acting as the Depositary’s custodian for the Notes, then, at the reasonable request of the Company to the Trustee, the Trustee will cause any notice prepared by the Company to be sent to any Holder(s) pursuant to the Depositary Procedures,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such request is evidenced in a Company Order delivered, together with the text of such notice, to the Trustee at least two (2) Business Days before the date such notice is to be so sent. For the avoidance of doubt, such Company Order need not be accompanied by an Officer’s Certificate or Opinion of Counsel. The Trustee will not have any liability relating to the contents of any notice that it sends to any Holder pursuant to any such Company Order.</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- 89 -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9" w:name="page100"/>
    <w:bookmarkEnd w:id="99"/>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 notice or communication is mailed or sent in the manner provided above within the time prescribed, it will be deemed to have been duly given, whether or not the addressee receives it.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to the contrary in this Indenture or the Notes, (A) whenever any provision of this Indenture requires a party to send notice to another party, no such notice need be sent if the sending party and the recipient are the same Person acting in different capacities (and, for purposes of the interpretation of this Indenture, such notice will be deemed to have been duly sent at the time otherwise required by this Indenture); and (B) whenever any provision of this Indenture requires a party to send notice to more than one receiving party, and each receiving party is the same Person acting in different capacities, then only one such notice need be sent to such Person.</w:t>
      </w:r>
    </w:p>
    <w:p>
      <w:pPr>
        <w:spacing w:after="0" w:line="17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11.02.</w:t>
        <w:tab/>
        <w:t>D</w:t>
      </w:r>
      <w:r>
        <w:rPr>
          <w:rFonts w:ascii="Times New Roman" w:cs="Times New Roman" w:eastAsia="Times New Roman" w:hAnsi="Times New Roman"/>
          <w:sz w:val="12"/>
          <w:szCs w:val="12"/>
          <w:b w:val="1"/>
          <w:bCs w:val="1"/>
          <w:color w:val="auto"/>
        </w:rPr>
        <w:t>elivery of</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fficer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2"/>
          <w:szCs w:val="12"/>
          <w:b w:val="1"/>
          <w:bCs w:val="1"/>
          <w:color w:val="auto"/>
        </w:rPr>
        <w:t>s</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ertificate and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pinion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ounsel as to</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onditions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recedent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Upon any request or application by the Company to the Trustee to take any action under this Indenture (other than the initial authentication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under this Indenture), the Company will furnish to the Trustee:</w:t>
      </w:r>
    </w:p>
    <w:p>
      <w:pPr>
        <w:spacing w:after="0" w:line="203" w:lineRule="exact"/>
        <w:rPr>
          <w:sz w:val="20"/>
          <w:szCs w:val="20"/>
          <w:color w:val="auto"/>
        </w:rPr>
      </w:pPr>
    </w:p>
    <w:p>
      <w:pPr>
        <w:ind w:right="20" w:firstLine="656"/>
        <w:spacing w:after="0" w:line="286" w:lineRule="auto"/>
        <w:tabs>
          <w:tab w:leader="none" w:pos="1312"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Officer’s Certificate that complies with </w:t>
      </w:r>
      <w:r>
        <w:rPr>
          <w:rFonts w:ascii="Times New Roman" w:cs="Times New Roman" w:eastAsia="Times New Roman" w:hAnsi="Times New Roman"/>
          <w:sz w:val="18"/>
          <w:szCs w:val="18"/>
          <w:b w:val="1"/>
          <w:bCs w:val="1"/>
          <w:color w:val="auto"/>
        </w:rPr>
        <w:t>Section 11.03</w:t>
      </w:r>
      <w:r>
        <w:rPr>
          <w:rFonts w:ascii="Times New Roman" w:cs="Times New Roman" w:eastAsia="Times New Roman" w:hAnsi="Times New Roman"/>
          <w:sz w:val="18"/>
          <w:szCs w:val="18"/>
          <w:color w:val="auto"/>
        </w:rPr>
        <w:t xml:space="preserve"> and states that, in the opinion of the signatory thereto, all conditions precedent and covenants, if any, provided for in this Indenture relating to such action have been satisfied; and</w:t>
      </w:r>
    </w:p>
    <w:p>
      <w:pPr>
        <w:spacing w:after="0" w:line="154" w:lineRule="exact"/>
        <w:rPr>
          <w:rFonts w:ascii="Times New Roman" w:cs="Times New Roman" w:eastAsia="Times New Roman" w:hAnsi="Times New Roman"/>
          <w:sz w:val="18"/>
          <w:szCs w:val="18"/>
          <w:color w:val="auto"/>
        </w:rPr>
      </w:pPr>
    </w:p>
    <w:p>
      <w:pPr>
        <w:ind w:right="20" w:firstLine="656"/>
        <w:spacing w:after="0" w:line="286" w:lineRule="auto"/>
        <w:tabs>
          <w:tab w:leader="none" w:pos="1306"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Opinion of Counsel that complies with </w:t>
      </w:r>
      <w:r>
        <w:rPr>
          <w:rFonts w:ascii="Times New Roman" w:cs="Times New Roman" w:eastAsia="Times New Roman" w:hAnsi="Times New Roman"/>
          <w:sz w:val="18"/>
          <w:szCs w:val="18"/>
          <w:b w:val="1"/>
          <w:bCs w:val="1"/>
          <w:color w:val="auto"/>
        </w:rPr>
        <w:t>Section 11.03</w:t>
      </w:r>
      <w:r>
        <w:rPr>
          <w:rFonts w:ascii="Times New Roman" w:cs="Times New Roman" w:eastAsia="Times New Roman" w:hAnsi="Times New Roman"/>
          <w:sz w:val="18"/>
          <w:szCs w:val="18"/>
          <w:color w:val="auto"/>
        </w:rPr>
        <w:t xml:space="preserve"> and states that, in the opinion of such counsel, all such conditions precedent and covenants, if any, have been satisfied.</w:t>
      </w:r>
    </w:p>
    <w:p>
      <w:pPr>
        <w:spacing w:after="0" w:line="15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11.03.</w:t>
        <w:tab/>
        <w:t>S</w:t>
      </w:r>
      <w:r>
        <w:rPr>
          <w:rFonts w:ascii="Times New Roman" w:cs="Times New Roman" w:eastAsia="Times New Roman" w:hAnsi="Times New Roman"/>
          <w:sz w:val="12"/>
          <w:szCs w:val="12"/>
          <w:b w:val="1"/>
          <w:bCs w:val="1"/>
          <w:color w:val="auto"/>
        </w:rPr>
        <w:t>tatements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equired in</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fficer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2"/>
          <w:szCs w:val="12"/>
          <w:b w:val="1"/>
          <w:bCs w:val="1"/>
          <w:color w:val="auto"/>
        </w:rPr>
        <w:t>s</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ertificate and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pinion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ounsel</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Each Officer’s Certificate (other than an Officer’s Certificate pursuant to </w:t>
      </w:r>
      <w:r>
        <w:rPr>
          <w:rFonts w:ascii="Times New Roman" w:cs="Times New Roman" w:eastAsia="Times New Roman" w:hAnsi="Times New Roman"/>
          <w:sz w:val="18"/>
          <w:szCs w:val="18"/>
          <w:b w:val="1"/>
          <w:bCs w:val="1"/>
          <w:color w:val="auto"/>
        </w:rPr>
        <w:t>Section 3.06</w:t>
      </w:r>
      <w:r>
        <w:rPr>
          <w:rFonts w:ascii="Times New Roman" w:cs="Times New Roman" w:eastAsia="Times New Roman" w:hAnsi="Times New Roman"/>
          <w:sz w:val="18"/>
          <w:szCs w:val="18"/>
          <w:color w:val="auto"/>
        </w:rPr>
        <w:t>) or Opinion of Counsel with respect to compliance with a covenant or condition provided for in this Indenture will include:</w:t>
      </w:r>
    </w:p>
    <w:p>
      <w:pPr>
        <w:spacing w:after="0" w:line="159" w:lineRule="exact"/>
        <w:rPr>
          <w:sz w:val="20"/>
          <w:szCs w:val="20"/>
          <w:color w:val="auto"/>
        </w:rPr>
      </w:pPr>
    </w:p>
    <w:p>
      <w:pPr>
        <w:ind w:left="1320" w:hanging="664"/>
        <w:spacing w:after="0"/>
        <w:tabs>
          <w:tab w:leader="none" w:pos="13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the signatory thereto has read such covenant or condition;</w:t>
      </w:r>
    </w:p>
    <w:p>
      <w:pPr>
        <w:spacing w:after="0" w:line="225"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statement as to the nature and scope of the examination or investigation upon which the statements or opinions contained therein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based;</w:t>
      </w:r>
    </w:p>
    <w:p>
      <w:pPr>
        <w:spacing w:after="0" w:line="206" w:lineRule="exact"/>
        <w:rPr>
          <w:rFonts w:ascii="Times New Roman" w:cs="Times New Roman" w:eastAsia="Times New Roman" w:hAnsi="Times New Roman"/>
          <w:sz w:val="18"/>
          <w:szCs w:val="18"/>
          <w:color w:val="auto"/>
        </w:rPr>
      </w:pPr>
    </w:p>
    <w:p>
      <w:pPr>
        <w:ind w:firstLine="656"/>
        <w:spacing w:after="0" w:line="282" w:lineRule="auto"/>
        <w:tabs>
          <w:tab w:leader="none" w:pos="1288"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in the opinion of such signatory, he, she or it has made such examination or investigation as is necessary to enable him, her or it to express an informed opinion as to whether or not such covenant or condition has been satisfied; and</w:t>
      </w:r>
    </w:p>
    <w:p>
      <w:pPr>
        <w:spacing w:after="0" w:line="161"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as to whether, in the opinion of such signatory, such covenant or condition has been satisfied.</w:t>
      </w:r>
    </w:p>
    <w:p>
      <w:pPr>
        <w:spacing w:after="0" w:line="396"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1"/>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11.04.</w:t>
        <w:tab/>
        <w:t>R</w:t>
      </w:r>
      <w:r>
        <w:rPr>
          <w:rFonts w:ascii="Times New Roman" w:cs="Times New Roman" w:eastAsia="Times New Roman" w:hAnsi="Times New Roman"/>
          <w:sz w:val="12"/>
          <w:szCs w:val="12"/>
          <w:b w:val="1"/>
          <w:bCs w:val="1"/>
          <w:color w:val="auto"/>
        </w:rPr>
        <w:t>ules by the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rustee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2"/>
          <w:szCs w:val="12"/>
          <w:b w:val="1"/>
          <w:bCs w:val="1"/>
          <w:color w:val="auto"/>
        </w:rPr>
        <w:t>the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egistrar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2"/>
          <w:szCs w:val="12"/>
          <w:b w:val="1"/>
          <w:bCs w:val="1"/>
          <w:color w:val="auto"/>
        </w:rPr>
        <w:t>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aying</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gent and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onversion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gent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Trustee may make reasonable rules for action by or at a meeting of Holders. Each of the Registrar, the Paying Agent and the Conversion Agent may make reasonable rules and set reasonable requirements for its functions.</w:t>
      </w:r>
    </w:p>
    <w:p>
      <w:pPr>
        <w:spacing w:after="0" w:line="158"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11.05.</w:t>
        <w:tab/>
        <w:t>N</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ersonal</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iability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r>
        <w:rPr>
          <w:rFonts w:ascii="Times New Roman" w:cs="Times New Roman" w:eastAsia="Times New Roman" w:hAnsi="Times New Roman"/>
          <w:sz w:val="18"/>
          <w:szCs w:val="18"/>
          <w:b w:val="1"/>
          <w:bCs w:val="1"/>
          <w:color w:val="auto"/>
        </w:rPr>
        <w:t>, O</w:t>
      </w:r>
      <w:r>
        <w:rPr>
          <w:rFonts w:ascii="Times New Roman" w:cs="Times New Roman" w:eastAsia="Times New Roman" w:hAnsi="Times New Roman"/>
          <w:sz w:val="12"/>
          <w:szCs w:val="12"/>
          <w:b w:val="1"/>
          <w:bCs w:val="1"/>
          <w:color w:val="auto"/>
        </w:rPr>
        <w:t>fficers</w:t>
      </w:r>
      <w:r>
        <w:rPr>
          <w:rFonts w:ascii="Times New Roman" w:cs="Times New Roman" w:eastAsia="Times New Roman" w:hAnsi="Times New Roman"/>
          <w:sz w:val="18"/>
          <w:szCs w:val="18"/>
          <w:b w:val="1"/>
          <w:bCs w:val="1"/>
          <w:color w:val="auto"/>
        </w:rPr>
        <w:t>, E</w:t>
      </w:r>
      <w:r>
        <w:rPr>
          <w:rFonts w:ascii="Times New Roman" w:cs="Times New Roman" w:eastAsia="Times New Roman" w:hAnsi="Times New Roman"/>
          <w:sz w:val="12"/>
          <w:szCs w:val="12"/>
          <w:b w:val="1"/>
          <w:bCs w:val="1"/>
          <w:color w:val="auto"/>
        </w:rPr>
        <w:t>mployees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hareholders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past, present or future director, officer, employee, incorporator or shareholder of the Company, as such, will have any liability for any obligations of the Company under this Indenture or the Notes or for any claim based on, in respect of, or by reason of, such obligations or their creation. By accepting any Note, each Holder waives and releases all such liability. Such waiver and release are part of the consideration for the issuance of the Notes.</w:t>
      </w:r>
    </w:p>
    <w:p>
      <w:pPr>
        <w:spacing w:after="0" w:line="172"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11.06.</w:t>
        <w:tab/>
        <w:t>G</w:t>
      </w:r>
      <w:r>
        <w:rPr>
          <w:rFonts w:ascii="Times New Roman" w:cs="Times New Roman" w:eastAsia="Times New Roman" w:hAnsi="Times New Roman"/>
          <w:sz w:val="12"/>
          <w:szCs w:val="12"/>
          <w:b w:val="1"/>
          <w:bCs w:val="1"/>
          <w:color w:val="auto"/>
        </w:rPr>
        <w:t>overning</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aw</w:t>
      </w:r>
      <w:r>
        <w:rPr>
          <w:rFonts w:ascii="Times New Roman" w:cs="Times New Roman" w:eastAsia="Times New Roman" w:hAnsi="Times New Roman"/>
          <w:sz w:val="18"/>
          <w:szCs w:val="18"/>
          <w:b w:val="1"/>
          <w:bCs w:val="1"/>
          <w:color w:val="auto"/>
        </w:rPr>
        <w:t>; W</w:t>
      </w:r>
      <w:r>
        <w:rPr>
          <w:rFonts w:ascii="Times New Roman" w:cs="Times New Roman" w:eastAsia="Times New Roman" w:hAnsi="Times New Roman"/>
          <w:sz w:val="12"/>
          <w:szCs w:val="12"/>
          <w:b w:val="1"/>
          <w:bCs w:val="1"/>
          <w:color w:val="auto"/>
        </w:rPr>
        <w:t>aiver of</w:t>
      </w:r>
      <w:r>
        <w:rPr>
          <w:rFonts w:ascii="Times New Roman" w:cs="Times New Roman" w:eastAsia="Times New Roman" w:hAnsi="Times New Roman"/>
          <w:sz w:val="18"/>
          <w:szCs w:val="18"/>
          <w:b w:val="1"/>
          <w:bCs w:val="1"/>
          <w:color w:val="auto"/>
        </w:rPr>
        <w:t xml:space="preserve"> J</w:t>
      </w:r>
      <w:r>
        <w:rPr>
          <w:rFonts w:ascii="Times New Roman" w:cs="Times New Roman" w:eastAsia="Times New Roman" w:hAnsi="Times New Roman"/>
          <w:sz w:val="12"/>
          <w:szCs w:val="12"/>
          <w:b w:val="1"/>
          <w:bCs w:val="1"/>
          <w:color w:val="auto"/>
        </w:rPr>
        <w:t>ury</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rial</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INDENTURE AND THE NOTES, AND ANY CLAIM, CONTROVERSY OR DISPUTE ARISING UNDER OR RELATED TO THIS INDENTURE OR THE NOTES, WILL BE GOVERNED BY AND CONSTRUED IN ACCORDANCE WITH THE LAWS OF THE STATE OF NEW YORK. EACH OF THE COMPANY AND THE TRUSTEE IRREVOCABLY WAIVES, TO THE FULLEST EXTENT PERMITTED BY APPLICABLE LAW, ANY AND ALL RIGHT TO TRIAL BY JURY IN ANY LEGAL PROCEEDING ARISING OUT OF OR RELATING TO THIS INDENTURE, THE NOTES OR THE TRANSACTIONS CONTEMPLATED BY THIS INDENTURE OR THE NOTES.</w:t>
      </w:r>
    </w:p>
    <w:p>
      <w:pPr>
        <w:spacing w:after="0" w:line="17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11.07.</w:t>
        <w:tab/>
        <w:t>S</w:t>
      </w:r>
      <w:r>
        <w:rPr>
          <w:rFonts w:ascii="Times New Roman" w:cs="Times New Roman" w:eastAsia="Times New Roman" w:hAnsi="Times New Roman"/>
          <w:sz w:val="12"/>
          <w:szCs w:val="12"/>
          <w:b w:val="1"/>
          <w:bCs w:val="1"/>
          <w:color w:val="auto"/>
        </w:rPr>
        <w:t>ubmission to</w:t>
      </w:r>
      <w:r>
        <w:rPr>
          <w:rFonts w:ascii="Times New Roman" w:cs="Times New Roman" w:eastAsia="Times New Roman" w:hAnsi="Times New Roman"/>
          <w:sz w:val="18"/>
          <w:szCs w:val="18"/>
          <w:b w:val="1"/>
          <w:bCs w:val="1"/>
          <w:color w:val="auto"/>
        </w:rPr>
        <w:t xml:space="preserve"> J</w:t>
      </w:r>
      <w:r>
        <w:rPr>
          <w:rFonts w:ascii="Times New Roman" w:cs="Times New Roman" w:eastAsia="Times New Roman" w:hAnsi="Times New Roman"/>
          <w:sz w:val="12"/>
          <w:szCs w:val="12"/>
          <w:b w:val="1"/>
          <w:bCs w:val="1"/>
          <w:color w:val="auto"/>
        </w:rPr>
        <w:t>urisdiction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legal suit, action or proceeding arising out of or based upon this Indenture or the transactions contemplated by this Indenture may be instituted in the federal courts of the United States of America located in the City of New York or the courts of the State of New York, in each case located in the City of New York (collectively, the “</w:t>
      </w:r>
      <w:r>
        <w:rPr>
          <w:rFonts w:ascii="Times New Roman" w:cs="Times New Roman" w:eastAsia="Times New Roman" w:hAnsi="Times New Roman"/>
          <w:sz w:val="18"/>
          <w:szCs w:val="18"/>
          <w:b w:val="1"/>
          <w:bCs w:val="1"/>
          <w:color w:val="auto"/>
        </w:rPr>
        <w:t>Specified Courts</w:t>
      </w:r>
      <w:r>
        <w:rPr>
          <w:rFonts w:ascii="Times New Roman" w:cs="Times New Roman" w:eastAsia="Times New Roman" w:hAnsi="Times New Roman"/>
          <w:sz w:val="18"/>
          <w:szCs w:val="18"/>
          <w:color w:val="auto"/>
        </w:rPr>
        <w:t xml:space="preserve">”), and each party irrevocably submits to the non-exclusive jurisdiction of such courts in any such suit, action or proceeding. Service of any process, summons, notice or document by mail (to the extent allowed under any applicable statute or rule of court) to such party’s address set forth in </w:t>
      </w:r>
      <w:r>
        <w:rPr>
          <w:rFonts w:ascii="Times New Roman" w:cs="Times New Roman" w:eastAsia="Times New Roman" w:hAnsi="Times New Roman"/>
          <w:sz w:val="18"/>
          <w:szCs w:val="18"/>
          <w:b w:val="1"/>
          <w:bCs w:val="1"/>
          <w:color w:val="auto"/>
        </w:rPr>
        <w:t>Section 11.01</w:t>
      </w:r>
      <w:r>
        <w:rPr>
          <w:rFonts w:ascii="Times New Roman" w:cs="Times New Roman" w:eastAsia="Times New Roman" w:hAnsi="Times New Roman"/>
          <w:sz w:val="18"/>
          <w:szCs w:val="18"/>
          <w:color w:val="auto"/>
        </w:rPr>
        <w:t xml:space="preserve"> will be effective service of process for any such suit, action or proceeding brought in any such court. Each of the Company, the Trustee and each Holder (by its acceptance of any Note) irrevocably and unconditionally waives any objection to the laying of venue of any suit, action or other proceeding in the Specified Courts and irrevocably and unconditionally waives and agrees not to plead or claim any such suit, action or other proceeding has been brought in an inconvenient forum.</w:t>
      </w:r>
    </w:p>
    <w:p>
      <w:pPr>
        <w:spacing w:after="0" w:line="188"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11.08.</w:t>
        <w:tab/>
        <w:t>N</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dverse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nterpretation of</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ther</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Neither this Indenture nor the Notes may be used to interpret any other indenture, note, loan or debt agreement of the Company or its Subsidiaries or of any other Person, and no such indenture, note, loan or debt agreement may be used to interpret this Indenture or the Notes.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- 91 -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1" w:name="page102"/>
    <w:bookmarkEnd w:id="101"/>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11.09.</w:t>
        <w:tab/>
        <w:t>S</w:t>
      </w:r>
      <w:r>
        <w:rPr>
          <w:rFonts w:ascii="Times New Roman" w:cs="Times New Roman" w:eastAsia="Times New Roman" w:hAnsi="Times New Roman"/>
          <w:sz w:val="12"/>
          <w:szCs w:val="12"/>
          <w:b w:val="1"/>
          <w:bCs w:val="1"/>
          <w:color w:val="auto"/>
        </w:rPr>
        <w:t>uccessors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agreements of the Company in this Indenture and the Notes will bind its successors. All agreements of the Trustee in this Indenture will bind its successors.</w:t>
      </w:r>
    </w:p>
    <w:p>
      <w:pPr>
        <w:spacing w:after="0" w:line="158"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11.10.</w:t>
        <w:tab/>
        <w:t>F</w:t>
      </w:r>
      <w:r>
        <w:rPr>
          <w:rFonts w:ascii="Times New Roman" w:cs="Times New Roman" w:eastAsia="Times New Roman" w:hAnsi="Times New Roman"/>
          <w:sz w:val="12"/>
          <w:szCs w:val="12"/>
          <w:b w:val="1"/>
          <w:bCs w:val="1"/>
          <w:color w:val="auto"/>
        </w:rPr>
        <w:t>orce</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ajeure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Trustee and each Note Agent will not incur any liability for not performing any act or fulfilling any duty, obligation or responsibility under this Indenture or the Notes by reason of any occurrence beyond its control (including any act or provision of any present or future law or regulation or governmental authority, act of God or war, civil unrest, local or national disturbance or disaster, act of terrorism or unavailability of the Federal Reserve Bank wire or facsimile or other wire or communication facility).</w:t>
      </w:r>
    </w:p>
    <w:p>
      <w:pPr>
        <w:spacing w:after="0" w:line="176"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11.11.</w:t>
        <w:tab/>
        <w:t>U.S.A. PATRIOT A</w:t>
      </w:r>
      <w:r>
        <w:rPr>
          <w:rFonts w:ascii="Times New Roman" w:cs="Times New Roman" w:eastAsia="Times New Roman" w:hAnsi="Times New Roman"/>
          <w:sz w:val="12"/>
          <w:szCs w:val="12"/>
          <w:b w:val="1"/>
          <w:bCs w:val="1"/>
          <w:color w:val="auto"/>
        </w:rPr>
        <w:t>ct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acknowledges that, in accordance with Section 326 of the U.S.A. PATRIOT Act, the Trustee, like all financial institutions, in order to help fight the funding of terrorism and money laundering, is required to obtain, verify and record information that identifies each person or legal entity that establishes a relationship or opens an account with the Trustee. The Company agrees to provide the Trustee with such information as it may request to enable the Trustee to comply with the U.S.A. PATRIOT Act.</w:t>
      </w:r>
    </w:p>
    <w:p>
      <w:pPr>
        <w:spacing w:after="0" w:line="176"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11.12.</w:t>
        <w:tab/>
        <w:t>C</w:t>
      </w:r>
      <w:r>
        <w:rPr>
          <w:rFonts w:ascii="Times New Roman" w:cs="Times New Roman" w:eastAsia="Times New Roman" w:hAnsi="Times New Roman"/>
          <w:sz w:val="12"/>
          <w:szCs w:val="12"/>
          <w:b w:val="1"/>
          <w:bCs w:val="1"/>
          <w:color w:val="auto"/>
        </w:rPr>
        <w:t>alculations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Except as otherwise provided in this Indenture, the Company will be responsible for making all calculations called for under this Indenture or the Notes, including determinations of the Last Reported Sale Price, the Daily Conversion Value, the Daily Cash Amount, the Daily Share Amount, the Daily VWAP, the Trading Price, accrued interest on the Notes, the Redemption Price, the Fundamental Change Repurchase Price and the Conversion Rate.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will make all calculations in good faith, and, absent manifest error, its calculations will be final and binding on all Holders. The Company will provide a schedule of its calculations to the Trustee and the Conversion Agent, and each of the Trustee and the Conversion Agent may rely conclusively on the accuracy of the Company’s calculations without independent verification. The Trustee will promptly forward a copy of each such schedule to a Holder upon its written request therefor. For the avoidance of doubt, the Trustee will not be obligated to make or confirm any calculations or other amounts called for under this Indenture or the Notes.</w:t>
      </w:r>
    </w:p>
    <w:p>
      <w:pPr>
        <w:spacing w:after="0" w:line="17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11.13.</w:t>
        <w:tab/>
        <w:t>S</w:t>
      </w:r>
      <w:r>
        <w:rPr>
          <w:rFonts w:ascii="Times New Roman" w:cs="Times New Roman" w:eastAsia="Times New Roman" w:hAnsi="Times New Roman"/>
          <w:sz w:val="12"/>
          <w:szCs w:val="12"/>
          <w:b w:val="1"/>
          <w:bCs w:val="1"/>
          <w:color w:val="auto"/>
        </w:rPr>
        <w:t>everability</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any provision of this Indenture or the Notes is invalid, illegal or unenforceable, then the validity, legality and enforceability of the remaining provisions of this Indenture or the Notes will not in any way be affected or impaired thereby.</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- 92 -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2" w:name="page103"/>
    <w:bookmarkEnd w:id="102"/>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11.14.</w:t>
        <w:tab/>
        <w:t>C</w:t>
      </w:r>
      <w:r>
        <w:rPr>
          <w:rFonts w:ascii="Times New Roman" w:cs="Times New Roman" w:eastAsia="Times New Roman" w:hAnsi="Times New Roman"/>
          <w:sz w:val="12"/>
          <w:szCs w:val="12"/>
          <w:b w:val="1"/>
          <w:bCs w:val="1"/>
          <w:color w:val="auto"/>
        </w:rPr>
        <w:t>ounterparts</w:t>
      </w:r>
      <w:r>
        <w:rPr>
          <w:rFonts w:ascii="Times New Roman" w:cs="Times New Roman" w:eastAsia="Times New Roman" w:hAnsi="Times New Roman"/>
          <w:sz w:val="18"/>
          <w:szCs w:val="18"/>
          <w:b w:val="1"/>
          <w:bCs w:val="1"/>
          <w:color w:val="auto"/>
        </w:rPr>
        <w:t>; E</w:t>
      </w:r>
      <w:r>
        <w:rPr>
          <w:rFonts w:ascii="Times New Roman" w:cs="Times New Roman" w:eastAsia="Times New Roman" w:hAnsi="Times New Roman"/>
          <w:sz w:val="12"/>
          <w:szCs w:val="12"/>
          <w:b w:val="1"/>
          <w:bCs w:val="1"/>
          <w:color w:val="auto"/>
        </w:rPr>
        <w:t>lectronic</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ignatures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parties may sign any number of copies of this Indenture. Each signed copy will be an original, and all of them together represent the same agreement. Delivery of an executed counterpart of this Indenture by facsimile, electronically in portable document format or in any other format will be effective as delivery of a manually executed counterpart. The words “execution,” “signed” and “signature” and words of like import in this Indenture or any agreement entered into in connection herewith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(e.g. DocuSign).</w:t>
      </w:r>
    </w:p>
    <w:p>
      <w:pPr>
        <w:spacing w:after="0" w:line="18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11.15.</w:t>
        <w:tab/>
        <w:t>T</w:t>
      </w:r>
      <w:r>
        <w:rPr>
          <w:rFonts w:ascii="Times New Roman" w:cs="Times New Roman" w:eastAsia="Times New Roman" w:hAnsi="Times New Roman"/>
          <w:sz w:val="12"/>
          <w:szCs w:val="12"/>
          <w:b w:val="1"/>
          <w:bCs w:val="1"/>
          <w:color w:val="auto"/>
        </w:rPr>
        <w:t>able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ontents</w:t>
      </w:r>
      <w:r>
        <w:rPr>
          <w:rFonts w:ascii="Times New Roman" w:cs="Times New Roman" w:eastAsia="Times New Roman" w:hAnsi="Times New Roman"/>
          <w:sz w:val="18"/>
          <w:szCs w:val="18"/>
          <w:b w:val="1"/>
          <w:bCs w:val="1"/>
          <w:color w:val="auto"/>
        </w:rPr>
        <w:t>, H</w:t>
      </w:r>
      <w:r>
        <w:rPr>
          <w:rFonts w:ascii="Times New Roman" w:cs="Times New Roman" w:eastAsia="Times New Roman" w:hAnsi="Times New Roman"/>
          <w:sz w:val="12"/>
          <w:szCs w:val="12"/>
          <w:b w:val="1"/>
          <w:bCs w:val="1"/>
          <w:color w:val="auto"/>
        </w:rPr>
        <w:t>eadings</w:t>
      </w:r>
      <w:r>
        <w:rPr>
          <w:rFonts w:ascii="Times New Roman" w:cs="Times New Roman" w:eastAsia="Times New Roman" w:hAnsi="Times New Roman"/>
          <w:sz w:val="18"/>
          <w:szCs w:val="18"/>
          <w:b w:val="1"/>
          <w:bCs w:val="1"/>
          <w:color w:val="auto"/>
        </w:rPr>
        <w:t>, E</w:t>
      </w:r>
      <w:r>
        <w:rPr>
          <w:rFonts w:ascii="Times New Roman" w:cs="Times New Roman" w:eastAsia="Times New Roman" w:hAnsi="Times New Roman"/>
          <w:sz w:val="12"/>
          <w:szCs w:val="12"/>
          <w:b w:val="1"/>
          <w:bCs w:val="1"/>
          <w:color w:val="auto"/>
        </w:rPr>
        <w:t>tc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table of contents and the headings of the Articles and Sections of this Indenture have been inserted for convenience of reference only, are not to be considered a part of this Indenture and will in no way modify or restrict any of the terms or provisions of this Indenture.</w:t>
      </w:r>
    </w:p>
    <w:p>
      <w:pPr>
        <w:spacing w:after="0" w:line="158"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11.16.</w:t>
        <w:tab/>
        <w:t>W</w:t>
      </w:r>
      <w:r>
        <w:rPr>
          <w:rFonts w:ascii="Times New Roman" w:cs="Times New Roman" w:eastAsia="Times New Roman" w:hAnsi="Times New Roman"/>
          <w:sz w:val="12"/>
          <w:szCs w:val="12"/>
          <w:b w:val="1"/>
          <w:bCs w:val="1"/>
          <w:color w:val="auto"/>
        </w:rPr>
        <w:t>ithholding</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axes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Each Holder of a Note agrees, and each beneficial owner of an interest in a Global Note, by its acquisition of such interest, is deemed to agree, that if the Company or other applicable withholding agent (including the Trustee) pays withholding taxes or backup withholding on behalf of such Holder or beneficial owner as a result of an adjustment or the non-occurrence of an adjustment to the Conversion Rate, then the Company or such withholding agent, as applicable, may, at its option, set off such payments against, or withhold such payments from, payments of cash or the delivery of other Conversion Consideration on such Note, any payments on the Ordinary Shares or sales proceeds received by, or other funds or assets of, such Holder or the beneficial owner of such Note.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- 93 -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3" w:name="page104"/>
    <w:bookmarkEnd w:id="103"/>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11.17.</w:t>
        <w:tab/>
        <w:t>S</w:t>
      </w:r>
      <w:r>
        <w:rPr>
          <w:rFonts w:ascii="Times New Roman" w:cs="Times New Roman" w:eastAsia="Times New Roman" w:hAnsi="Times New Roman"/>
          <w:sz w:val="12"/>
          <w:szCs w:val="12"/>
          <w:b w:val="1"/>
          <w:bCs w:val="1"/>
          <w:color w:val="auto"/>
        </w:rPr>
        <w:t>ervice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rocess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Company irrevocably appoints Cogency Global Inc., which currently maintains an office at 122 E. 42nd Street, 18th Floor, New York, New York 10168, United States of America, as its authorized agent in the Borough of Manhattan in The City of New York upon which process may be served in any suit, action or proceeding referred to in </w:t>
      </w:r>
      <w:r>
        <w:rPr>
          <w:rFonts w:ascii="Times New Roman" w:cs="Times New Roman" w:eastAsia="Times New Roman" w:hAnsi="Times New Roman"/>
          <w:sz w:val="18"/>
          <w:szCs w:val="18"/>
          <w:b w:val="1"/>
          <w:bCs w:val="1"/>
          <w:color w:val="auto"/>
        </w:rPr>
        <w:t>Section 11.07</w:t>
      </w:r>
      <w:r>
        <w:rPr>
          <w:rFonts w:ascii="Times New Roman" w:cs="Times New Roman" w:eastAsia="Times New Roman" w:hAnsi="Times New Roman"/>
          <w:sz w:val="18"/>
          <w:szCs w:val="18"/>
          <w:color w:val="auto"/>
        </w:rPr>
        <w:t xml:space="preserve">, and agrees that service of process upon such agent, and written notice of such service to the Company by the Person serving the same to IREN Limited, Level 6, 55 Market Street, Sydney, NSW 2000 Australia, Attention: [***], will be deemed in every respect effective service of process upon the Company in any such suit, action or proceeding. The Company agrees to take any and all reasonable action as may be necessary to maintain such designation and appointment of such agent in full force and effect until the date that is six (6) months after the Maturity Date. If, for any reason, such agent ceases to be such agent for service of process, then the Company will promptly appoint a new agent of recognized standing for service of process in the State of New York and deliver to the Holders and the Trustee a copy of the new agent’s acceptance of that appointment within ten (10) Business Days of such acceptance. Nothing in this </w:t>
      </w:r>
      <w:r>
        <w:rPr>
          <w:rFonts w:ascii="Times New Roman" w:cs="Times New Roman" w:eastAsia="Times New Roman" w:hAnsi="Times New Roman"/>
          <w:sz w:val="18"/>
          <w:szCs w:val="18"/>
          <w:b w:val="1"/>
          <w:bCs w:val="1"/>
          <w:color w:val="auto"/>
        </w:rPr>
        <w:t>Section 11.17</w:t>
      </w:r>
      <w:r>
        <w:rPr>
          <w:rFonts w:ascii="Times New Roman" w:cs="Times New Roman" w:eastAsia="Times New Roman" w:hAnsi="Times New Roman"/>
          <w:sz w:val="18"/>
          <w:szCs w:val="18"/>
          <w:color w:val="auto"/>
        </w:rPr>
        <w:t xml:space="preserve"> will affect the right of the Trustee, any Note Agent or any Holder to serve process in any other manner permitted by law or to commence legal proceedings or otherwise proceed against the Company in any other court of competent jurisdiction. To the extent that the Company has or hereafter may acquire any sovereign or other immunity from jurisdiction of any court or from any legal process with respect to itself or its property, the Company irrevocably waives such immunity in respect of its obligations under this Indenture or under any Note.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The Remainder of This Page Intentionally Left Blank; Signature Page Follows</w:t>
      </w:r>
      <w:r>
        <w:rPr>
          <w:rFonts w:ascii="Times New Roman" w:cs="Times New Roman" w:eastAsia="Times New Roman" w:hAnsi="Times New Roman"/>
          <w:sz w:val="18"/>
          <w:szCs w:val="18"/>
          <w:color w:val="auto"/>
        </w:rPr>
        <w: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- 94 -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to this Indenture have caused this Indenture to be duly executed as of the date first written above.</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person executing this document on behalf of a party states that they have no notice of revocation or suspension of their authority.</w:t>
      </w:r>
    </w:p>
    <w:p>
      <w:pPr>
        <w:spacing w:after="0" w:line="22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as a deed in accordance with section 127 of the</w:t>
      </w:r>
    </w:p>
    <w:p>
      <w:pPr>
        <w:spacing w:after="0" w:line="3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i w:val="1"/>
          <w:iCs w:val="1"/>
          <w:color w:val="auto"/>
        </w:rPr>
        <w:t xml:space="preserve">Corporations Act 2001 </w:t>
      </w:r>
      <w:r>
        <w:rPr>
          <w:rFonts w:ascii="Times New Roman" w:cs="Times New Roman" w:eastAsia="Times New Roman" w:hAnsi="Times New Roman"/>
          <w:sz w:val="18"/>
          <w:szCs w:val="18"/>
          <w:color w:val="auto"/>
        </w:rPr>
        <w:t>by</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ren</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imited</w:t>
      </w:r>
      <w:r>
        <w:rPr>
          <w:rFonts w:ascii="Times New Roman" w:cs="Times New Roman" w:eastAsia="Times New Roman" w:hAnsi="Times New Roman"/>
          <w:sz w:val="18"/>
          <w:szCs w:val="18"/>
          <w:b w:val="1"/>
          <w:bCs w:val="1"/>
          <w:color w:val="auto"/>
        </w:rPr>
        <w:t xml:space="preserve"> (ACN 629 842 799)</w:t>
      </w:r>
    </w:p>
    <w:p>
      <w:pPr>
        <w:spacing w:after="0" w:line="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/s/ William Roberts</w:t>
      </w:r>
    </w:p>
    <w:p>
      <w:pPr>
        <w:spacing w:after="0" w:line="1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17145</wp:posOffset>
            </wp:positionV>
            <wp:extent cx="327469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274695" cy="8890"/>
                    </a:xfrm>
                    <a:prstGeom prst="rect">
                      <a:avLst/>
                    </a:prstGeom>
                    <a:noFill/>
                  </pic:spPr>
                </pic:pic>
              </a:graphicData>
            </a:graphic>
          </wp:anchor>
        </w:drawing>
        <w:drawing>
          <wp:anchor simplePos="0" relativeHeight="251657728" behindDoc="1" locked="0" layoutInCell="0" allowOverlap="1">
            <wp:simplePos x="0" y="0"/>
            <wp:positionH relativeFrom="column">
              <wp:posOffset>3443605</wp:posOffset>
            </wp:positionH>
            <wp:positionV relativeFrom="paragraph">
              <wp:posOffset>-127635</wp:posOffset>
            </wp:positionV>
            <wp:extent cx="327469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1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William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17145</wp:posOffset>
            </wp:positionV>
            <wp:extent cx="327469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14605</wp:posOffset>
            </wp:positionV>
            <wp:extent cx="327469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21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/s/ Dan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17145</wp:posOffset>
            </wp:positionV>
            <wp:extent cx="327469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Director/Secretary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14605</wp:posOffset>
            </wp:positionV>
            <wp:extent cx="327469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1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Dan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17145</wp:posOffset>
            </wp:positionV>
            <wp:extent cx="327469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Print Name</w:t>
      </w:r>
    </w:p>
    <w:p>
      <w:pPr>
        <w:spacing w:after="0" w:line="22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U.S. B</w:t>
      </w:r>
      <w:r>
        <w:rPr>
          <w:rFonts w:ascii="Times New Roman" w:cs="Times New Roman" w:eastAsia="Times New Roman" w:hAnsi="Times New Roman"/>
          <w:sz w:val="12"/>
          <w:szCs w:val="12"/>
          <w:color w:val="auto"/>
        </w:rPr>
        <w:t>ank</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rust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8"/>
          <w:szCs w:val="18"/>
          <w:color w:val="auto"/>
        </w:rPr>
        <w:t>, N</w:t>
      </w:r>
      <w:r>
        <w:rPr>
          <w:rFonts w:ascii="Times New Roman" w:cs="Times New Roman" w:eastAsia="Times New Roman" w:hAnsi="Times New Roman"/>
          <w:sz w:val="12"/>
          <w:szCs w:val="12"/>
          <w:color w:val="auto"/>
        </w:rPr>
        <w:t>ational</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ssociation</w:t>
      </w:r>
      <w:r>
        <w:rPr>
          <w:rFonts w:ascii="Times New Roman" w:cs="Times New Roman" w:eastAsia="Times New Roman" w:hAnsi="Times New Roman"/>
          <w:sz w:val="18"/>
          <w:szCs w:val="18"/>
          <w:color w:val="auto"/>
        </w:rPr>
        <w:t>, as Trustee</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Bradley Scarbrough</w:t>
      </w:r>
    </w:p>
    <w:p>
      <w:pPr>
        <w:spacing w:after="0" w:line="3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Name: Bradley Scarbrough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-127635</wp:posOffset>
            </wp:positionV>
            <wp:extent cx="334327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320"/>
        <w:spacing w:after="0"/>
        <w:tabs>
          <w:tab w:leader="none" w:pos="584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266065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FORM OF NOTE</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Insert Global Note Legend, if applicable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Insert Restricted Note Legend, if applicable</w:t>
      </w:r>
      <w:r>
        <w:rPr>
          <w:rFonts w:ascii="Times New Roman" w:cs="Times New Roman" w:eastAsia="Times New Roman" w:hAnsi="Times New Roman"/>
          <w:sz w:val="17"/>
          <w:szCs w:val="17"/>
          <w:color w:val="auto"/>
        </w:rPr>
        <w:t>]</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Insert Non-Affiliate Legend</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IREN LIMITED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1.00% Convertible Senior Note due 2033</w:t>
      </w:r>
    </w:p>
    <w:p>
      <w:pPr>
        <w:sectPr>
          <w:pgSz w:w="11900" w:h="16838" w:orient="portrait"/>
          <w:cols w:equalWidth="0" w:num="1">
            <w:col w:w="11240"/>
          </w:cols>
          <w:pgMar w:left="320" w:top="117" w:right="339" w:bottom="1440" w:gutter="0" w:footer="0" w:header="0"/>
        </w:sect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ISIN No.:</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w:t>
      </w:r>
      <w:r>
        <w:rPr>
          <w:rFonts w:ascii="Times New Roman" w:cs="Times New Roman" w:eastAsia="Times New Roman" w:hAnsi="Times New Roman"/>
          <w:sz w:val="17"/>
          <w:szCs w:val="17"/>
          <w:i w:val="1"/>
          <w:iCs w:val="1"/>
          <w:color w:val="auto"/>
        </w:rPr>
        <w:t>Insert for a “restricted” CUSIP number</w:t>
      </w:r>
      <w:r>
        <w:rPr>
          <w:rFonts w:ascii="Times New Roman" w:cs="Times New Roman" w:eastAsia="Times New Roman" w:hAnsi="Times New Roman"/>
          <w:sz w:val="17"/>
          <w:szCs w:val="17"/>
          <w:color w:val="auto"/>
        </w:rPr>
        <w:t>: *]</w:t>
      </w:r>
    </w:p>
    <w:p>
      <w:pPr>
        <w:spacing w:after="0" w:line="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[___][</w:t>
      </w:r>
      <w:r>
        <w:rPr>
          <w:rFonts w:ascii="Times New Roman" w:cs="Times New Roman" w:eastAsia="Times New Roman" w:hAnsi="Times New Roman"/>
          <w:sz w:val="18"/>
          <w:szCs w:val="18"/>
          <w:i w:val="1"/>
          <w:iCs w:val="1"/>
          <w:color w:val="auto"/>
        </w:rPr>
        <w:t>Insert for a “restricted” ISIN number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Certificate No. [___]</w:t>
      </w:r>
    </w:p>
    <w:p>
      <w:pPr>
        <w:spacing w:after="0" w:line="459" w:lineRule="exact"/>
        <w:rPr>
          <w:sz w:val="20"/>
          <w:szCs w:val="20"/>
          <w:color w:val="auto"/>
        </w:rPr>
      </w:pPr>
    </w:p>
    <w:p>
      <w:pPr>
        <w:sectPr>
          <w:pgSz w:w="11900" w:h="16838" w:orient="portrait"/>
          <w:cols w:equalWidth="0" w:num="3">
            <w:col w:w="880" w:space="260"/>
            <w:col w:w="7880" w:space="720"/>
            <w:col w:w="1500"/>
          </w:cols>
          <w:pgMar w:left="320" w:top="117" w:right="339" w:bottom="1440" w:gutter="0" w:footer="0" w:header="0"/>
          <w:type w:val="continuous"/>
        </w:sectPr>
      </w:pPr>
    </w:p>
    <w:p>
      <w:pPr>
        <w:spacing w:after="0" w:line="7"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18"/>
          <w:szCs w:val="18"/>
          <w:color w:val="auto"/>
        </w:rPr>
        <w:t>IREN Limited (ACN 629 842 799), an Australian company, for value received, promises to pay to [Cede &amp; Co.], or its registered assigns, the principal sum of [___] dollars ($[___]) [(as revised by the attached Schedule of Exchanges of Interests in the Global Note)]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on December 1, 2033 and to pay interest thereon, as provided in the Indenture referred to below, until the principal and all accrued and unpaid interest, are paid or duly provided for.</w:t>
      </w:r>
    </w:p>
    <w:p>
      <w:pPr>
        <w:sectPr>
          <w:pgSz w:w="11900" w:h="16838" w:orient="portrait"/>
          <w:cols w:equalWidth="0" w:num="1">
            <w:col w:w="11240"/>
          </w:cols>
          <w:pgMar w:left="320" w:top="117" w:right="339" w:bottom="1440" w:gutter="0" w:footer="0" w:header="0"/>
          <w:type w:val="continuous"/>
        </w:sect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Interest Payment Dates:</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1 and December 1 of each year, commencing on [</w:t>
      </w:r>
      <w:r>
        <w:rPr>
          <w:rFonts w:ascii="Times New Roman" w:cs="Times New Roman" w:eastAsia="Times New Roman" w:hAnsi="Times New Roman"/>
          <w:sz w:val="17"/>
          <w:szCs w:val="17"/>
          <w:i w:val="1"/>
          <w:iCs w:val="1"/>
          <w:color w:val="auto"/>
        </w:rPr>
        <w:t>date</w:t>
      </w:r>
      <w:r>
        <w:rPr>
          <w:rFonts w:ascii="Times New Roman" w:cs="Times New Roman" w:eastAsia="Times New Roman" w:hAnsi="Times New Roman"/>
          <w:sz w:val="17"/>
          <w:szCs w:val="17"/>
          <w:color w:val="auto"/>
        </w:rPr>
        <w:t>].</w:t>
      </w:r>
    </w:p>
    <w:p>
      <w:pPr>
        <w:spacing w:after="0" w:line="201" w:lineRule="exact"/>
        <w:rPr>
          <w:sz w:val="20"/>
          <w:szCs w:val="20"/>
          <w:color w:val="auto"/>
        </w:rPr>
      </w:pPr>
    </w:p>
    <w:p>
      <w:pPr>
        <w:sectPr>
          <w:pgSz w:w="11900" w:h="16838" w:orient="portrait"/>
          <w:cols w:equalWidth="0" w:num="2">
            <w:col w:w="3180" w:space="720"/>
            <w:col w:w="7340"/>
          </w:cols>
          <w:pgMar w:left="320" w:top="117" w:right="3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Regular Record Dates: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15 and November 15.</w:t>
      </w:r>
    </w:p>
    <w:p>
      <w:pPr>
        <w:spacing w:after="0" w:line="200" w:lineRule="exact"/>
        <w:rPr>
          <w:sz w:val="20"/>
          <w:szCs w:val="20"/>
          <w:color w:val="auto"/>
        </w:rPr>
      </w:pPr>
    </w:p>
    <w:p>
      <w:pPr>
        <w:sectPr>
          <w:pgSz w:w="11900" w:h="16838" w:orient="portrait"/>
          <w:cols w:equalWidth="0" w:num="2">
            <w:col w:w="3180" w:space="720"/>
            <w:col w:w="7340"/>
          </w:cols>
          <w:pgMar w:left="320" w:top="117" w:right="339" w:bottom="1440" w:gutter="0" w:footer="0" w:header="0"/>
          <w:type w:val="continuous"/>
        </w:sectPr>
      </w:pPr>
    </w:p>
    <w:p>
      <w:pPr>
        <w:spacing w:after="0" w:line="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 provisions of this Note are set forth on the other side of this Note.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The Remainder of This Page Intentionally Left Blank; Signature Page Follows</w:t>
      </w:r>
      <w:r>
        <w:rPr>
          <w:rFonts w:ascii="Times New Roman" w:cs="Times New Roman" w:eastAsia="Times New Roman" w:hAnsi="Times New Roman"/>
          <w:sz w:val="18"/>
          <w:szCs w:val="18"/>
          <w:color w:val="auto"/>
        </w:rPr>
        <w:t>]</w:t>
      </w:r>
    </w:p>
    <w:p>
      <w:pPr>
        <w:spacing w:after="0" w:line="238" w:lineRule="exact"/>
        <w:rPr>
          <w:sz w:val="20"/>
          <w:szCs w:val="20"/>
          <w:color w:val="auto"/>
        </w:rPr>
      </w:pPr>
    </w:p>
    <w:p>
      <w:pPr>
        <w:ind w:left="180" w:hanging="172"/>
        <w:spacing w:after="0" w:line="183" w:lineRule="auto"/>
        <w:tabs>
          <w:tab w:leader="none" w:pos="180" w:val="left"/>
        </w:tabs>
        <w:numPr>
          <w:ilvl w:val="0"/>
          <w:numId w:val="13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3"/>
          <w:szCs w:val="13"/>
          <w:color w:val="auto"/>
        </w:rPr>
        <w:t>This Note will be deemed to be identified by CUSIP No. [___] and ISIN No. [___] from and after such time when the Company delivers, pursuant to Section 2.12 of the within-mentioned Indenture, written notice to the Trustee of the deemed removal of the Restricted Note Legend affixed to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7830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ind w:left="180" w:hanging="172"/>
        <w:spacing w:after="0" w:line="186" w:lineRule="auto"/>
        <w:tabs>
          <w:tab w:leader="none" w:pos="180" w:val="left"/>
        </w:tabs>
        <w:numPr>
          <w:ilvl w:val="0"/>
          <w:numId w:val="13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Insert bracketed language for Global Notes only.</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06" w:name="page107"/>
    <w:bookmarkEnd w:id="106"/>
    <w:p>
      <w:pPr>
        <w:ind w:left="660"/>
        <w:spacing w:after="0"/>
        <w:rPr>
          <w:sz w:val="20"/>
          <w:szCs w:val="20"/>
          <w:color w:val="auto"/>
        </w:rPr>
      </w:pPr>
      <w:r>
        <w:rPr>
          <w:rFonts w:ascii="Times New Roman" w:cs="Times New Roman" w:eastAsia="Times New Roman" w:hAnsi="Times New Roman"/>
          <w:sz w:val="17"/>
          <w:szCs w:val="17"/>
          <w:color w:val="auto"/>
        </w:rPr>
        <w:t>Each person executing this document on behalf of a party states that they have no notice of revocation or suspension of their authority.</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IREN Limited has caused this instrument to be duly executed as of the date set forth below.</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in accordance with section 127 of the</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 xml:space="preserve">Corporations Act 2001 </w:t>
      </w:r>
      <w:r>
        <w:rPr>
          <w:rFonts w:ascii="Times New Roman" w:cs="Times New Roman" w:eastAsia="Times New Roman" w:hAnsi="Times New Roman"/>
          <w:sz w:val="18"/>
          <w:szCs w:val="18"/>
          <w:color w:val="auto"/>
        </w:rPr>
        <w:t>by</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ren</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imited</w:t>
      </w:r>
      <w:r>
        <w:rPr>
          <w:rFonts w:ascii="Times New Roman" w:cs="Times New Roman" w:eastAsia="Times New Roman" w:hAnsi="Times New Roman"/>
          <w:sz w:val="18"/>
          <w:szCs w:val="18"/>
          <w:b w:val="1"/>
          <w:bCs w:val="1"/>
          <w:color w:val="auto"/>
        </w:rPr>
        <w:t xml:space="preserve"> (ACN 629 842 799)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3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-127635</wp:posOffset>
            </wp:positionV>
            <wp:extent cx="677227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3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1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-127635</wp:posOffset>
            </wp:positionV>
            <wp:extent cx="677227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1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7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40"/>
          </w:cols>
          <w:pgMar w:left="320" w:top="121" w:right="1239" w:bottom="1440" w:gutter="0" w:footer="0" w:header="0"/>
        </w:sectPr>
      </w:pPr>
    </w:p>
    <w:bookmarkStart w:id="107" w:name="page108"/>
    <w:bookmarkEnd w:id="107"/>
    <w:p>
      <w:pPr>
        <w:ind w:left="3620"/>
        <w:spacing w:after="0"/>
        <w:rPr>
          <w:sz w:val="20"/>
          <w:szCs w:val="20"/>
          <w:color w:val="auto"/>
        </w:rPr>
      </w:pPr>
      <w:r>
        <w:rPr>
          <w:rFonts w:ascii="Times New Roman" w:cs="Times New Roman" w:eastAsia="Times New Roman" w:hAnsi="Times New Roman"/>
          <w:sz w:val="18"/>
          <w:szCs w:val="18"/>
          <w:color w:val="auto"/>
        </w:rPr>
        <w:t>TRUSTEE’S CERTIFICATE OF AUTHENTICATION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 Bank Trust Company, National Association, as Trustee, certifies that this is one of the Notes referred to in the within-mentioned Indenture.</w:t>
      </w:r>
    </w:p>
    <w:p>
      <w:pPr>
        <w:spacing w:after="0" w:line="237"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-127635</wp:posOffset>
            </wp:positionV>
            <wp:extent cx="677227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37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60"/>
          </w:cols>
          <w:pgMar w:left="320" w:top="121" w:right="121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t>IREN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 Convertible Senior Note due 2033</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This Note is one of a duly authorized issue of notes of IREN Limited (ACN 629 842 799), an Australian company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designated as its 1.00% Convertible Senior Notes due 2033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all issued or to be issued pursuant to an indenture, dated as of May 14, 2026 (as the same may be amended from time to time,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between the Company and U.S. Bank Trust Company, National Association, as trustee. Capitalized terms used in this Note without definition have the respective meanings ascribed to them in the Indenture.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Indenture sets forth the rights and obligations of the Company, the Trustee and the Holders and the terms of the Notes. Notwithstanding anything to the contrary in this Note, to the extent that any provision of this Note conflicts with the provisions of the Indenture, the provisions of the Indenture will control.</w:t>
      </w:r>
    </w:p>
    <w:p>
      <w:pPr>
        <w:spacing w:after="0" w:line="172" w:lineRule="exact"/>
        <w:rPr>
          <w:sz w:val="20"/>
          <w:szCs w:val="20"/>
          <w:color w:val="auto"/>
        </w:rPr>
      </w:pPr>
    </w:p>
    <w:p>
      <w:pPr>
        <w:ind w:right="20" w:firstLine="656"/>
        <w:spacing w:after="0" w:line="286" w:lineRule="auto"/>
        <w:tabs>
          <w:tab w:leader="none" w:pos="1318"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Interest</w:t>
      </w:r>
      <w:r>
        <w:rPr>
          <w:rFonts w:ascii="Times New Roman" w:cs="Times New Roman" w:eastAsia="Times New Roman" w:hAnsi="Times New Roman"/>
          <w:sz w:val="18"/>
          <w:szCs w:val="18"/>
          <w:color w:val="auto"/>
        </w:rPr>
        <w:t>. This Note will accrue interest at a rate and in the manner set forth in Section 2.05 of the Indenture. Stated Interest on this Note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begin to accrue from, and including, [</w:t>
      </w:r>
      <w:r>
        <w:rPr>
          <w:rFonts w:ascii="Times New Roman" w:cs="Times New Roman" w:eastAsia="Times New Roman" w:hAnsi="Times New Roman"/>
          <w:sz w:val="18"/>
          <w:szCs w:val="18"/>
          <w:i w:val="1"/>
          <w:iCs w:val="1"/>
          <w:color w:val="auto"/>
        </w:rPr>
        <w:t>date</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Maturity</w:t>
      </w:r>
      <w:r>
        <w:rPr>
          <w:rFonts w:ascii="Times New Roman" w:cs="Times New Roman" w:eastAsia="Times New Roman" w:hAnsi="Times New Roman"/>
          <w:sz w:val="18"/>
          <w:szCs w:val="18"/>
          <w:color w:val="auto"/>
        </w:rPr>
        <w:t>. This Note will mature on December 1, 2033, unless earlier repurchased, redeemed or Converted.</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Method of Payment</w:t>
      </w:r>
      <w:r>
        <w:rPr>
          <w:rFonts w:ascii="Times New Roman" w:cs="Times New Roman" w:eastAsia="Times New Roman" w:hAnsi="Times New Roman"/>
          <w:sz w:val="18"/>
          <w:szCs w:val="18"/>
          <w:color w:val="auto"/>
        </w:rPr>
        <w:t>. Cash amounts due on this Note will be paid in the manner set forth in Section 2.04 of the Indenture.</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Persons Deemed Owners</w:t>
      </w:r>
      <w:r>
        <w:rPr>
          <w:rFonts w:ascii="Times New Roman" w:cs="Times New Roman" w:eastAsia="Times New Roman" w:hAnsi="Times New Roman"/>
          <w:sz w:val="18"/>
          <w:szCs w:val="18"/>
          <w:color w:val="auto"/>
        </w:rPr>
        <w:t>. The Holder of this Note will be treated as the owner of this Note for all purposes.</w:t>
      </w:r>
    </w:p>
    <w:p>
      <w:pPr>
        <w:spacing w:after="0" w:line="225" w:lineRule="exact"/>
        <w:rPr>
          <w:rFonts w:ascii="Times New Roman" w:cs="Times New Roman" w:eastAsia="Times New Roman" w:hAnsi="Times New Roman"/>
          <w:sz w:val="18"/>
          <w:szCs w:val="18"/>
          <w:color w:val="auto"/>
        </w:rPr>
      </w:pPr>
    </w:p>
    <w:p>
      <w:pPr>
        <w:jc w:val="both"/>
        <w:ind w:firstLine="656"/>
        <w:spacing w:after="0" w:line="268" w:lineRule="auto"/>
        <w:tabs>
          <w:tab w:leader="none" w:pos="1323"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Denominations; Transfers and Exchanges</w:t>
      </w:r>
      <w:r>
        <w:rPr>
          <w:rFonts w:ascii="Times New Roman" w:cs="Times New Roman" w:eastAsia="Times New Roman" w:hAnsi="Times New Roman"/>
          <w:sz w:val="18"/>
          <w:szCs w:val="18"/>
          <w:color w:val="auto"/>
        </w:rPr>
        <w:t>. All Notes will be in registered form, without coupons, in principal amounts equal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Denominations. Subject to the terms of the Indenture, the Holder of this Note may transfer or exchange this Note by presenting it to the Registrar and delivering any required documentation or other materials.</w:t>
      </w:r>
    </w:p>
    <w:p>
      <w:pPr>
        <w:spacing w:after="0" w:line="170" w:lineRule="exact"/>
        <w:rPr>
          <w:rFonts w:ascii="Times New Roman" w:cs="Times New Roman" w:eastAsia="Times New Roman" w:hAnsi="Times New Roman"/>
          <w:sz w:val="18"/>
          <w:szCs w:val="18"/>
          <w:color w:val="auto"/>
        </w:rPr>
      </w:pPr>
    </w:p>
    <w:p>
      <w:pPr>
        <w:jc w:val="both"/>
        <w:ind w:firstLine="656"/>
        <w:spacing w:after="0" w:line="268" w:lineRule="auto"/>
        <w:tabs>
          <w:tab w:leader="none" w:pos="1291"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Right of Holders to Require the Company to Repurchase Notes Upon a Fundamental Change</w:t>
      </w:r>
      <w:r>
        <w:rPr>
          <w:rFonts w:ascii="Times New Roman" w:cs="Times New Roman" w:eastAsia="Times New Roman" w:hAnsi="Times New Roman"/>
          <w:sz w:val="18"/>
          <w:szCs w:val="18"/>
          <w:color w:val="auto"/>
        </w:rPr>
        <w:t>. If a Fundamental Change (other than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Exempted Fundamental Change) occurs, then each Holder will have the right to require the Company to repurchase such Holder’s Notes (or any portion thereof in an Authorized Denomination) for cash in the manner, and subject to the terms, set forth in Section 4.02 of the Indenture.</w:t>
      </w:r>
    </w:p>
    <w:p>
      <w:pPr>
        <w:spacing w:after="0" w:line="170" w:lineRule="exact"/>
        <w:rPr>
          <w:rFonts w:ascii="Times New Roman" w:cs="Times New Roman" w:eastAsia="Times New Roman" w:hAnsi="Times New Roman"/>
          <w:sz w:val="18"/>
          <w:szCs w:val="18"/>
          <w:color w:val="auto"/>
        </w:rPr>
      </w:pPr>
    </w:p>
    <w:p>
      <w:pPr>
        <w:ind w:right="20" w:firstLine="656"/>
        <w:spacing w:after="0" w:line="286" w:lineRule="auto"/>
        <w:tabs>
          <w:tab w:leader="none" w:pos="1304"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Right of the Company to Redeem the Notes</w:t>
      </w:r>
      <w:r>
        <w:rPr>
          <w:rFonts w:ascii="Times New Roman" w:cs="Times New Roman" w:eastAsia="Times New Roman" w:hAnsi="Times New Roman"/>
          <w:sz w:val="18"/>
          <w:szCs w:val="18"/>
          <w:color w:val="auto"/>
        </w:rPr>
        <w:t>. The Company will have the right to redeem the Notes for cash in the manner, and subject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terms, set forth in Section 4.03 of the Indenture.</w:t>
      </w:r>
    </w:p>
    <w:p>
      <w:pPr>
        <w:spacing w:after="0" w:line="154" w:lineRule="exact"/>
        <w:rPr>
          <w:rFonts w:ascii="Times New Roman" w:cs="Times New Roman" w:eastAsia="Times New Roman" w:hAnsi="Times New Roman"/>
          <w:sz w:val="18"/>
          <w:szCs w:val="18"/>
          <w:color w:val="auto"/>
        </w:rPr>
      </w:pPr>
    </w:p>
    <w:p>
      <w:pPr>
        <w:ind w:firstLine="656"/>
        <w:spacing w:after="0" w:line="286" w:lineRule="auto"/>
        <w:tabs>
          <w:tab w:leader="none" w:pos="134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color w:val="auto"/>
        </w:rPr>
        <w:t>. The Holder of this Note may Convert this Note into Conversion Consideration in the manner, and subject to the terms,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in Article 5 of the Indenture.</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9" w:name="page110"/>
    <w:bookmarkEnd w:id="109"/>
    <w:p>
      <w:pPr>
        <w:ind w:right="20" w:firstLine="656"/>
        <w:spacing w:after="0" w:line="286" w:lineRule="auto"/>
        <w:tabs>
          <w:tab w:leader="none" w:pos="1269"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When the Company May Merge, Etc</w:t>
      </w:r>
      <w:r>
        <w:rPr>
          <w:rFonts w:ascii="Times New Roman" w:cs="Times New Roman" w:eastAsia="Times New Roman" w:hAnsi="Times New Roman"/>
          <w:sz w:val="18"/>
          <w:szCs w:val="18"/>
          <w:color w:val="auto"/>
        </w:rPr>
        <w:t>. Article 6 of the Indenture places limited restrictions on the Company’s ability to be a party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Combination Event.</w:t>
      </w:r>
    </w:p>
    <w:p>
      <w:pPr>
        <w:spacing w:after="0" w:line="154" w:lineRule="exact"/>
        <w:rPr>
          <w:rFonts w:ascii="Times New Roman" w:cs="Times New Roman" w:eastAsia="Times New Roman" w:hAnsi="Times New Roman"/>
          <w:sz w:val="18"/>
          <w:szCs w:val="18"/>
          <w:color w:val="auto"/>
        </w:rPr>
      </w:pPr>
    </w:p>
    <w:p>
      <w:pPr>
        <w:jc w:val="both"/>
        <w:ind w:firstLine="656"/>
        <w:spacing w:after="0" w:line="268" w:lineRule="auto"/>
        <w:tabs>
          <w:tab w:leader="none" w:pos="1327"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Defaults and Remedies</w:t>
      </w:r>
      <w:r>
        <w:rPr>
          <w:rFonts w:ascii="Times New Roman" w:cs="Times New Roman" w:eastAsia="Times New Roman" w:hAnsi="Times New Roman"/>
          <w:sz w:val="18"/>
          <w:szCs w:val="18"/>
          <w:color w:val="auto"/>
        </w:rPr>
        <w:t>. If an Event of Default occurs, then the principal amount of, and all accrued and unpaid interest on, all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Notes then outstanding may (and, in certain circumstances, will automatically) become due and payable in the manner, and subject to the terms, set forth in Article 7 of the Indenture.</w:t>
      </w:r>
    </w:p>
    <w:p>
      <w:pPr>
        <w:spacing w:after="0" w:line="170" w:lineRule="exact"/>
        <w:rPr>
          <w:rFonts w:ascii="Times New Roman" w:cs="Times New Roman" w:eastAsia="Times New Roman" w:hAnsi="Times New Roman"/>
          <w:sz w:val="18"/>
          <w:szCs w:val="18"/>
          <w:color w:val="auto"/>
        </w:rPr>
      </w:pPr>
    </w:p>
    <w:p>
      <w:pPr>
        <w:jc w:val="both"/>
        <w:ind w:firstLine="656"/>
        <w:spacing w:after="0" w:line="286" w:lineRule="auto"/>
        <w:tabs>
          <w:tab w:leader="none" w:pos="1284"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Amendments, Supplements and Waivers</w:t>
      </w:r>
      <w:r>
        <w:rPr>
          <w:rFonts w:ascii="Times New Roman" w:cs="Times New Roman" w:eastAsia="Times New Roman" w:hAnsi="Times New Roman"/>
          <w:sz w:val="18"/>
          <w:szCs w:val="18"/>
          <w:color w:val="auto"/>
        </w:rPr>
        <w:t>. The Company and the Trustee may amend or supplement the Indenture or the Notes or waive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compliance with any provision of the Indenture or the Notes in the manner, and subject to the terms, set forth in Section 7.05 and Article 8 of the Indenture.</w:t>
      </w:r>
    </w:p>
    <w:p>
      <w:pPr>
        <w:spacing w:after="0" w:line="154" w:lineRule="exact"/>
        <w:rPr>
          <w:rFonts w:ascii="Times New Roman" w:cs="Times New Roman" w:eastAsia="Times New Roman" w:hAnsi="Times New Roman"/>
          <w:sz w:val="18"/>
          <w:szCs w:val="18"/>
          <w:color w:val="auto"/>
        </w:rPr>
      </w:pPr>
    </w:p>
    <w:p>
      <w:pPr>
        <w:jc w:val="both"/>
        <w:ind w:firstLine="656"/>
        <w:spacing w:after="0" w:line="262" w:lineRule="auto"/>
        <w:tabs>
          <w:tab w:leader="none" w:pos="1381"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Personal Liability of Directors, Officers, Employees and Shareholders</w:t>
      </w:r>
      <w:r>
        <w:rPr>
          <w:rFonts w:ascii="Times New Roman" w:cs="Times New Roman" w:eastAsia="Times New Roman" w:hAnsi="Times New Roman"/>
          <w:sz w:val="18"/>
          <w:szCs w:val="18"/>
          <w:color w:val="auto"/>
        </w:rPr>
        <w:t>. No past, present or future director, officer, employee,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incorporator or shareholder of the Company, as such, will have any liability for any obligations of the Company under the Indenture or the Notes or for any claim based on, in respect of, or by reason of, such obligations or their creation. By accepting any Note, each Holder waives and releases all such liability. Such waiver and release are part of the consideration for the issuance of the Notes.</w:t>
      </w:r>
    </w:p>
    <w:p>
      <w:pPr>
        <w:spacing w:after="0" w:line="176" w:lineRule="exact"/>
        <w:rPr>
          <w:rFonts w:ascii="Times New Roman" w:cs="Times New Roman" w:eastAsia="Times New Roman" w:hAnsi="Times New Roman"/>
          <w:sz w:val="18"/>
          <w:szCs w:val="18"/>
          <w:color w:val="auto"/>
        </w:rPr>
      </w:pPr>
    </w:p>
    <w:p>
      <w:pPr>
        <w:ind w:firstLine="656"/>
        <w:spacing w:after="0" w:line="286" w:lineRule="auto"/>
        <w:tabs>
          <w:tab w:leader="none" w:pos="12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Authentication</w:t>
      </w:r>
      <w:r>
        <w:rPr>
          <w:rFonts w:ascii="Times New Roman" w:cs="Times New Roman" w:eastAsia="Times New Roman" w:hAnsi="Times New Roman"/>
          <w:sz w:val="18"/>
          <w:szCs w:val="18"/>
          <w:color w:val="auto"/>
        </w:rPr>
        <w:t>. No Note will be valid until it is authenticated by the Trustee. A Note will be deemed to be duly authenticated only when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authorized signatory of the Trustee (or a duly appointed authenticating agent) manually signs the certificate of authentication of such Note.</w:t>
      </w:r>
    </w:p>
    <w:p>
      <w:pPr>
        <w:spacing w:after="0" w:line="154" w:lineRule="exact"/>
        <w:rPr>
          <w:rFonts w:ascii="Times New Roman" w:cs="Times New Roman" w:eastAsia="Times New Roman" w:hAnsi="Times New Roman"/>
          <w:sz w:val="18"/>
          <w:szCs w:val="18"/>
          <w:color w:val="auto"/>
        </w:rPr>
      </w:pPr>
    </w:p>
    <w:p>
      <w:pPr>
        <w:jc w:val="both"/>
        <w:ind w:firstLine="656"/>
        <w:spacing w:after="0" w:line="268" w:lineRule="auto"/>
        <w:tabs>
          <w:tab w:leader="none" w:pos="1287"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Abbreviations</w:t>
      </w:r>
      <w:r>
        <w:rPr>
          <w:rFonts w:ascii="Times New Roman" w:cs="Times New Roman" w:eastAsia="Times New Roman" w:hAnsi="Times New Roman"/>
          <w:sz w:val="18"/>
          <w:szCs w:val="18"/>
          <w:color w:val="auto"/>
        </w:rPr>
        <w:t>. Customary abbreviations may be used in the name of a Holder or its assignee, such as TEN COM (tenants in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TEN ENT (tenants by the entireties), JT TEN (joint tenants with right of survivorship and not as tenants in common), CUST (custodian), and U/G/M/A (Uniform Gift to Minors Act).</w:t>
      </w:r>
    </w:p>
    <w:p>
      <w:pPr>
        <w:spacing w:after="0" w:line="170" w:lineRule="exact"/>
        <w:rPr>
          <w:rFonts w:ascii="Times New Roman" w:cs="Times New Roman" w:eastAsia="Times New Roman" w:hAnsi="Times New Roman"/>
          <w:sz w:val="18"/>
          <w:szCs w:val="18"/>
          <w:color w:val="auto"/>
        </w:rPr>
      </w:pPr>
    </w:p>
    <w:p>
      <w:pPr>
        <w:ind w:firstLine="656"/>
        <w:spacing w:after="0" w:line="286" w:lineRule="auto"/>
        <w:tabs>
          <w:tab w:leader="none" w:pos="1381"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 THIS NOTE, AND ANY CLAIM, CONTROVERSY OR DISPUTE ARISING UNDER OR RELATED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NOTE, WILL BE GOVERNED BY AND CONSTRUED IN ACCORDANCE WITH THE LAWS OF THE STATE OF NEW YORK.</w:t>
      </w:r>
    </w:p>
    <w:p>
      <w:pPr>
        <w:spacing w:after="0" w:line="158" w:lineRule="exact"/>
        <w:rPr>
          <w:rFonts w:ascii="Times New Roman" w:cs="Times New Roman" w:eastAsia="Times New Roman" w:hAnsi="Times New Roman"/>
          <w:sz w:val="18"/>
          <w:szCs w:val="18"/>
          <w:color w:val="auto"/>
        </w:rPr>
      </w:pPr>
    </w:p>
    <w:p>
      <w:pPr>
        <w:ind w:left="5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request a copy of the Indenture, which the Company will provide to any Holder at no charge, please send a written request to the following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IREN Limited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Level 5, 55 Market Street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Sydney, NSW 2000 Australia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Attention: [***]</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SCHEDULE OF EXCHANGES OF INTERESTS IN THE GLOBAL NOTE</w:t>
      </w:r>
      <w:r>
        <w:rPr>
          <w:rFonts w:ascii="Times New Roman" w:cs="Times New Roman" w:eastAsia="Times New Roman" w:hAnsi="Times New Roman"/>
          <w:sz w:val="21"/>
          <w:szCs w:val="21"/>
          <w:color w:val="auto"/>
        </w:rPr>
        <w:t>*</w:t>
      </w:r>
    </w:p>
    <w:p>
      <w:pPr>
        <w:spacing w:after="0" w:line="227"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color w:val="auto"/>
        </w:rPr>
        <w:t>INITIAL PRINCIPAL AMOUNT OF THIS GLOBAL NOTE: $[___]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exchanges, transfers or cancellations of this Global Note have been made: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Amount of Increase</w:t>
            </w:r>
          </w:p>
        </w:tc>
        <w:tc>
          <w:tcPr>
            <w:tcW w:w="2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Principal Amount of</w:t>
            </w:r>
          </w:p>
        </w:tc>
        <w:tc>
          <w:tcPr>
            <w:tcW w:w="2480" w:type="dxa"/>
            <w:vAlign w:val="bottom"/>
          </w:tcPr>
          <w:p>
            <w:pPr>
              <w:spacing w:after="0"/>
              <w:rPr>
                <w:sz w:val="18"/>
                <w:szCs w:val="18"/>
                <w:color w:val="auto"/>
              </w:rPr>
            </w:pPr>
          </w:p>
        </w:tc>
      </w:tr>
      <w:tr>
        <w:trPr>
          <w:trHeight w:val="216"/>
        </w:trPr>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(Decrease) in</w:t>
            </w:r>
          </w:p>
        </w:tc>
        <w:tc>
          <w:tcPr>
            <w:tcW w:w="2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this Global Note</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Signature of</w:t>
            </w:r>
          </w:p>
        </w:tc>
      </w:tr>
      <w:tr>
        <w:trPr>
          <w:trHeight w:val="216"/>
        </w:trPr>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Principal Amount of</w:t>
            </w:r>
          </w:p>
        </w:tc>
        <w:tc>
          <w:tcPr>
            <w:tcW w:w="29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After Such Increase</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Authorized</w:t>
            </w:r>
          </w:p>
        </w:tc>
      </w:tr>
      <w:tr>
        <w:trPr>
          <w:trHeight w:val="238"/>
        </w:trPr>
        <w:tc>
          <w:tcPr>
            <w:tcW w:w="2920" w:type="dxa"/>
            <w:vAlign w:val="bottom"/>
            <w:gridSpan w:val="2"/>
          </w:tcPr>
          <w:p>
            <w:pPr>
              <w:ind w:left="1220"/>
              <w:spacing w:after="0"/>
              <w:rPr>
                <w:sz w:val="20"/>
                <w:szCs w:val="20"/>
                <w:color w:val="auto"/>
              </w:rPr>
            </w:pPr>
            <w:r>
              <w:rPr>
                <w:rFonts w:ascii="Times New Roman" w:cs="Times New Roman" w:eastAsia="Times New Roman" w:hAnsi="Times New Roman"/>
                <w:sz w:val="18"/>
                <w:szCs w:val="18"/>
                <w:b w:val="1"/>
                <w:bCs w:val="1"/>
                <w:color w:val="auto"/>
              </w:rPr>
              <w:t>Date</w:t>
            </w:r>
          </w:p>
        </w:tc>
        <w:tc>
          <w:tcPr>
            <w:tcW w:w="2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this Global Note</w:t>
            </w:r>
          </w:p>
        </w:tc>
        <w:tc>
          <w:tcPr>
            <w:tcW w:w="2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Signatory of Trustee</w:t>
            </w:r>
          </w:p>
        </w:tc>
      </w:tr>
      <w:tr>
        <w:trPr>
          <w:trHeight w:val="439"/>
        </w:trPr>
        <w:tc>
          <w:tcPr>
            <w:tcW w:w="2800" w:type="dxa"/>
            <w:vAlign w:val="bottom"/>
            <w:tcBorders>
              <w:top w:val="single" w:sz="8" w:color="auto"/>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tcBorders>
              <w:top w:val="single" w:sz="8" w:color="auto"/>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tcBorders>
              <w:top w:val="single" w:sz="8" w:color="auto"/>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tcBorders>
              <w:top w:val="single" w:sz="8" w:color="auto"/>
              <w:bottom w:val="single" w:sz="8" w:color="auto"/>
            </w:tcBorders>
          </w:tcPr>
          <w:p>
            <w:pPr>
              <w:spacing w:after="0"/>
              <w:rPr>
                <w:sz w:val="24"/>
                <w:szCs w:val="24"/>
                <w:color w:val="auto"/>
              </w:rPr>
            </w:pPr>
          </w:p>
        </w:tc>
      </w:tr>
      <w:tr>
        <w:trPr>
          <w:trHeight w:val="439"/>
        </w:trPr>
        <w:tc>
          <w:tcPr>
            <w:tcW w:w="2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r>
      <w:tr>
        <w:trPr>
          <w:trHeight w:val="439"/>
        </w:trPr>
        <w:tc>
          <w:tcPr>
            <w:tcW w:w="2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r>
      <w:tr>
        <w:trPr>
          <w:trHeight w:val="439"/>
        </w:trPr>
        <w:tc>
          <w:tcPr>
            <w:tcW w:w="2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r>
      <w:tr>
        <w:trPr>
          <w:trHeight w:val="439"/>
        </w:trPr>
        <w:tc>
          <w:tcPr>
            <w:tcW w:w="2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r>
      <w:tr>
        <w:trPr>
          <w:trHeight w:val="439"/>
        </w:trPr>
        <w:tc>
          <w:tcPr>
            <w:tcW w:w="2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r>
      <w:tr>
        <w:trPr>
          <w:trHeight w:val="439"/>
        </w:trPr>
        <w:tc>
          <w:tcPr>
            <w:tcW w:w="2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r>
      <w:tr>
        <w:trPr>
          <w:trHeight w:val="439"/>
        </w:trPr>
        <w:tc>
          <w:tcPr>
            <w:tcW w:w="2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r>
      <w:tr>
        <w:trPr>
          <w:trHeight w:val="439"/>
        </w:trPr>
        <w:tc>
          <w:tcPr>
            <w:tcW w:w="2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r>
      <w:tr>
        <w:trPr>
          <w:trHeight w:val="439"/>
        </w:trPr>
        <w:tc>
          <w:tcPr>
            <w:tcW w:w="2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r>
      <w:tr>
        <w:trPr>
          <w:trHeight w:val="439"/>
        </w:trPr>
        <w:tc>
          <w:tcPr>
            <w:tcW w:w="2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r>
      <w:tr>
        <w:trPr>
          <w:trHeight w:val="439"/>
        </w:trPr>
        <w:tc>
          <w:tcPr>
            <w:tcW w:w="2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r>
      <w:tr>
        <w:trPr>
          <w:trHeight w:val="439"/>
        </w:trPr>
        <w:tc>
          <w:tcPr>
            <w:tcW w:w="2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r>
      <w:tr>
        <w:trPr>
          <w:trHeight w:val="439"/>
        </w:trPr>
        <w:tc>
          <w:tcPr>
            <w:tcW w:w="2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r>
      <w:tr>
        <w:trPr>
          <w:trHeight w:val="439"/>
        </w:trPr>
        <w:tc>
          <w:tcPr>
            <w:tcW w:w="2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r>
    </w:tbl>
    <w:p>
      <w:pPr>
        <w:spacing w:after="0" w:line="119" w:lineRule="exact"/>
        <w:rPr>
          <w:sz w:val="20"/>
          <w:szCs w:val="20"/>
          <w:color w:val="auto"/>
        </w:rPr>
      </w:pPr>
    </w:p>
    <w:p>
      <w:pPr>
        <w:ind w:left="180" w:hanging="172"/>
        <w:spacing w:after="0"/>
        <w:tabs>
          <w:tab w:leader="none" w:pos="180" w:val="left"/>
        </w:tabs>
        <w:numPr>
          <w:ilvl w:val="0"/>
          <w:numId w:val="14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Insert for Global Notes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17830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11" w:name="page112"/>
    <w:bookmarkEnd w:id="1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CONVERSION NOTICE</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IREN LIMITED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 Convertible Senior Notes due 2033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the terms of the Indenture, by executing and delivering this Conversion Notice, the undersigned Holder of the Note identified below directs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to Convert (check one):</w:t>
      </w:r>
    </w:p>
    <w:p>
      <w:pPr>
        <w:spacing w:after="0" w:line="207" w:lineRule="exact"/>
        <w:rPr>
          <w:sz w:val="20"/>
          <w:szCs w:val="20"/>
          <w:color w:val="auto"/>
        </w:rPr>
      </w:pPr>
    </w:p>
    <w:p>
      <w:pPr>
        <w:ind w:left="340" w:hanging="332"/>
        <w:spacing w:after="0"/>
        <w:tabs>
          <w:tab w:leader="none" w:pos="340" w:val="left"/>
        </w:tabs>
        <w:numPr>
          <w:ilvl w:val="0"/>
          <w:numId w:val="14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entire principal amount of</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42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p>
        </w:tc>
        <w:tc>
          <w:tcPr>
            <w:tcW w:w="940" w:type="dxa"/>
            <w:vAlign w:val="bottom"/>
            <w:tcBorders>
              <w:bottom w:val="single" w:sz="8" w:color="auto"/>
            </w:tcBorders>
          </w:tcPr>
          <w:p>
            <w:pPr>
              <w:spacing w:after="0"/>
              <w:rPr>
                <w:sz w:val="24"/>
                <w:szCs w:val="24"/>
                <w:color w:val="auto"/>
              </w:rPr>
            </w:pPr>
          </w:p>
        </w:tc>
        <w:tc>
          <w:tcPr>
            <w:tcW w:w="3540" w:type="dxa"/>
            <w:vAlign w:val="bottom"/>
            <w:gridSpan w:val="3"/>
          </w:tcPr>
          <w:p>
            <w:pPr>
              <w:spacing w:after="0"/>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aggregate principal amount of</w:t>
            </w: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2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Note identified by CUSIP No.</w:t>
            </w:r>
          </w:p>
        </w:tc>
        <w:tc>
          <w:tcPr>
            <w:tcW w:w="940" w:type="dxa"/>
            <w:vAlign w:val="bottom"/>
            <w:tcBorders>
              <w:bottom w:val="single" w:sz="8" w:color="auto"/>
            </w:tcBorders>
          </w:tcPr>
          <w:p>
            <w:pPr>
              <w:spacing w:after="0"/>
              <w:rPr>
                <w:sz w:val="24"/>
                <w:szCs w:val="24"/>
                <w:color w:val="auto"/>
              </w:rPr>
            </w:pPr>
          </w:p>
        </w:tc>
        <w:tc>
          <w:tcPr>
            <w:tcW w:w="1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and Certificate No.</w:t>
            </w:r>
          </w:p>
        </w:tc>
        <w:tc>
          <w:tcPr>
            <w:tcW w:w="940" w:type="dxa"/>
            <w:vAlign w:val="bottom"/>
            <w:tcBorders>
              <w:bottom w:val="single" w:sz="8" w:color="auto"/>
            </w:tcBorders>
          </w:tcPr>
          <w:p>
            <w:pPr>
              <w:spacing w:after="0"/>
              <w:rPr>
                <w:sz w:val="24"/>
                <w:szCs w:val="2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0"/>
              </w:rPr>
              <w:t>.</w:t>
            </w:r>
          </w:p>
        </w:tc>
      </w:tr>
    </w:tbl>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if the Conversion Date of a Note to be Converted is after a Regular Record Date and before the next Interest Payment Date, then such Note, when surrendered for Conversion, must, in certain circumstances, be accompanied with an amount of cash equal to the interest that would have accrued on such Note to, but excluding, such Interest Payment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36"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(Legal 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-127635</wp:posOffset>
            </wp:positionV>
            <wp:extent cx="677227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772275" cy="8890"/>
                    </a:xfrm>
                    <a:prstGeom prst="rect">
                      <a:avLst/>
                    </a:prstGeom>
                    <a:noFill/>
                  </pic:spPr>
                </pic:pic>
              </a:graphicData>
            </a:graphic>
          </wp:anchor>
        </w:drawing>
      </w:r>
    </w:p>
    <w:p>
      <w:pPr>
        <w:spacing w:after="0" w:line="20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-127635</wp:posOffset>
            </wp:positionV>
            <wp:extent cx="406336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063365" cy="8890"/>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39" w:lineRule="exact"/>
        <w:rPr>
          <w:sz w:val="20"/>
          <w:szCs w:val="20"/>
          <w:color w:val="auto"/>
        </w:rPr>
      </w:pPr>
    </w:p>
    <w:p>
      <w:pPr>
        <w:jc w:val="center"/>
        <w:ind w:left="4480"/>
        <w:spacing w:after="0"/>
        <w:rPr>
          <w:sz w:val="20"/>
          <w:szCs w:val="20"/>
          <w:color w:val="auto"/>
        </w:rPr>
      </w:pPr>
      <w:r>
        <w:rPr>
          <w:rFonts w:ascii="Times New Roman" w:cs="Times New Roman" w:eastAsia="Times New Roman" w:hAnsi="Times New Roman"/>
          <w:sz w:val="18"/>
          <w:szCs w:val="18"/>
          <w:color w:val="auto"/>
        </w:rPr>
        <w:t>Participant in a Recognized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-127635</wp:posOffset>
            </wp:positionV>
            <wp:extent cx="427736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277360" cy="8890"/>
                    </a:xfrm>
                    <a:prstGeom prst="rect">
                      <a:avLst/>
                    </a:prstGeom>
                    <a:noFill/>
                  </pic:spPr>
                </pic:pic>
              </a:graphicData>
            </a:graphic>
          </wp:anchor>
        </w:drawing>
      </w:r>
    </w:p>
    <w:p>
      <w:pPr>
        <w:spacing w:after="0" w:line="7" w:lineRule="exact"/>
        <w:rPr>
          <w:sz w:val="20"/>
          <w:szCs w:val="20"/>
          <w:color w:val="auto"/>
        </w:rPr>
      </w:pPr>
    </w:p>
    <w:p>
      <w:pPr>
        <w:jc w:val="center"/>
        <w:ind w:left="4480"/>
        <w:spacing w:after="0"/>
        <w:rPr>
          <w:sz w:val="20"/>
          <w:szCs w:val="20"/>
          <w:color w:val="auto"/>
        </w:rPr>
      </w:pPr>
      <w:r>
        <w:rPr>
          <w:rFonts w:ascii="Times New Roman" w:cs="Times New Roman" w:eastAsia="Times New Roman" w:hAnsi="Times New Roman"/>
          <w:sz w:val="18"/>
          <w:szCs w:val="18"/>
          <w:color w:val="auto"/>
        </w:rPr>
        <w:t>Guarantee Medallion Program</w:t>
      </w:r>
    </w:p>
    <w:p>
      <w:pPr>
        <w:spacing w:after="0" w:line="20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-127635</wp:posOffset>
            </wp:positionV>
            <wp:extent cx="406336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063365" cy="8255"/>
                    </a:xfrm>
                    <a:prstGeom prst="rect">
                      <a:avLst/>
                    </a:prstGeom>
                    <a:noFill/>
                  </pic:spPr>
                </pic:pic>
              </a:graphicData>
            </a:graphic>
          </wp:anchor>
        </w:drawing>
      </w:r>
    </w:p>
    <w:p>
      <w:pPr>
        <w:spacing w:after="0" w:line="126" w:lineRule="exact"/>
        <w:rPr>
          <w:sz w:val="20"/>
          <w:szCs w:val="20"/>
          <w:color w:val="auto"/>
        </w:rPr>
      </w:pPr>
    </w:p>
    <w:p>
      <w:pPr>
        <w:ind w:left="180" w:hanging="172"/>
        <w:spacing w:after="0"/>
        <w:tabs>
          <w:tab w:leader="none" w:pos="180" w:val="left"/>
        </w:tabs>
        <w:numPr>
          <w:ilvl w:val="0"/>
          <w:numId w:val="14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Must be an Authorized Denomination.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17830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2" w:name="page113"/>
    <w:bookmarkEnd w:id="1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FUNDAMENTAL CHANGE REPURCHASE NOTICE</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IREN LIMITED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 Convertible Senior Notes due 2033</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Subject to the terms of the Indenture, by executing and delivering this Fundamental Change Repurchase Notice, the undersigned Holder of the Note identified below is exercising its Fundamental Change Repurchase Right with respect to (check one):</w:t>
      </w:r>
    </w:p>
    <w:p>
      <w:pPr>
        <w:spacing w:after="0" w:line="162" w:lineRule="exact"/>
        <w:rPr>
          <w:sz w:val="20"/>
          <w:szCs w:val="20"/>
          <w:color w:val="auto"/>
        </w:rPr>
      </w:pPr>
    </w:p>
    <w:p>
      <w:pPr>
        <w:ind w:left="340" w:hanging="332"/>
        <w:spacing w:after="0"/>
        <w:tabs>
          <w:tab w:leader="none" w:pos="340" w:val="left"/>
        </w:tabs>
        <w:numPr>
          <w:ilvl w:val="0"/>
          <w:numId w:val="14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entire principal amount of</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42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p>
        </w:tc>
        <w:tc>
          <w:tcPr>
            <w:tcW w:w="940" w:type="dxa"/>
            <w:vAlign w:val="bottom"/>
            <w:tcBorders>
              <w:bottom w:val="single" w:sz="8" w:color="auto"/>
            </w:tcBorders>
          </w:tcPr>
          <w:p>
            <w:pPr>
              <w:spacing w:after="0"/>
              <w:rPr>
                <w:sz w:val="24"/>
                <w:szCs w:val="24"/>
                <w:color w:val="auto"/>
              </w:rPr>
            </w:pPr>
          </w:p>
        </w:tc>
        <w:tc>
          <w:tcPr>
            <w:tcW w:w="3540" w:type="dxa"/>
            <w:vAlign w:val="bottom"/>
            <w:gridSpan w:val="3"/>
          </w:tcPr>
          <w:p>
            <w:pPr>
              <w:spacing w:after="0"/>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aggregate principal amount of</w:t>
            </w: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2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Note identified by CUSIP No.</w:t>
            </w:r>
          </w:p>
        </w:tc>
        <w:tc>
          <w:tcPr>
            <w:tcW w:w="940" w:type="dxa"/>
            <w:vAlign w:val="bottom"/>
            <w:tcBorders>
              <w:bottom w:val="single" w:sz="8" w:color="auto"/>
            </w:tcBorders>
          </w:tcPr>
          <w:p>
            <w:pPr>
              <w:spacing w:after="0"/>
              <w:rPr>
                <w:sz w:val="24"/>
                <w:szCs w:val="24"/>
                <w:color w:val="auto"/>
              </w:rPr>
            </w:pPr>
          </w:p>
        </w:tc>
        <w:tc>
          <w:tcPr>
            <w:tcW w:w="1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and Certificate No.</w:t>
            </w:r>
          </w:p>
        </w:tc>
        <w:tc>
          <w:tcPr>
            <w:tcW w:w="940" w:type="dxa"/>
            <w:vAlign w:val="bottom"/>
            <w:tcBorders>
              <w:bottom w:val="single" w:sz="8" w:color="auto"/>
            </w:tcBorders>
          </w:tcPr>
          <w:p>
            <w:pPr>
              <w:spacing w:after="0"/>
              <w:rPr>
                <w:sz w:val="24"/>
                <w:szCs w:val="2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0"/>
              </w:rPr>
              <w:t>.</w:t>
            </w:r>
          </w:p>
        </w:tc>
      </w:tr>
    </w:tbl>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undersigned acknowledges that this Note, duly endorsed for transfer, must be delivered to the Paying Agent before the Fundamental Change Repurchase Price will be paid.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36"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(Legal 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-127635</wp:posOffset>
            </wp:positionV>
            <wp:extent cx="677227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-127635</wp:posOffset>
            </wp:positionV>
            <wp:extent cx="406336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063365"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52"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Participant in a Recognized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-127635</wp:posOffset>
            </wp:positionV>
            <wp:extent cx="427736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277360" cy="8890"/>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Guarantee Medallion Program</w:t>
      </w:r>
    </w:p>
    <w:p>
      <w:pPr>
        <w:spacing w:after="0" w:line="20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-127635</wp:posOffset>
            </wp:positionV>
            <wp:extent cx="406336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063365" cy="8890"/>
                    </a:xfrm>
                    <a:prstGeom prst="rect">
                      <a:avLst/>
                    </a:prstGeom>
                    <a:noFill/>
                  </pic:spPr>
                </pic:pic>
              </a:graphicData>
            </a:graphic>
          </wp:anchor>
        </w:drawing>
      </w:r>
    </w:p>
    <w:p>
      <w:pPr>
        <w:spacing w:after="0" w:line="126" w:lineRule="exact"/>
        <w:rPr>
          <w:sz w:val="20"/>
          <w:szCs w:val="20"/>
          <w:color w:val="auto"/>
        </w:rPr>
      </w:pPr>
    </w:p>
    <w:p>
      <w:pPr>
        <w:ind w:left="180" w:hanging="172"/>
        <w:spacing w:after="0"/>
        <w:tabs>
          <w:tab w:leader="none" w:pos="180" w:val="left"/>
        </w:tabs>
        <w:numPr>
          <w:ilvl w:val="0"/>
          <w:numId w:val="14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Must be an Authorized Denomination.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17830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IREN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 Convertible Senior Notes due 2033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the terms of the Indenture, the undersigned Holder of the Note identified below assigns (check one):</w:t>
      </w:r>
    </w:p>
    <w:p>
      <w:pPr>
        <w:spacing w:after="0" w:line="225" w:lineRule="exact"/>
        <w:rPr>
          <w:sz w:val="20"/>
          <w:szCs w:val="20"/>
          <w:color w:val="auto"/>
        </w:rPr>
      </w:pPr>
    </w:p>
    <w:p>
      <w:pPr>
        <w:ind w:left="340" w:hanging="332"/>
        <w:spacing w:after="0"/>
        <w:tabs>
          <w:tab w:leader="none" w:pos="340" w:val="left"/>
        </w:tabs>
        <w:numPr>
          <w:ilvl w:val="0"/>
          <w:numId w:val="14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entire principal amount of</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1180" w:type="dxa"/>
            <w:vAlign w:val="bottom"/>
            <w:gridSpan w:val="2"/>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p>
        </w:tc>
        <w:tc>
          <w:tcPr>
            <w:tcW w:w="3720" w:type="dxa"/>
            <w:vAlign w:val="bottom"/>
            <w:gridSpan w:val="5"/>
          </w:tcPr>
          <w:p>
            <w:pPr>
              <w:ind w:left="180"/>
              <w:spacing w:after="0"/>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aggregate principal amount of</w:t>
            </w:r>
          </w:p>
        </w:tc>
        <w:tc>
          <w:tcPr>
            <w:tcW w:w="940" w:type="dxa"/>
            <w:vAlign w:val="bottom"/>
          </w:tcPr>
          <w:p>
            <w:pPr>
              <w:spacing w:after="0"/>
              <w:rPr>
                <w:sz w:val="24"/>
                <w:szCs w:val="24"/>
                <w:color w:val="auto"/>
              </w:rPr>
            </w:pPr>
          </w:p>
        </w:tc>
        <w:tc>
          <w:tcPr>
            <w:tcW w:w="5400" w:type="dxa"/>
            <w:vAlign w:val="bottom"/>
          </w:tcPr>
          <w:p>
            <w:pPr>
              <w:spacing w:after="0"/>
              <w:rPr>
                <w:sz w:val="24"/>
                <w:szCs w:val="24"/>
                <w:color w:val="auto"/>
              </w:rPr>
            </w:pPr>
          </w:p>
        </w:tc>
      </w:tr>
      <w:tr>
        <w:trPr>
          <w:trHeight w:val="20"/>
        </w:trPr>
        <w:tc>
          <w:tcPr>
            <w:tcW w:w="420" w:type="dxa"/>
            <w:vAlign w:val="bottom"/>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r>
      <w:tr>
        <w:trPr>
          <w:trHeight w:val="412"/>
        </w:trPr>
        <w:tc>
          <w:tcPr>
            <w:tcW w:w="2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Note identified by CUSIP No.</w:t>
            </w:r>
          </w:p>
        </w:tc>
        <w:tc>
          <w:tcPr>
            <w:tcW w:w="940" w:type="dxa"/>
            <w:vAlign w:val="bottom"/>
          </w:tcPr>
          <w:p>
            <w:pPr>
              <w:spacing w:after="0"/>
              <w:rPr>
                <w:sz w:val="24"/>
                <w:szCs w:val="24"/>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and Certificate No.</w:t>
            </w:r>
          </w:p>
        </w:tc>
        <w:tc>
          <w:tcPr>
            <w:tcW w:w="6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 and all rights thereunder, to:</w:t>
            </w:r>
          </w:p>
        </w:tc>
      </w:tr>
      <w:tr>
        <w:trPr>
          <w:trHeight w:val="453"/>
        </w:trPr>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Name:</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5400" w:type="dxa"/>
            <w:vAlign w:val="bottom"/>
            <w:tcBorders>
              <w:bottom w:val="single" w:sz="8" w:color="auto"/>
            </w:tcBorders>
          </w:tcPr>
          <w:p>
            <w:pPr>
              <w:spacing w:after="0"/>
              <w:rPr>
                <w:sz w:val="24"/>
                <w:szCs w:val="24"/>
                <w:color w:val="auto"/>
              </w:rPr>
            </w:pPr>
          </w:p>
        </w:tc>
      </w:tr>
      <w:tr>
        <w:trPr>
          <w:trHeight w:val="426"/>
        </w:trPr>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Address:</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tcPr>
          <w:p>
            <w:pPr>
              <w:spacing w:after="0"/>
              <w:rPr>
                <w:sz w:val="24"/>
                <w:szCs w:val="24"/>
                <w:color w:val="auto"/>
              </w:rPr>
            </w:pPr>
          </w:p>
        </w:tc>
      </w:tr>
    </w:tbl>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Social security or tax id. #</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-55880</wp:posOffset>
            </wp:positionV>
            <wp:extent cx="44145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414520" cy="8890"/>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irrevocably appoints: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17145</wp:posOffset>
            </wp:positionV>
            <wp:extent cx="44145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41452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agent to transfer the within Note on the books of the Company. The agent may substitute another to act for him/her.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36"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(Legal 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-127635</wp:posOffset>
            </wp:positionV>
            <wp:extent cx="677227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-127635</wp:posOffset>
            </wp:positionV>
            <wp:extent cx="406336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063365"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52"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Participant in a Recognized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-127635</wp:posOffset>
            </wp:positionV>
            <wp:extent cx="42773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97" w:lineRule="exact"/>
        <w:rPr>
          <w:sz w:val="20"/>
          <w:szCs w:val="20"/>
          <w:color w:val="auto"/>
        </w:rPr>
      </w:pPr>
    </w:p>
    <w:p>
      <w:pPr>
        <w:ind w:left="100" w:hanging="92"/>
        <w:spacing w:after="0"/>
        <w:tabs>
          <w:tab w:leader="none" w:pos="100" w:val="left"/>
        </w:tabs>
        <w:numPr>
          <w:ilvl w:val="0"/>
          <w:numId w:val="14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Must be an Authorized Denomination.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7830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jc w:val="both"/>
        <w:ind w:firstLine="8"/>
        <w:spacing w:after="0" w:line="201" w:lineRule="auto"/>
        <w:tabs>
          <w:tab w:leader="none" w:pos="99" w:val="left"/>
        </w:tabs>
        <w:numPr>
          <w:ilvl w:val="0"/>
          <w:numId w:val="14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The transferee is not required to quote an Australian tax file number; however, if an Australian tax file number is not quoted, tax may be deducted from interest payments, if required by law, at the highest marginal tax rate (plus any applicable government levy) in relation to investors who are Australian tax residents or non-residents of Australia who are investing in carrying on business at or through a permanent establishment in Australia. This tax will not be deducted if the transferee supplies an Australian business number (if applicable) or an appropriate exemption applies to its investment. If an Australian tax file number, Australian business number or proof of exemption is not supplied, the issuer may not be obliged to pay any additional amounts pursuant to Section 3.05 of the Indenture. The use and disclosure of Australian tax file numbers is strictly regulated by Australian tax and privacy laws.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4" w:name="page115"/>
    <w:bookmarkEnd w:id="114"/>
    <w:p>
      <w:pPr>
        <w:jc w:val="right"/>
        <w:ind w:right="999"/>
        <w:spacing w:after="0"/>
        <w:rPr>
          <w:sz w:val="20"/>
          <w:szCs w:val="20"/>
          <w:color w:val="auto"/>
        </w:rPr>
      </w:pPr>
      <w:r>
        <w:rPr>
          <w:rFonts w:ascii="Times New Roman" w:cs="Times New Roman" w:eastAsia="Times New Roman" w:hAnsi="Times New Roman"/>
          <w:sz w:val="18"/>
          <w:szCs w:val="18"/>
          <w:color w:val="auto"/>
        </w:rPr>
        <w:t>Guarantee Medallion Program</w:t>
      </w:r>
    </w:p>
    <w:p>
      <w:pPr>
        <w:spacing w:after="0" w:line="2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2362835</wp:posOffset>
            </wp:positionH>
            <wp:positionV relativeFrom="paragraph">
              <wp:posOffset>-127635</wp:posOffset>
            </wp:positionV>
            <wp:extent cx="406336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063365" cy="8890"/>
                    </a:xfrm>
                    <a:prstGeom prst="rect">
                      <a:avLst/>
                    </a:prstGeom>
                    <a:noFill/>
                  </pic:spPr>
                </pic:pic>
              </a:graphicData>
            </a:graphic>
          </wp:anchor>
        </w:drawing>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color w:val="auto"/>
        </w:rPr>
        <w:t>TRANSFEROR ACKNOWLEDGMENT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within Note bears a Restricted Note Legend, the undersigned further certifies that (check one):</w:t>
      </w:r>
    </w:p>
    <w:p>
      <w:pPr>
        <w:spacing w:after="0" w:line="184" w:lineRule="exact"/>
        <w:rPr>
          <w:sz w:val="20"/>
          <w:szCs w:val="20"/>
          <w:color w:val="auto"/>
        </w:rPr>
      </w:pPr>
    </w:p>
    <w:p>
      <w:pPr>
        <w:ind w:left="280" w:hanging="272"/>
        <w:spacing w:after="0" w:line="207" w:lineRule="exact"/>
        <w:tabs>
          <w:tab w:leader="none" w:pos="280" w:val="left"/>
        </w:tabs>
        <w:numPr>
          <w:ilvl w:val="0"/>
          <w:numId w:val="15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Such Transfer is being made to the Company or a Subsidiary of the Company.</w:t>
      </w:r>
    </w:p>
    <w:p>
      <w:pPr>
        <w:spacing w:after="0" w:line="225" w:lineRule="exact"/>
        <w:rPr>
          <w:rFonts w:ascii="Times New Roman" w:cs="Times New Roman" w:eastAsia="Times New Roman" w:hAnsi="Times New Roman"/>
          <w:sz w:val="18"/>
          <w:szCs w:val="18"/>
          <w:color w:val="auto"/>
        </w:rPr>
      </w:pPr>
    </w:p>
    <w:p>
      <w:pPr>
        <w:ind w:left="660" w:hanging="652"/>
        <w:spacing w:after="0" w:line="245" w:lineRule="exact"/>
        <w:tabs>
          <w:tab w:leader="none" w:pos="282" w:val="left"/>
        </w:tabs>
        <w:numPr>
          <w:ilvl w:val="0"/>
          <w:numId w:val="15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Such Transfer is being made pursuant to, and in accordance with, a registration statement that is effective under the Securities Act at the time of the Transfer.</w:t>
      </w:r>
    </w:p>
    <w:p>
      <w:pPr>
        <w:spacing w:after="0" w:line="158" w:lineRule="exact"/>
        <w:rPr>
          <w:rFonts w:ascii="Times New Roman" w:cs="Times New Roman" w:eastAsia="Times New Roman" w:hAnsi="Times New Roman"/>
          <w:sz w:val="18"/>
          <w:szCs w:val="18"/>
          <w:color w:val="auto"/>
        </w:rPr>
      </w:pPr>
    </w:p>
    <w:p>
      <w:pPr>
        <w:ind w:left="660" w:hanging="652"/>
        <w:spacing w:after="0" w:line="228" w:lineRule="exact"/>
        <w:tabs>
          <w:tab w:leader="none" w:pos="282" w:val="left"/>
        </w:tabs>
        <w:numPr>
          <w:ilvl w:val="0"/>
          <w:numId w:val="15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Such Transfer is being made pursuant to, and in accordance with, Rule 144A under the Securities Act, and, accordingly, the undersigned further certifies that the within Note is being transferred to a Person that the undersigned reasonably believes is purchasing the within Note for its own account, or for one or more accounts with respect to which such Person exercises sole investment discretion, and such Person and each such account is a Person reasonably believed to be a “qualified institutional buyer” within the meaning of Rule 144A under the Securities Act in a transaction meeting the requirements of Rule 144A.</w:t>
      </w:r>
    </w:p>
    <w:p>
      <w:pPr>
        <w:spacing w:after="0" w:line="157" w:lineRule="exact"/>
        <w:rPr>
          <w:rFonts w:ascii="Times New Roman" w:cs="Times New Roman" w:eastAsia="Times New Roman" w:hAnsi="Times New Roman"/>
          <w:sz w:val="18"/>
          <w:szCs w:val="18"/>
          <w:color w:val="auto"/>
        </w:rPr>
      </w:pPr>
    </w:p>
    <w:p>
      <w:pPr>
        <w:ind w:left="660" w:hanging="652"/>
        <w:spacing w:after="0" w:line="245" w:lineRule="exact"/>
        <w:tabs>
          <w:tab w:leader="none" w:pos="282" w:val="left"/>
        </w:tabs>
        <w:numPr>
          <w:ilvl w:val="0"/>
          <w:numId w:val="15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Such Transfer is being made pursuant to, and in accordance with, any other available exemption from the registration requirements of the Securities Act (including, if available, the exemption provided by Rule 144 under the Securities Act).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26035</wp:posOffset>
            </wp:positionV>
            <wp:extent cx="234886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24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(Legal 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8543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-127635</wp:posOffset>
            </wp:positionV>
            <wp:extent cx="264033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52" w:lineRule="exact"/>
        <w:rPr>
          <w:sz w:val="20"/>
          <w:szCs w:val="20"/>
          <w:color w:val="auto"/>
        </w:rPr>
      </w:pPr>
    </w:p>
    <w:p>
      <w:pPr>
        <w:jc w:val="center"/>
        <w:ind w:right="6740"/>
        <w:spacing w:after="0"/>
        <w:rPr>
          <w:sz w:val="20"/>
          <w:szCs w:val="20"/>
          <w:color w:val="auto"/>
        </w:rPr>
      </w:pPr>
      <w:r>
        <w:rPr>
          <w:rFonts w:ascii="Times New Roman" w:cs="Times New Roman" w:eastAsia="Times New Roman" w:hAnsi="Times New Roman"/>
          <w:sz w:val="18"/>
          <w:szCs w:val="18"/>
          <w:color w:val="auto"/>
        </w:rPr>
        <w:t>(Participant in a Recognized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8543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7" w:lineRule="exact"/>
        <w:rPr>
          <w:sz w:val="20"/>
          <w:szCs w:val="20"/>
          <w:color w:val="auto"/>
        </w:rPr>
      </w:pPr>
    </w:p>
    <w:p>
      <w:pPr>
        <w:jc w:val="center"/>
        <w:ind w:right="6740"/>
        <w:spacing w:after="0"/>
        <w:rPr>
          <w:sz w:val="20"/>
          <w:szCs w:val="20"/>
          <w:color w:val="auto"/>
        </w:rPr>
      </w:pPr>
      <w:r>
        <w:rPr>
          <w:rFonts w:ascii="Times New Roman" w:cs="Times New Roman" w:eastAsia="Times New Roman" w:hAnsi="Times New Roman"/>
          <w:sz w:val="18"/>
          <w:szCs w:val="18"/>
          <w:color w:val="auto"/>
        </w:rPr>
        <w:t>Guarantee Medallion Program)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-121920</wp:posOffset>
            </wp:positionV>
            <wp:extent cx="264033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640330" cy="8890"/>
                    </a:xfrm>
                    <a:prstGeom prst="rect">
                      <a:avLst/>
                    </a:prstGeom>
                    <a:noFill/>
                  </pic:spPr>
                </pic:pic>
              </a:graphicData>
            </a:graphic>
          </wp:anchor>
        </w:drawing>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B-1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FORM OF RESTRICTED NOTE LEGEND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OFFER AND SALE OF THIS NOTE AND THE ORDINARY SHARES, IF ANY, ISSUABLE UPON CONVERSION OF THIS NOTE HAVE NOT BEEN REGISTERED UNDER THE SECURITIES ACT OF 1933, AS AMENDED (THE “SECURITIES ACT”), AND THIS NOTE MAY NOT BE OFFERED, SOLD OR OTHERWISE TRANSFERRED EXCEPT IN ACCORDANCE WITH THE FOLLOWING SENTENCE. BY ITS ACQUISITION HEREOF OR OF A BENEFICIAL INTEREST HEREIN, THE ACQUIRER:</w:t>
      </w:r>
    </w:p>
    <w:p>
      <w:pPr>
        <w:spacing w:after="0" w:line="180" w:lineRule="exact"/>
        <w:rPr>
          <w:sz w:val="20"/>
          <w:szCs w:val="20"/>
          <w:color w:val="auto"/>
        </w:rPr>
      </w:pPr>
    </w:p>
    <w:p>
      <w:pPr>
        <w:jc w:val="both"/>
        <w:ind w:left="660" w:hanging="652"/>
        <w:spacing w:after="0" w:line="266" w:lineRule="auto"/>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THAT IT AND ANY ACCOUNT FOR WHICH IT IS ACTING IS A “QUALIFIED INSTITUTIONAL BUYER” (WITHIN THE MEANING OF RULE 144A UNDER THE SECURITIES ACT) AND THAT IT EXERCISES SOLE INVESTMENT DISCRETION WITH RESPECT TO EACH SUCH ACCOUNT;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FOR THE BENEFIT OF THE COMPANY THAT IT WILL NOT OFFER TO SELL, SELL OR OTHERWISE TRANSFER THIS NOTE OR ANY BENEFICIAL INTEREST HEREIN, EXCEPT ONLY:</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OR ANY SUBSIDIARY THEREOF;</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REGISTRATION STATEMENT THAT IS EFFECTIVE UNDER THE SECURITIES ACT;</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PERSON REASONABLY BELIEVED TO BE A QUALIFIED INSTITUTIONAL BUYER IN COMPLIANCE WITH RULE 144A UNDER THE SECURITIES ACT;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144 UNDER THE SECURITIES ACT; OR</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ANY OTHER EXEMPTION FROM, OR IN A TRANSACTION NOT SUBJECT TO, THE REGISTRATION REQUIREMENTS OF THE SECURITIES ACT.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BEFORE THE REGISTRATION OF ANY SALE OR TRANSFER IN ACCORDANCE WITH (2)(D) OR (E) ABOVE, THE COMPANY, THE TRUSTEE AND THE REGISTRAR RESERVE THE RIGHT TO REQUIRE THE DELIVERY OF SUCH CERTIFICATES OR OTHER DOCUMENTATION OR EVIDENCE AS THEY MAY REASONABLY REQUIRE IN ORDER TO DETERMINE THAT THE PROPOSED SALE OR TRANSFER IS BEING MADE IN COMPLIANCE WITH THE SECURITIES ACT AND APPLICABLE STATE SECURITIES LAWS.*</w:t>
      </w:r>
    </w:p>
    <w:p>
      <w:pPr>
        <w:spacing w:after="0" w:line="189" w:lineRule="exact"/>
        <w:rPr>
          <w:sz w:val="20"/>
          <w:szCs w:val="20"/>
          <w:color w:val="auto"/>
        </w:rPr>
      </w:pPr>
    </w:p>
    <w:p>
      <w:pPr>
        <w:ind w:left="180" w:hanging="172"/>
        <w:spacing w:after="0" w:line="184" w:lineRule="auto"/>
        <w:tabs>
          <w:tab w:leader="none" w:pos="180" w:val="left"/>
        </w:tabs>
        <w:numPr>
          <w:ilvl w:val="0"/>
          <w:numId w:val="15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This paragraph and the immediately preceding paragraph will be deemed to be removed from the face of this Note at such time when the Company delivers written notice to the Trustee of such deemed removal pursuant to Section 2.12 of the within-mentioned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17830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B-2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FORM OF GLOBAL NOTE LEGEND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IS A GLOBAL NOTE WITHIN THE MEANING OF THE INDENTURE HEREINAFTER REFERRED TO AND IS REGISTERED IN THE NAME OF THE DEPOSITARY OR A NOMINEE OF THE DEPOSITARY, WHICH MAY BE TREATED BY THE COMPANY, THE TRUSTEE AND ANY AGENT THEREOF AS THE OWNER AND HOLDER OF THIS NOTE FOR ALL PURPOSES.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THE DEPOSITORY TRUST COMPANY (“DTC”) TO THE COMPANY OR ITS AGENT FOR REGISTRATION OF TRANSFER, EXCHANGE OR PAYMENT, AND ANY CERTIFICATE ISSUED IS REGISTERED IN THE NAME OF CEDE &amp; CO. OR IN SUCH OTHER NAME AS IS REQUESTED BY AN AUTHORIZED REPRESENTATIVE OF DTC (AND ANY PAYMENT HEREON IS MADE TO CEDE &amp; CO. OR TO SUCH OTHER ENTITY AS IS REQUESTED BY AN AUTHORIZED REPRESENTATIVE OF DTC), ANY TRANSFER, PLEDGE OR OTHER USE HEREOF FOR VALUE OR OTHERWISE BY OR TO ANY PERSON IS WRONGFUL SINCE THE REGISTERED OWNER HEREOF, CEDE &amp; CO., HAS AN INTEREST HEREIN.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TRANSFERS OF THIS GLOBAL NOTE WILL BE LIMITED TO TRANSFERS IN WHOLE, BUT NOT IN PART, TO NOMINEES OF DTC, OR TO A SUCCESSOR THEREOF OR SUCH SUCCESSOR’S NOMINEE, AND TRANSFERS OF PORTIONS OF THIS GLOBAL NOTE WILL BE LIMITED TO TRANSFERS MADE IN ACCORDANCE WITH THE RESTRICTIONS SET FORTH IN ARTICLE 2 OF THE INDENTURE HEREINAFTER REFERRED TO.</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B2-1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t>EXHIBIT B-3</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FORM OF NON-AFFILIATE LEGEND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 AFFILIATE (AS DEFINED IN RULE 144 UNDER THE SECURITIES ACT OF 1933, AS AMENDED) OF THE COMPANY MAY PURCHASE OR OTHERWISE ACQUIRE THIS NOTE OR ANY BENEFICIAL INTEREST HEREIN.</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B3-1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9" w:name="page120"/>
    <w:bookmarkEnd w:id="119"/>
    <w:p>
      <w:pPr>
        <w:ind w:left="103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w:t>
      </w:r>
    </w:p>
    <w:p>
      <w:pPr>
        <w:spacing w:after="0" w:line="24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Portions of this exhibit have been redacted in compliance with Item 601(a)(6) of Regulation S-K because disclosure would constitute a clearly unwarranted invasion of personal privacy. Redacted information is indicated by [***].</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Final Biding Form</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r>
        <w:rPr>
          <w:rFonts w:ascii="Times New Roman" w:cs="Times New Roman" w:eastAsia="Times New Roman" w:hAnsi="Times New Roman"/>
          <w:sz w:val="14"/>
          <w:szCs w:val="14"/>
          <w:color w:val="auto"/>
        </w:rPr>
        <w:t>1</w:t>
      </w:r>
    </w:p>
    <w:p>
      <w:pPr>
        <w:sectPr>
          <w:pgSz w:w="11900" w:h="16838" w:orient="portrait"/>
          <w:cols w:equalWidth="0" w:num="1">
            <w:col w:w="11240"/>
          </w:cols>
          <w:pgMar w:left="320" w:top="266" w:right="339" w:bottom="1440" w:gutter="0" w:footer="0" w:header="0"/>
        </w:sect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IREN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5, 55 Market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Sydney, NSW 2000 Australia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0" w:lineRule="exact"/>
        <w:rPr>
          <w:sz w:val="20"/>
          <w:szCs w:val="20"/>
          <w:color w:val="auto"/>
        </w:rPr>
      </w:pPr>
    </w:p>
    <w:p>
      <w:pPr>
        <w:sectPr>
          <w:pgSz w:w="11900" w:h="16838" w:orient="portrait"/>
          <w:cols w:equalWidth="0" w:num="2">
            <w:col w:w="500" w:space="720"/>
            <w:col w:w="10020"/>
          </w:cols>
          <w:pgMar w:left="320" w:top="266" w:right="339"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00" w:lineRule="exact"/>
        <w:rPr>
          <w:sz w:val="20"/>
          <w:szCs w:val="20"/>
          <w:color w:val="auto"/>
        </w:rPr>
      </w:pPr>
    </w:p>
    <w:p>
      <w:pPr>
        <w:sectPr>
          <w:pgSz w:w="11900" w:h="16838" w:orient="portrait"/>
          <w:cols w:equalWidth="0" w:num="2">
            <w:col w:w="500" w:space="720"/>
            <w:col w:w="10020"/>
          </w:cols>
          <w:pgMar w:left="320" w:top="266" w:right="33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[Base]</w:t>
      </w:r>
      <w:r>
        <w:rPr>
          <w:rFonts w:ascii="Times New Roman" w:cs="Times New Roman" w:eastAsia="Times New Roman" w:hAnsi="Times New Roman"/>
          <w:sz w:val="14"/>
          <w:szCs w:val="14"/>
          <w:color w:val="auto"/>
        </w:rPr>
        <w:t>2</w:t>
      </w:r>
      <w:r>
        <w:rPr>
          <w:rFonts w:ascii="Times New Roman" w:cs="Times New Roman" w:eastAsia="Times New Roman" w:hAnsi="Times New Roman"/>
          <w:sz w:val="18"/>
          <w:szCs w:val="18"/>
          <w:color w:val="auto"/>
        </w:rPr>
        <w:t>[Additional]</w:t>
      </w:r>
      <w:r>
        <w:rPr>
          <w:rFonts w:ascii="Times New Roman" w:cs="Times New Roman" w:eastAsia="Times New Roman" w:hAnsi="Times New Roman"/>
          <w:sz w:val="14"/>
          <w:szCs w:val="14"/>
          <w:color w:val="auto"/>
        </w:rPr>
        <w:t>3</w:t>
      </w:r>
      <w:r>
        <w:rPr>
          <w:rFonts w:ascii="Times New Roman" w:cs="Times New Roman" w:eastAsia="Times New Roman" w:hAnsi="Times New Roman"/>
          <w:sz w:val="18"/>
          <w:szCs w:val="18"/>
          <w:color w:val="auto"/>
        </w:rPr>
        <w:t xml:space="preserve"> Capped Call Transaction</w:t>
      </w:r>
    </w:p>
    <w:p>
      <w:pPr>
        <w:spacing w:after="0" w:line="205" w:lineRule="exact"/>
        <w:rPr>
          <w:sz w:val="20"/>
          <w:szCs w:val="20"/>
          <w:color w:val="auto"/>
        </w:rPr>
      </w:pPr>
    </w:p>
    <w:p>
      <w:pPr>
        <w:sectPr>
          <w:pgSz w:w="11900" w:h="16838" w:orient="portrait"/>
          <w:cols w:equalWidth="0" w:num="2">
            <w:col w:w="500" w:space="720"/>
            <w:col w:w="10020"/>
          </w:cols>
          <w:pgMar w:left="320" w:top="266"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Ref.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[__________]</w:t>
      </w:r>
      <w:r>
        <w:rPr>
          <w:rFonts w:ascii="Times New Roman" w:cs="Times New Roman" w:eastAsia="Times New Roman" w:hAnsi="Times New Roman"/>
          <w:sz w:val="14"/>
          <w:szCs w:val="14"/>
          <w:color w:val="auto"/>
        </w:rPr>
        <w:t>4</w:t>
      </w:r>
    </w:p>
    <w:p>
      <w:pPr>
        <w:spacing w:after="0" w:line="200" w:lineRule="exact"/>
        <w:rPr>
          <w:sz w:val="20"/>
          <w:szCs w:val="20"/>
          <w:color w:val="auto"/>
        </w:rPr>
      </w:pPr>
    </w:p>
    <w:p>
      <w:pPr>
        <w:sectPr>
          <w:pgSz w:w="11900" w:h="16838" w:orient="portrait"/>
          <w:cols w:equalWidth="0" w:num="2">
            <w:col w:w="640" w:space="580"/>
            <w:col w:w="10020"/>
          </w:cols>
          <w:pgMar w:left="320" w:top="266" w:right="339" w:bottom="1440" w:gutter="0" w:footer="0" w:header="0"/>
          <w:type w:val="continuous"/>
        </w:sectPr>
      </w:pP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 2026</w:t>
      </w:r>
    </w:p>
    <w:p>
      <w:pPr>
        <w:spacing w:after="0" w:line="200" w:lineRule="exact"/>
        <w:rPr>
          <w:sz w:val="20"/>
          <w:szCs w:val="20"/>
          <w:color w:val="auto"/>
        </w:rPr>
      </w:pPr>
    </w:p>
    <w:p>
      <w:pPr>
        <w:sectPr>
          <w:pgSz w:w="11900" w:h="16838" w:orient="portrait"/>
          <w:cols w:equalWidth="0" w:num="2">
            <w:col w:w="500" w:space="720"/>
            <w:col w:w="10020"/>
          </w:cols>
          <w:pgMar w:left="320" w:top="266"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Ladies and Gentlemen:</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The purpose of this communication (this “</w:t>
      </w:r>
      <w:r>
        <w:rPr>
          <w:rFonts w:ascii="Times New Roman" w:cs="Times New Roman" w:eastAsia="Times New Roman" w:hAnsi="Times New Roman"/>
          <w:sz w:val="18"/>
          <w:szCs w:val="18"/>
          <w:b w:val="1"/>
          <w:bCs w:val="1"/>
          <w:color w:val="auto"/>
        </w:rPr>
        <w:t>Confirmation</w:t>
      </w:r>
      <w:r>
        <w:rPr>
          <w:rFonts w:ascii="Times New Roman" w:cs="Times New Roman" w:eastAsia="Times New Roman" w:hAnsi="Times New Roman"/>
          <w:sz w:val="18"/>
          <w:szCs w:val="18"/>
          <w:color w:val="auto"/>
        </w:rPr>
        <w:t>”) is to set forth the terms and conditions of the above-referenced transaction entered into on the Trade Date specified below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between [___________] (“</w:t>
      </w:r>
      <w:r>
        <w:rPr>
          <w:rFonts w:ascii="Times New Roman" w:cs="Times New Roman" w:eastAsia="Times New Roman" w:hAnsi="Times New Roman"/>
          <w:sz w:val="18"/>
          <w:szCs w:val="18"/>
          <w:b w:val="1"/>
          <w:bCs w:val="1"/>
          <w:color w:val="auto"/>
        </w:rPr>
        <w:t>Dealer</w:t>
      </w:r>
      <w:r>
        <w:rPr>
          <w:rFonts w:ascii="Times New Roman" w:cs="Times New Roman" w:eastAsia="Times New Roman" w:hAnsi="Times New Roman"/>
          <w:sz w:val="18"/>
          <w:szCs w:val="18"/>
          <w:color w:val="auto"/>
        </w:rPr>
        <w:t>”)[, represented by [_________]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as its agent,] and IREN Limited (“</w:t>
      </w:r>
      <w:r>
        <w:rPr>
          <w:rFonts w:ascii="Times New Roman" w:cs="Times New Roman" w:eastAsia="Times New Roman" w:hAnsi="Times New Roman"/>
          <w:sz w:val="18"/>
          <w:szCs w:val="18"/>
          <w:b w:val="1"/>
          <w:bCs w:val="1"/>
          <w:color w:val="auto"/>
        </w:rPr>
        <w:t>Counterparty</w:t>
      </w:r>
      <w:r>
        <w:rPr>
          <w:rFonts w:ascii="Times New Roman" w:cs="Times New Roman" w:eastAsia="Times New Roman" w:hAnsi="Times New Roman"/>
          <w:sz w:val="18"/>
          <w:szCs w:val="18"/>
          <w:color w:val="auto"/>
        </w:rPr>
        <w:t>”). This communication constitutes a “Confirmation” as referred to in the ISDA Master Agreement specified below.</w:t>
      </w:r>
    </w:p>
    <w:p>
      <w:pPr>
        <w:spacing w:after="0" w:line="171" w:lineRule="exact"/>
        <w:rPr>
          <w:sz w:val="20"/>
          <w:szCs w:val="20"/>
          <w:color w:val="auto"/>
        </w:rPr>
      </w:pPr>
    </w:p>
    <w:p>
      <w:pPr>
        <w:jc w:val="both"/>
        <w:ind w:firstLine="656"/>
        <w:spacing w:after="0" w:line="259" w:lineRule="auto"/>
        <w:tabs>
          <w:tab w:leader="none" w:pos="828"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Confirmation is subject to, and incorporates, the definitions and provisions of the 2006 ISDA Definitions (the “</w:t>
      </w:r>
      <w:r>
        <w:rPr>
          <w:rFonts w:ascii="Times New Roman" w:cs="Times New Roman" w:eastAsia="Times New Roman" w:hAnsi="Times New Roman"/>
          <w:sz w:val="18"/>
          <w:szCs w:val="18"/>
          <w:b w:val="1"/>
          <w:bCs w:val="1"/>
          <w:color w:val="auto"/>
        </w:rPr>
        <w:t>2006 Definitions</w:t>
      </w:r>
      <w:r>
        <w:rPr>
          <w:rFonts w:ascii="Times New Roman" w:cs="Times New Roman" w:eastAsia="Times New Roman" w:hAnsi="Times New Roman"/>
          <w:sz w:val="18"/>
          <w:szCs w:val="18"/>
          <w:color w:val="auto"/>
        </w:rPr>
        <w:t>”) and the definitions and provisions of the 2002 ISDA Equity Derivatives Definitions (the “</w:t>
      </w:r>
      <w:r>
        <w:rPr>
          <w:rFonts w:ascii="Times New Roman" w:cs="Times New Roman" w:eastAsia="Times New Roman" w:hAnsi="Times New Roman"/>
          <w:sz w:val="18"/>
          <w:szCs w:val="18"/>
          <w:b w:val="1"/>
          <w:bCs w:val="1"/>
          <w:color w:val="auto"/>
        </w:rPr>
        <w:t>Equity Definitions</w:t>
      </w:r>
      <w:r>
        <w:rPr>
          <w:rFonts w:ascii="Times New Roman" w:cs="Times New Roman" w:eastAsia="Times New Roman" w:hAnsi="Times New Roman"/>
          <w:sz w:val="18"/>
          <w:szCs w:val="18"/>
          <w:color w:val="auto"/>
        </w:rPr>
        <w:t>”, and together with the 2006 Definitions, the “</w:t>
      </w: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in each case, as published by the International Swaps and Derivatives Association, Inc. (“</w:t>
      </w:r>
      <w:r>
        <w:rPr>
          <w:rFonts w:ascii="Times New Roman" w:cs="Times New Roman" w:eastAsia="Times New Roman" w:hAnsi="Times New Roman"/>
          <w:sz w:val="18"/>
          <w:szCs w:val="18"/>
          <w:b w:val="1"/>
          <w:bCs w:val="1"/>
          <w:color w:val="auto"/>
        </w:rPr>
        <w:t>ISDA</w:t>
      </w:r>
      <w:r>
        <w:rPr>
          <w:rFonts w:ascii="Times New Roman" w:cs="Times New Roman" w:eastAsia="Times New Roman" w:hAnsi="Times New Roman"/>
          <w:sz w:val="18"/>
          <w:szCs w:val="18"/>
          <w:color w:val="auto"/>
        </w:rPr>
        <w:t>”). In the event of any inconsistency between the 2006 Definitions and the Equity Definitions, the Equity Definitions will govern and in the event of any inconsistency between terms defined in the Equity Definitions and this Confirmation, this Confirmation shall govern.</w:t>
      </w:r>
    </w:p>
    <w:p>
      <w:pPr>
        <w:spacing w:after="0" w:line="183" w:lineRule="exact"/>
        <w:rPr>
          <w:sz w:val="20"/>
          <w:szCs w:val="20"/>
          <w:color w:val="auto"/>
        </w:rPr>
      </w:pPr>
    </w:p>
    <w:p>
      <w:pPr>
        <w:jc w:val="both"/>
        <w:ind w:firstLine="810"/>
        <w:spacing w:after="0" w:line="255" w:lineRule="auto"/>
        <w:rPr>
          <w:sz w:val="20"/>
          <w:szCs w:val="20"/>
          <w:color w:val="auto"/>
        </w:rPr>
      </w:pPr>
      <w:r>
        <w:rPr>
          <w:rFonts w:ascii="Times New Roman" w:cs="Times New Roman" w:eastAsia="Times New Roman" w:hAnsi="Times New Roman"/>
          <w:sz w:val="18"/>
          <w:szCs w:val="18"/>
          <w:color w:val="auto"/>
        </w:rPr>
        <w:t>This Confirmation evidences a complete and binding agreement between Dealer and Counterparty as to the terms of the Transaction to which this Confirmation relates. This Confirmation shall be subject to an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in the form of the 2002 ISDA Master Agreement as if Dealer and Counterparty had executed an agreement in such form on the Trade Date (but without any Schedule except for (i) the election of the laws of the State of New York as the governing law (without reference to choice of law doctrine), [(ii) the election of an executed guarantee of [__________]</w:t>
      </w:r>
    </w:p>
    <w:p>
      <w:pPr>
        <w:spacing w:after="0" w:line="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dated as of the Trade Date in substantially the form attached hereto as Schedule 1 as a Credit Support Document, (iii) the election of Guarantor as Credit Support Provider in relation to Dealer and (iv)]</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[and (ii)] the election that the “Cross-Default” provisions of Section 5(a)(vi) of the Agreement shall apply to Dealer with (a) a “Threshold Amount” of 3% of the shareholders’ equity of Dealer’s ultimate parent (or if Dealer has no ultimate parent, Dealer) on the Trade Date, (b) “Specified Indebtedness” having the meaning set forth in Section 14 of the Agreement, except that it shall not include any obligation in respect of deposits received in the ordinary course of Dealer’s banking business, (c) the phrase “, or becoming capable at such time of being declared,” being deleted from clause (1) of such Section 5(a)(vi) of the Agreement, and (d) the following sentence being added to the end of Section 5(a)(vi) of the Agreement: “Notwithstanding the foregoing, a default under subsection (2) hereof shall not constitute an Event of Default if (i) the default was caused solely by error or omission of an administrative or operational nature; (ii) funds were available to enable the relevant party to make payment when due; and (iii) the payment is made within two Local Business Days of such party’s receipt of written notice of its failure to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142303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74" w:lineRule="exact"/>
        <w:rPr>
          <w:sz w:val="20"/>
          <w:szCs w:val="20"/>
          <w:color w:val="auto"/>
        </w:rPr>
      </w:pPr>
    </w:p>
    <w:p>
      <w:pPr>
        <w:ind w:left="120" w:hanging="112"/>
        <w:spacing w:after="0"/>
        <w:tabs>
          <w:tab w:leader="none" w:pos="120" w:val="left"/>
        </w:tabs>
        <w:numPr>
          <w:ilvl w:val="0"/>
          <w:numId w:val="15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 Dealer name, address and logo.</w:t>
      </w:r>
    </w:p>
    <w:p>
      <w:pPr>
        <w:spacing w:after="0" w:line="1" w:lineRule="exact"/>
        <w:rPr>
          <w:rFonts w:ascii="Times New Roman" w:cs="Times New Roman" w:eastAsia="Times New Roman" w:hAnsi="Times New Roman"/>
          <w:sz w:val="30"/>
          <w:szCs w:val="30"/>
          <w:color w:val="auto"/>
          <w:vertAlign w:val="superscript"/>
        </w:rPr>
      </w:pPr>
    </w:p>
    <w:p>
      <w:pPr>
        <w:spacing w:after="0" w:line="180"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6"/>
          <w:szCs w:val="16"/>
          <w:color w:val="auto"/>
        </w:rPr>
        <w:t xml:space="preserve"> Include for base call option.</w:t>
      </w:r>
    </w:p>
    <w:p>
      <w:pPr>
        <w:spacing w:after="0" w:line="180"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16"/>
          <w:szCs w:val="16"/>
          <w:color w:val="auto"/>
        </w:rPr>
        <w:t xml:space="preserve"> Include for additional call option.</w:t>
      </w:r>
    </w:p>
    <w:p>
      <w:pPr>
        <w:spacing w:after="0" w:line="180"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5"/>
          <w:szCs w:val="25"/>
          <w:color w:val="auto"/>
          <w:vertAlign w:val="superscript"/>
        </w:rPr>
        <w:t>4</w:t>
      </w:r>
      <w:r>
        <w:rPr>
          <w:rFonts w:ascii="Times New Roman" w:cs="Times New Roman" w:eastAsia="Times New Roman" w:hAnsi="Times New Roman"/>
          <w:sz w:val="16"/>
          <w:szCs w:val="16"/>
          <w:color w:val="auto"/>
        </w:rPr>
        <w:t xml:space="preserve"> Include if applicable.</w:t>
      </w:r>
    </w:p>
    <w:p>
      <w:pPr>
        <w:spacing w:after="0"/>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Requested if Dealer is not the highest rated entity in group, typically from Parent.</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type w:val="continuous"/>
        </w:sectPr>
      </w:pPr>
    </w:p>
    <w:bookmarkStart w:id="120" w:name="page121"/>
    <w:bookmarkEnd w:id="120"/>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All provisions contained in, or incorporated by reference to, the Agreement will govern this Confirmation except as expressly modified herein. In the event of any inconsistency between this Confirmation and either the Definitions or the Agreement, this Confirmation shall govern.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Transaction hereunder shall be the sole Transaction under the Agreement. If there exists any ISDA Master Agreement between Dealer and Counterparty or any confirmation or other agreement between Dealer and Counterparty pursuant to which an ISDA Master Agreement is deemed to exist between Dealer and Counterparty, then notwithstanding anything to the contrary in such ISDA Master Agreement, such confirmation or agreement or any other agreement to which Dealer and Counterparty are parties, the Transaction shall not be considered a Transaction under, or otherwise governed by, such existing or deemed ISDA Master Agreement.</w:t>
      </w:r>
    </w:p>
    <w:p>
      <w:pPr>
        <w:spacing w:after="0" w:line="183" w:lineRule="exact"/>
        <w:rPr>
          <w:sz w:val="20"/>
          <w:szCs w:val="20"/>
          <w:color w:val="auto"/>
        </w:rPr>
      </w:pPr>
    </w:p>
    <w:p>
      <w:pPr>
        <w:ind w:right="20" w:firstLine="656"/>
        <w:spacing w:after="0" w:line="282" w:lineRule="auto"/>
        <w:tabs>
          <w:tab w:leader="none" w:pos="828"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constitutes a Share Option Transaction for purposes of the Equity Definitions. The terms of the particular Transaction to which this Confirmation relates are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General Terms</w:t>
            </w:r>
            <w:r>
              <w:rPr>
                <w:rFonts w:ascii="Times New Roman" w:cs="Times New Roman" w:eastAsia="Times New Roman" w:hAnsi="Times New Roman"/>
                <w:sz w:val="18"/>
                <w:szCs w:val="18"/>
                <w:color w:val="auto"/>
              </w:rPr>
              <w:t>:</w:t>
            </w:r>
          </w:p>
        </w:tc>
        <w:tc>
          <w:tcPr>
            <w:tcW w:w="8480" w:type="dxa"/>
            <w:vAlign w:val="bottom"/>
          </w:tcPr>
          <w:p>
            <w:pPr>
              <w:spacing w:after="0"/>
              <w:rPr>
                <w:sz w:val="17"/>
                <w:szCs w:val="17"/>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r>
      <w:tr>
        <w:trPr>
          <w:trHeight w:val="453"/>
        </w:trPr>
        <w:tc>
          <w:tcPr>
            <w:tcW w:w="2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Trade Date:</w:t>
            </w:r>
          </w:p>
        </w:tc>
        <w:tc>
          <w:tcPr>
            <w:tcW w:w="84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[________], 2026</w:t>
            </w:r>
          </w:p>
        </w:tc>
      </w:tr>
      <w:tr>
        <w:trPr>
          <w:trHeight w:val="432"/>
        </w:trPr>
        <w:tc>
          <w:tcPr>
            <w:tcW w:w="2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Effective Date:</w:t>
            </w:r>
          </w:p>
        </w:tc>
        <w:tc>
          <w:tcPr>
            <w:tcW w:w="84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[________], 2026, or such other date as agreed by the parties in writing.</w:t>
            </w:r>
          </w:p>
        </w:tc>
      </w:tr>
      <w:tr>
        <w:trPr>
          <w:trHeight w:val="414"/>
        </w:trPr>
        <w:tc>
          <w:tcPr>
            <w:tcW w:w="2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Components:</w:t>
            </w:r>
          </w:p>
        </w:tc>
        <w:tc>
          <w:tcPr>
            <w:tcW w:w="84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The Transaction will be divided into individual Components, each with the terms set forth in this</w:t>
            </w:r>
          </w:p>
        </w:tc>
      </w:tr>
      <w:tr>
        <w:trPr>
          <w:trHeight w:val="216"/>
        </w:trPr>
        <w:tc>
          <w:tcPr>
            <w:tcW w:w="10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4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Confirmation, and, in particular, with the Number of Options and Expiration Date set forth in Annex A</w:t>
            </w:r>
          </w:p>
        </w:tc>
      </w:tr>
      <w:tr>
        <w:trPr>
          <w:trHeight w:val="216"/>
        </w:trPr>
        <w:tc>
          <w:tcPr>
            <w:tcW w:w="10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4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to this Confirmation. The exercise, valuation and settlement of the Transaction will be effected</w:t>
            </w:r>
          </w:p>
        </w:tc>
      </w:tr>
      <w:tr>
        <w:trPr>
          <w:trHeight w:val="234"/>
        </w:trPr>
        <w:tc>
          <w:tcPr>
            <w:tcW w:w="10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48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9"/>
              </w:rPr>
              <w:t>separately for each Component as if each Component were a separate Transaction under the Agreement.</w:t>
            </w:r>
          </w:p>
        </w:tc>
      </w:tr>
      <w:tr>
        <w:trPr>
          <w:trHeight w:val="432"/>
        </w:trPr>
        <w:tc>
          <w:tcPr>
            <w:tcW w:w="2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Option Style:</w:t>
            </w:r>
          </w:p>
        </w:tc>
        <w:tc>
          <w:tcPr>
            <w:tcW w:w="84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“European”, as described under “Procedures for Exercise” below.</w:t>
            </w:r>
          </w:p>
        </w:tc>
      </w:tr>
      <w:tr>
        <w:trPr>
          <w:trHeight w:val="432"/>
        </w:trPr>
        <w:tc>
          <w:tcPr>
            <w:tcW w:w="2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Option Type:</w:t>
            </w:r>
          </w:p>
        </w:tc>
        <w:tc>
          <w:tcPr>
            <w:tcW w:w="84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Call</w:t>
            </w:r>
          </w:p>
        </w:tc>
      </w:tr>
      <w:tr>
        <w:trPr>
          <w:trHeight w:val="432"/>
        </w:trPr>
        <w:tc>
          <w:tcPr>
            <w:tcW w:w="2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Seller:</w:t>
            </w:r>
          </w:p>
        </w:tc>
        <w:tc>
          <w:tcPr>
            <w:tcW w:w="84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Dealer</w:t>
            </w:r>
          </w:p>
        </w:tc>
      </w:tr>
      <w:tr>
        <w:trPr>
          <w:trHeight w:val="432"/>
        </w:trPr>
        <w:tc>
          <w:tcPr>
            <w:tcW w:w="2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Buyer:</w:t>
            </w:r>
          </w:p>
        </w:tc>
        <w:tc>
          <w:tcPr>
            <w:tcW w:w="84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Counterparty</w:t>
            </w:r>
          </w:p>
        </w:tc>
      </w:tr>
      <w:tr>
        <w:trPr>
          <w:trHeight w:val="432"/>
        </w:trPr>
        <w:tc>
          <w:tcPr>
            <w:tcW w:w="2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Shares:</w:t>
            </w:r>
          </w:p>
        </w:tc>
        <w:tc>
          <w:tcPr>
            <w:tcW w:w="84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The ordinary shares of Counterparty, no par value (Ticker Symbol: “IREN”).</w:t>
            </w:r>
          </w:p>
        </w:tc>
      </w:tr>
      <w:tr>
        <w:trPr>
          <w:trHeight w:val="582"/>
        </w:trPr>
        <w:tc>
          <w:tcPr>
            <w:tcW w:w="2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Number of Options:</w:t>
            </w:r>
          </w:p>
        </w:tc>
        <w:tc>
          <w:tcPr>
            <w:tcW w:w="84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For each Component, as provided in Annex A to this Confirmation.</w:t>
            </w:r>
            <w:r>
              <w:rPr>
                <w:rFonts w:ascii="Times New Roman" w:cs="Times New Roman" w:eastAsia="Times New Roman" w:hAnsi="Times New Roman"/>
                <w:sz w:val="29"/>
                <w:szCs w:val="29"/>
                <w:color w:val="auto"/>
                <w:vertAlign w:val="superscript"/>
              </w:rPr>
              <w:t>6</w:t>
            </w:r>
          </w:p>
        </w:tc>
      </w:tr>
      <w:tr>
        <w:trPr>
          <w:trHeight w:val="282"/>
        </w:trPr>
        <w:tc>
          <w:tcPr>
            <w:tcW w:w="2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Option Entitlement:</w:t>
            </w:r>
          </w:p>
        </w:tc>
        <w:tc>
          <w:tcPr>
            <w:tcW w:w="84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One Share per Option</w:t>
            </w:r>
          </w:p>
        </w:tc>
      </w:tr>
      <w:tr>
        <w:trPr>
          <w:trHeight w:val="432"/>
        </w:trPr>
        <w:tc>
          <w:tcPr>
            <w:tcW w:w="2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Strike Price:</w:t>
            </w:r>
          </w:p>
        </w:tc>
        <w:tc>
          <w:tcPr>
            <w:tcW w:w="84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USD [_____]</w:t>
            </w:r>
          </w:p>
        </w:tc>
      </w:tr>
      <w:tr>
        <w:trPr>
          <w:trHeight w:val="414"/>
        </w:trPr>
        <w:tc>
          <w:tcPr>
            <w:tcW w:w="2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Cap Price:</w:t>
            </w:r>
          </w:p>
        </w:tc>
        <w:tc>
          <w:tcPr>
            <w:tcW w:w="84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 xml:space="preserve">USD [_____];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Cap Price be reduced to an amount less than the Strike</w:t>
            </w:r>
          </w:p>
        </w:tc>
      </w:tr>
      <w:tr>
        <w:trPr>
          <w:trHeight w:val="234"/>
        </w:trPr>
        <w:tc>
          <w:tcPr>
            <w:tcW w:w="10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4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Price in connection with any adjustment by the Calculation Agent under this Confirmation.</w:t>
            </w:r>
          </w:p>
        </w:tc>
      </w:tr>
      <w:tr>
        <w:trPr>
          <w:trHeight w:val="414"/>
        </w:trPr>
        <w:tc>
          <w:tcPr>
            <w:tcW w:w="2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Number of Shares:</w:t>
            </w:r>
          </w:p>
        </w:tc>
        <w:tc>
          <w:tcPr>
            <w:tcW w:w="848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9"/>
              </w:rPr>
              <w:t>As of any date, a number of Shares equal to the product of (i) the Number of Options and (ii) the Option</w:t>
            </w:r>
          </w:p>
        </w:tc>
      </w:tr>
      <w:tr>
        <w:trPr>
          <w:trHeight w:val="234"/>
        </w:trPr>
        <w:tc>
          <w:tcPr>
            <w:tcW w:w="10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4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Entitlement.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42303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80" w:lineRule="exact"/>
        <w:rPr>
          <w:sz w:val="20"/>
          <w:szCs w:val="20"/>
          <w:color w:val="auto"/>
        </w:rPr>
      </w:pPr>
    </w:p>
    <w:p>
      <w:pPr>
        <w:jc w:val="both"/>
        <w:ind w:right="20" w:firstLine="8"/>
        <w:spacing w:after="0" w:line="219" w:lineRule="auto"/>
        <w:tabs>
          <w:tab w:leader="none" w:pos="120" w:val="left"/>
        </w:tabs>
        <w:numPr>
          <w:ilvl w:val="0"/>
          <w:numId w:val="15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For the base capped call, the total should be equal to (i) the number of Convertible Notes in principal amount of $1,000 initially issued on the closing date for the Convertible Notes (excluding any Convertible Notes sold pursuant to the option to purchase additional notes)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(ii) the initial conversion rate. For the additional capped call, the total should be equal to (i) the number of additional Convertible Notes in principal amount of $1,000 </w:t>
      </w:r>
      <w:r>
        <w:rPr>
          <w:rFonts w:ascii="Times New Roman" w:cs="Times New Roman" w:eastAsia="Times New Roman" w:hAnsi="Times New Roman"/>
          <w:sz w:val="18"/>
          <w:szCs w:val="18"/>
          <w:i w:val="1"/>
          <w:iCs w:val="1"/>
          <w:color w:val="auto"/>
        </w:rPr>
        <w:t>multiplied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by </w:t>
      </w:r>
      <w:r>
        <w:rPr>
          <w:rFonts w:ascii="Times New Roman" w:cs="Times New Roman" w:eastAsia="Times New Roman" w:hAnsi="Times New Roman"/>
          <w:sz w:val="18"/>
          <w:szCs w:val="18"/>
          <w:color w:val="auto"/>
        </w:rPr>
        <w:t>(ii) the initial conversion rate.</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16"/>
        </w:trPr>
        <w:tc>
          <w:tcPr>
            <w:tcW w:w="2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Premium:</w:t>
            </w:r>
          </w:p>
        </w:tc>
        <w:tc>
          <w:tcPr>
            <w:tcW w:w="83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USD [_____] (Premium per Option approximately USD [_____]); Dealer and Counterparty hereby</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3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agree that notwithstanding anything to the contrary herein or in the Agreement, following the payment</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3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of the Premium, in the event that (a) an Early Termination Date (whether as a result of an Event of</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32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9"/>
              </w:rPr>
              <w:t>Default or a Termination Event) (other than an Event of Default arising under Section 5(a)(ii) or 5(a)(iv)</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3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of the Agreement that is within Counterparty’s control) occurs or is designated with respect to any</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3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Transaction and, as a result, Counterparty owes to Dealer the amount calculated under Section 6(d) and</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3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Section 6(e) or otherwise under the Agreement (calculated as if the Transactions terminated on such</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3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Early Termination Date were the sole Transactions under the Agreement) or (b) Counterparty owes to</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3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Dealer, pursuant to Sections 12.2, 12.3, 12.6, 12.7, 12.8 or 12.9 of the Equity Definitions or otherwise</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3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under the Equity Definitions, an amount calculated under Section 12.8 of the Equity Definitions, such</w:t>
            </w:r>
          </w:p>
        </w:tc>
        <w:tc>
          <w:tcPr>
            <w:tcW w:w="0" w:type="dxa"/>
            <w:vAlign w:val="bottom"/>
          </w:tcPr>
          <w:p>
            <w:pPr>
              <w:spacing w:after="0"/>
              <w:rPr>
                <w:sz w:val="1"/>
                <w:szCs w:val="1"/>
                <w:color w:val="auto"/>
              </w:rPr>
            </w:pPr>
          </w:p>
        </w:tc>
      </w:tr>
      <w:tr>
        <w:trPr>
          <w:trHeight w:val="234"/>
        </w:trPr>
        <w:tc>
          <w:tcPr>
            <w:tcW w:w="17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3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amount shall be deemed to be zero.</w:t>
            </w:r>
          </w:p>
        </w:tc>
        <w:tc>
          <w:tcPr>
            <w:tcW w:w="0" w:type="dxa"/>
            <w:vAlign w:val="bottom"/>
          </w:tcPr>
          <w:p>
            <w:pPr>
              <w:spacing w:after="0"/>
              <w:rPr>
                <w:sz w:val="1"/>
                <w:szCs w:val="1"/>
                <w:color w:val="auto"/>
              </w:rPr>
            </w:pPr>
          </w:p>
        </w:tc>
      </w:tr>
      <w:tr>
        <w:trPr>
          <w:trHeight w:val="432"/>
        </w:trPr>
        <w:tc>
          <w:tcPr>
            <w:tcW w:w="2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Premium Payment Date:</w:t>
            </w:r>
          </w:p>
        </w:tc>
        <w:tc>
          <w:tcPr>
            <w:tcW w:w="83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The Effective Date</w:t>
            </w:r>
          </w:p>
        </w:tc>
        <w:tc>
          <w:tcPr>
            <w:tcW w:w="0" w:type="dxa"/>
            <w:vAlign w:val="bottom"/>
          </w:tcPr>
          <w:p>
            <w:pPr>
              <w:spacing w:after="0"/>
              <w:rPr>
                <w:sz w:val="1"/>
                <w:szCs w:val="1"/>
                <w:color w:val="auto"/>
              </w:rPr>
            </w:pPr>
          </w:p>
        </w:tc>
      </w:tr>
      <w:tr>
        <w:trPr>
          <w:trHeight w:val="432"/>
        </w:trPr>
        <w:tc>
          <w:tcPr>
            <w:tcW w:w="2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Exchange:</w:t>
            </w:r>
          </w:p>
        </w:tc>
        <w:tc>
          <w:tcPr>
            <w:tcW w:w="83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r>
        <w:trPr>
          <w:trHeight w:val="414"/>
        </w:trPr>
        <w:tc>
          <w:tcPr>
            <w:tcW w:w="2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Related Exchange:</w:t>
            </w:r>
          </w:p>
        </w:tc>
        <w:tc>
          <w:tcPr>
            <w:tcW w:w="83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 xml:space="preserve">All Exchanges;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Section 1.26 of the Equity Definitions shall be amended to add the words</w:t>
            </w:r>
          </w:p>
        </w:tc>
        <w:tc>
          <w:tcPr>
            <w:tcW w:w="0" w:type="dxa"/>
            <w:vAlign w:val="bottom"/>
          </w:tcPr>
          <w:p>
            <w:pPr>
              <w:spacing w:after="0"/>
              <w:rPr>
                <w:sz w:val="1"/>
                <w:szCs w:val="1"/>
                <w:color w:val="auto"/>
              </w:rPr>
            </w:pPr>
          </w:p>
        </w:tc>
      </w:tr>
      <w:tr>
        <w:trPr>
          <w:trHeight w:val="234"/>
        </w:trPr>
        <w:tc>
          <w:tcPr>
            <w:tcW w:w="2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Procedures for Exercise</w:t>
            </w:r>
            <w:r>
              <w:rPr>
                <w:rFonts w:ascii="Times New Roman" w:cs="Times New Roman" w:eastAsia="Times New Roman" w:hAnsi="Times New Roman"/>
                <w:sz w:val="18"/>
                <w:szCs w:val="18"/>
                <w:color w:val="auto"/>
              </w:rPr>
              <w:t>:</w:t>
            </w:r>
          </w:p>
        </w:tc>
        <w:tc>
          <w:tcPr>
            <w:tcW w:w="83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“United States” before the word “exchange” in the tenth line of such Section.</w:t>
            </w:r>
          </w:p>
        </w:tc>
        <w:tc>
          <w:tcPr>
            <w:tcW w:w="0" w:type="dxa"/>
            <w:vAlign w:val="bottom"/>
          </w:tcPr>
          <w:p>
            <w:pPr>
              <w:spacing w:after="0"/>
              <w:rPr>
                <w:sz w:val="1"/>
                <w:szCs w:val="1"/>
                <w:color w:val="auto"/>
              </w:rPr>
            </w:pPr>
          </w:p>
        </w:tc>
      </w:tr>
      <w:tr>
        <w:trPr>
          <w:trHeight w:val="176"/>
        </w:trPr>
        <w:tc>
          <w:tcPr>
            <w:tcW w:w="2920" w:type="dxa"/>
            <w:vAlign w:val="bottom"/>
            <w:gridSpan w:val="2"/>
            <w:vMerge w:val="continue"/>
          </w:tcPr>
          <w:p>
            <w:pPr>
              <w:spacing w:after="0"/>
              <w:rPr>
                <w:sz w:val="15"/>
                <w:szCs w:val="15"/>
                <w:color w:val="auto"/>
              </w:rPr>
            </w:pPr>
          </w:p>
        </w:tc>
        <w:tc>
          <w:tcPr>
            <w:tcW w:w="8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78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Expiration Time:</w:t>
            </w:r>
          </w:p>
        </w:tc>
        <w:tc>
          <w:tcPr>
            <w:tcW w:w="1140" w:type="dxa"/>
            <w:vAlign w:val="bottom"/>
          </w:tcPr>
          <w:p>
            <w:pPr>
              <w:spacing w:after="0"/>
              <w:rPr>
                <w:sz w:val="20"/>
                <w:szCs w:val="20"/>
                <w:color w:val="auto"/>
              </w:rPr>
            </w:pPr>
          </w:p>
        </w:tc>
        <w:tc>
          <w:tcPr>
            <w:tcW w:w="83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The Valuation Time</w:t>
            </w:r>
          </w:p>
        </w:tc>
        <w:tc>
          <w:tcPr>
            <w:tcW w:w="0" w:type="dxa"/>
            <w:vAlign w:val="bottom"/>
          </w:tcPr>
          <w:p>
            <w:pPr>
              <w:spacing w:after="0"/>
              <w:rPr>
                <w:sz w:val="1"/>
                <w:szCs w:val="1"/>
                <w:color w:val="auto"/>
              </w:rPr>
            </w:pPr>
          </w:p>
        </w:tc>
      </w:tr>
      <w:tr>
        <w:trPr>
          <w:trHeight w:val="414"/>
        </w:trPr>
        <w:tc>
          <w:tcPr>
            <w:tcW w:w="2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Expiration Date:</w:t>
            </w:r>
          </w:p>
        </w:tc>
        <w:tc>
          <w:tcPr>
            <w:tcW w:w="83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For any Component, as provided in Annex A to this Confirmation (or, if such date is not a Scheduled</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3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Valid Day, the next following Scheduled Valid Day that is not already an Expiration Date for another</w:t>
            </w:r>
          </w:p>
        </w:tc>
        <w:tc>
          <w:tcPr>
            <w:tcW w:w="0" w:type="dxa"/>
            <w:vAlign w:val="bottom"/>
          </w:tcPr>
          <w:p>
            <w:pPr>
              <w:spacing w:after="0"/>
              <w:rPr>
                <w:sz w:val="1"/>
                <w:szCs w:val="1"/>
                <w:color w:val="auto"/>
              </w:rPr>
            </w:pPr>
          </w:p>
        </w:tc>
      </w:tr>
      <w:tr>
        <w:trPr>
          <w:trHeight w:val="218"/>
        </w:trPr>
        <w:tc>
          <w:tcPr>
            <w:tcW w:w="1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3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 xml:space="preserve">Component);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that date is a Disrupted Day, the Expiration Date for such Component</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3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shall be the first succeeding Scheduled Valid Day that is not a Disrupted Day and is not or is not</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3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deemed to be an Expiration Date in respect of any other Component of the Transaction hereunder; and</w:t>
            </w:r>
          </w:p>
        </w:tc>
        <w:tc>
          <w:tcPr>
            <w:tcW w:w="0" w:type="dxa"/>
            <w:vAlign w:val="bottom"/>
          </w:tcPr>
          <w:p>
            <w:pPr>
              <w:spacing w:after="0"/>
              <w:rPr>
                <w:sz w:val="1"/>
                <w:szCs w:val="1"/>
                <w:color w:val="auto"/>
              </w:rPr>
            </w:pPr>
          </w:p>
        </w:tc>
      </w:tr>
      <w:tr>
        <w:trPr>
          <w:trHeight w:val="218"/>
        </w:trPr>
        <w:tc>
          <w:tcPr>
            <w:tcW w:w="1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320" w:type="dxa"/>
            <w:vAlign w:val="bottom"/>
          </w:tcPr>
          <w:p>
            <w:pPr>
              <w:ind w:left="800"/>
              <w:spacing w:after="0"/>
              <w:rPr>
                <w:sz w:val="20"/>
                <w:szCs w:val="20"/>
                <w:color w:val="auto"/>
              </w:rPr>
            </w:pPr>
            <w:r>
              <w:rPr>
                <w:rFonts w:ascii="Times New Roman" w:cs="Times New Roman" w:eastAsia="Times New Roman" w:hAnsi="Times New Roman"/>
                <w:sz w:val="18"/>
                <w:szCs w:val="18"/>
                <w:i w:val="1"/>
                <w:iCs w:val="1"/>
                <w:color w:val="auto"/>
              </w:rPr>
              <w:t xml:space="preserve">provided further </w:t>
            </w:r>
            <w:r>
              <w:rPr>
                <w:rFonts w:ascii="Times New Roman" w:cs="Times New Roman" w:eastAsia="Times New Roman" w:hAnsi="Times New Roman"/>
                <w:sz w:val="18"/>
                <w:szCs w:val="18"/>
                <w:color w:val="auto"/>
              </w:rPr>
              <w:t>that in no event shall the Expiration Date be postponed to a date later than the Final</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3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Termination Date and, notwithstanding anything to the contrary in this Confirmation or the Equity</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3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Definitions, the Relevant Price for such Expiration Date that occurs on the Final Termination Date and</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3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is a Disrupted Day shall be the prevailing market value per Share as determined by the Calculation</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3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Agent in a good faith and commercially reasonable manner. Notwithstanding the foregoing and</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3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anything to the contrary in the Equity Definitions, if a Market Disruption Event occurs on any</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3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Expiration Date, the Calculation Agent may determine in a good faith and commercially reasonable</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3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manner that such Expiration Date is a Disrupted Day only in part, in which case the Calculation Agent</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3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shall make commercially reasonable adjustments to the Number of Options for the relevant Component</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3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for which such day shall be the Expiration Date, shall designate the Scheduled Valid Day determined in</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3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the manner described in the immediately preceding sentence as the Expiration Date for the remaining</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3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Options for such Component and shall determine in good faith and a commercially reasonable manner</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3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the Relevant Price based on transactions in the Shares on such Disrupted Day taking into account the</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3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nature and duration of such Market Disruption Event on such day. If a closure of the Exchange prior to</w:t>
            </w:r>
          </w:p>
        </w:tc>
        <w:tc>
          <w:tcPr>
            <w:tcW w:w="0" w:type="dxa"/>
            <w:vAlign w:val="bottom"/>
          </w:tcPr>
          <w:p>
            <w:pPr>
              <w:spacing w:after="0"/>
              <w:rPr>
                <w:sz w:val="1"/>
                <w:szCs w:val="1"/>
                <w:color w:val="auto"/>
              </w:rPr>
            </w:pPr>
          </w:p>
        </w:tc>
      </w:tr>
      <w:tr>
        <w:trPr>
          <w:trHeight w:val="212"/>
        </w:trPr>
        <w:tc>
          <w:tcPr>
            <w:tcW w:w="1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3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its normal close of trading on any Scheduled Valid Day is scheduled following the date hereof, then</w:t>
            </w:r>
          </w:p>
        </w:tc>
        <w:tc>
          <w:tcPr>
            <w:tcW w:w="0" w:type="dxa"/>
            <w:vAlign w:val="bottom"/>
          </w:tcPr>
          <w:p>
            <w:pPr>
              <w:spacing w:after="0"/>
              <w:rPr>
                <w:sz w:val="1"/>
                <w:szCs w:val="1"/>
                <w:color w:val="auto"/>
              </w:rPr>
            </w:pPr>
          </w:p>
        </w:tc>
      </w:tr>
      <w:tr>
        <w:trPr>
          <w:trHeight w:val="220"/>
        </w:trPr>
        <w:tc>
          <w:tcPr>
            <w:tcW w:w="1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3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such Scheduled Valid Day shall be deemed to be a Disrupted Day in full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Section 6.6 of the Equity</w:t>
            </w:r>
          </w:p>
        </w:tc>
        <w:tc>
          <w:tcPr>
            <w:tcW w:w="0" w:type="dxa"/>
            <w:vAlign w:val="bottom"/>
          </w:tcPr>
          <w:p>
            <w:pPr>
              <w:spacing w:after="0"/>
              <w:rPr>
                <w:sz w:val="1"/>
                <w:szCs w:val="1"/>
                <w:color w:val="auto"/>
              </w:rPr>
            </w:pPr>
          </w:p>
        </w:tc>
      </w:tr>
      <w:tr>
        <w:trPr>
          <w:trHeight w:val="234"/>
        </w:trPr>
        <w:tc>
          <w:tcPr>
            <w:tcW w:w="17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3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Definitions shall not apply to any Valuation Date occurring on an Expiration Date.</w:t>
            </w:r>
          </w:p>
        </w:tc>
        <w:tc>
          <w:tcPr>
            <w:tcW w:w="0" w:type="dxa"/>
            <w:vAlign w:val="bottom"/>
          </w:tcPr>
          <w:p>
            <w:pPr>
              <w:spacing w:after="0"/>
              <w:rPr>
                <w:sz w:val="1"/>
                <w:szCs w:val="1"/>
                <w:color w:val="auto"/>
              </w:rPr>
            </w:pPr>
          </w:p>
        </w:tc>
      </w:tr>
      <w:tr>
        <w:trPr>
          <w:trHeight w:val="557"/>
        </w:trPr>
        <w:tc>
          <w:tcPr>
            <w:tcW w:w="1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320" w:type="dxa"/>
            <w:vAlign w:val="bottom"/>
          </w:tcPr>
          <w:p>
            <w:pPr>
              <w:ind w:left="2660"/>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44"/>
        </w:trPr>
        <w:tc>
          <w:tcPr>
            <w:tcW w:w="17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22" w:name="page123"/>
    <w:bookmarkEnd w:id="1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Final Termination Date:</w:t>
            </w:r>
          </w:p>
        </w:tc>
        <w:tc>
          <w:tcPr>
            <w:tcW w:w="8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February 27, 2034</w:t>
            </w:r>
          </w:p>
        </w:tc>
        <w:tc>
          <w:tcPr>
            <w:tcW w:w="0" w:type="dxa"/>
            <w:vAlign w:val="bottom"/>
          </w:tcPr>
          <w:p>
            <w:pPr>
              <w:spacing w:after="0"/>
              <w:rPr>
                <w:sz w:val="1"/>
                <w:szCs w:val="1"/>
                <w:color w:val="auto"/>
              </w:rPr>
            </w:pPr>
          </w:p>
        </w:tc>
      </w:tr>
      <w:tr>
        <w:trPr>
          <w:trHeight w:val="414"/>
        </w:trPr>
        <w:tc>
          <w:tcPr>
            <w:tcW w:w="30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Automatic Exercise:</w:t>
            </w:r>
          </w:p>
        </w:tc>
        <w:tc>
          <w:tcPr>
            <w:tcW w:w="8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Applicable, which means that the Number of Options for the relevant Component will be deemed to be</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automatically exercised at the Expiration Time on the Expiration Date for such Component if at such</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time such Component is In-the-Money, unless Buyer notifies Seller (in writing) prior to the Expiration</w:t>
            </w:r>
          </w:p>
        </w:tc>
        <w:tc>
          <w:tcPr>
            <w:tcW w:w="0" w:type="dxa"/>
            <w:vAlign w:val="bottom"/>
          </w:tcPr>
          <w:p>
            <w:pPr>
              <w:spacing w:after="0"/>
              <w:rPr>
                <w:sz w:val="1"/>
                <w:szCs w:val="1"/>
                <w:color w:val="auto"/>
              </w:rPr>
            </w:pPr>
          </w:p>
        </w:tc>
      </w:tr>
      <w:tr>
        <w:trPr>
          <w:trHeight w:val="212"/>
        </w:trPr>
        <w:tc>
          <w:tcPr>
            <w:tcW w:w="7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Time on such Expiration Date that it does not wish Automatic Exercise to occur with respect to such</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Component, in which case Automatic Exercise will not apply with respect to such Component. “</w:t>
            </w:r>
            <w:r>
              <w:rPr>
                <w:rFonts w:ascii="Times New Roman" w:cs="Times New Roman" w:eastAsia="Times New Roman" w:hAnsi="Times New Roman"/>
                <w:sz w:val="18"/>
                <w:szCs w:val="18"/>
                <w:b w:val="1"/>
                <w:bCs w:val="1"/>
                <w:color w:val="auto"/>
              </w:rPr>
              <w:t>In-the-</w:t>
            </w:r>
          </w:p>
        </w:tc>
        <w:tc>
          <w:tcPr>
            <w:tcW w:w="0" w:type="dxa"/>
            <w:vAlign w:val="bottom"/>
          </w:tcPr>
          <w:p>
            <w:pPr>
              <w:spacing w:after="0"/>
              <w:rPr>
                <w:sz w:val="1"/>
                <w:szCs w:val="1"/>
                <w:color w:val="auto"/>
              </w:rPr>
            </w:pPr>
          </w:p>
        </w:tc>
      </w:tr>
      <w:tr>
        <w:trPr>
          <w:trHeight w:val="220"/>
        </w:trPr>
        <w:tc>
          <w:tcPr>
            <w:tcW w:w="7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81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 means, in respect of any Component, that the Relevant Price on the Expiration Date for such</w:t>
            </w:r>
          </w:p>
        </w:tc>
        <w:tc>
          <w:tcPr>
            <w:tcW w:w="0" w:type="dxa"/>
            <w:vAlign w:val="bottom"/>
          </w:tcPr>
          <w:p>
            <w:pPr>
              <w:spacing w:after="0"/>
              <w:rPr>
                <w:sz w:val="1"/>
                <w:szCs w:val="1"/>
                <w:color w:val="auto"/>
              </w:rPr>
            </w:pPr>
          </w:p>
        </w:tc>
      </w:tr>
      <w:tr>
        <w:trPr>
          <w:trHeight w:val="234"/>
        </w:trPr>
        <w:tc>
          <w:tcPr>
            <w:tcW w:w="3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Valuation</w:t>
            </w:r>
            <w:r>
              <w:rPr>
                <w:rFonts w:ascii="Times New Roman" w:cs="Times New Roman" w:eastAsia="Times New Roman" w:hAnsi="Times New Roman"/>
                <w:sz w:val="18"/>
                <w:szCs w:val="18"/>
                <w:color w:val="auto"/>
              </w:rPr>
              <w:t>:</w:t>
            </w:r>
          </w:p>
        </w:tc>
        <w:tc>
          <w:tcPr>
            <w:tcW w:w="8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Component is greater than the Strike Price for such Component.</w:t>
            </w:r>
          </w:p>
        </w:tc>
        <w:tc>
          <w:tcPr>
            <w:tcW w:w="0" w:type="dxa"/>
            <w:vAlign w:val="bottom"/>
          </w:tcPr>
          <w:p>
            <w:pPr>
              <w:spacing w:after="0"/>
              <w:rPr>
                <w:sz w:val="1"/>
                <w:szCs w:val="1"/>
                <w:color w:val="auto"/>
              </w:rPr>
            </w:pPr>
          </w:p>
        </w:tc>
      </w:tr>
      <w:tr>
        <w:trPr>
          <w:trHeight w:val="175"/>
        </w:trPr>
        <w:tc>
          <w:tcPr>
            <w:tcW w:w="3060" w:type="dxa"/>
            <w:vAlign w:val="bottom"/>
            <w:gridSpan w:val="2"/>
            <w:vMerge w:val="continue"/>
          </w:tcPr>
          <w:p>
            <w:pPr>
              <w:spacing w:after="0"/>
              <w:rPr>
                <w:sz w:val="15"/>
                <w:szCs w:val="15"/>
                <w:color w:val="auto"/>
              </w:rPr>
            </w:pPr>
          </w:p>
        </w:tc>
        <w:tc>
          <w:tcPr>
            <w:tcW w:w="818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 xml:space="preserve">At the close of trading of the regular trading session on the Exchange;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principal</w:t>
            </w:r>
          </w:p>
        </w:tc>
        <w:tc>
          <w:tcPr>
            <w:tcW w:w="0" w:type="dxa"/>
            <w:vAlign w:val="bottom"/>
          </w:tcPr>
          <w:p>
            <w:pPr>
              <w:spacing w:after="0"/>
              <w:rPr>
                <w:sz w:val="1"/>
                <w:szCs w:val="1"/>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1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0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Valuation Time:</w:t>
            </w:r>
          </w:p>
        </w:tc>
        <w:tc>
          <w:tcPr>
            <w:tcW w:w="8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trading session is extended, the Calculation Agent shall determine the Valuation Time in good faith and</w:t>
            </w:r>
          </w:p>
        </w:tc>
        <w:tc>
          <w:tcPr>
            <w:tcW w:w="0" w:type="dxa"/>
            <w:vAlign w:val="bottom"/>
          </w:tcPr>
          <w:p>
            <w:pPr>
              <w:spacing w:after="0"/>
              <w:rPr>
                <w:sz w:val="1"/>
                <w:szCs w:val="1"/>
                <w:color w:val="auto"/>
              </w:rPr>
            </w:pPr>
          </w:p>
        </w:tc>
      </w:tr>
      <w:tr>
        <w:trPr>
          <w:trHeight w:val="234"/>
        </w:trPr>
        <w:tc>
          <w:tcPr>
            <w:tcW w:w="7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8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 a commercially reasonable manner.</w:t>
            </w:r>
          </w:p>
        </w:tc>
        <w:tc>
          <w:tcPr>
            <w:tcW w:w="0" w:type="dxa"/>
            <w:vAlign w:val="bottom"/>
          </w:tcPr>
          <w:p>
            <w:pPr>
              <w:spacing w:after="0"/>
              <w:rPr>
                <w:sz w:val="1"/>
                <w:szCs w:val="1"/>
                <w:color w:val="auto"/>
              </w:rPr>
            </w:pPr>
          </w:p>
        </w:tc>
      </w:tr>
      <w:tr>
        <w:trPr>
          <w:trHeight w:val="432"/>
        </w:trPr>
        <w:tc>
          <w:tcPr>
            <w:tcW w:w="30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Valuation Date:</w:t>
            </w:r>
          </w:p>
        </w:tc>
        <w:tc>
          <w:tcPr>
            <w:tcW w:w="8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For any Component, the Expiration Date therefor.</w:t>
            </w:r>
          </w:p>
        </w:tc>
        <w:tc>
          <w:tcPr>
            <w:tcW w:w="0" w:type="dxa"/>
            <w:vAlign w:val="bottom"/>
          </w:tcPr>
          <w:p>
            <w:pPr>
              <w:spacing w:after="0"/>
              <w:rPr>
                <w:sz w:val="1"/>
                <w:szCs w:val="1"/>
                <w:color w:val="auto"/>
              </w:rPr>
            </w:pPr>
          </w:p>
        </w:tc>
      </w:tr>
      <w:tr>
        <w:trPr>
          <w:trHeight w:val="414"/>
        </w:trPr>
        <w:tc>
          <w:tcPr>
            <w:tcW w:w="30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Market Disruption Event:</w:t>
            </w:r>
          </w:p>
        </w:tc>
        <w:tc>
          <w:tcPr>
            <w:tcW w:w="8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6.3(a) of the Equity Definitions is hereby amended by deleting the words “during the one hour</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period that ends at the relevant Valuation Time, Latest Exercise Time, Knock-in Valuation Time or</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Knock-out Valuation Time, as the case may be,” in clause (ii) thereof.</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6.3(d) of the Equity Definitions is hereby amended by deleting the remainder of the provision</w:t>
            </w:r>
          </w:p>
        </w:tc>
        <w:tc>
          <w:tcPr>
            <w:tcW w:w="0" w:type="dxa"/>
            <w:vAlign w:val="bottom"/>
          </w:tcPr>
          <w:p>
            <w:pPr>
              <w:spacing w:after="0"/>
              <w:rPr>
                <w:sz w:val="1"/>
                <w:szCs w:val="1"/>
                <w:color w:val="auto"/>
              </w:rPr>
            </w:pPr>
          </w:p>
        </w:tc>
      </w:tr>
      <w:tr>
        <w:trPr>
          <w:trHeight w:val="234"/>
        </w:trPr>
        <w:tc>
          <w:tcPr>
            <w:tcW w:w="3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Settlement Terms:</w:t>
            </w:r>
          </w:p>
        </w:tc>
        <w:tc>
          <w:tcPr>
            <w:tcW w:w="8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following the term “Scheduled Closing Time” in the fourth line thereof.</w:t>
            </w:r>
          </w:p>
        </w:tc>
        <w:tc>
          <w:tcPr>
            <w:tcW w:w="0" w:type="dxa"/>
            <w:vAlign w:val="bottom"/>
          </w:tcPr>
          <w:p>
            <w:pPr>
              <w:spacing w:after="0"/>
              <w:rPr>
                <w:sz w:val="1"/>
                <w:szCs w:val="1"/>
                <w:color w:val="auto"/>
              </w:rPr>
            </w:pPr>
          </w:p>
        </w:tc>
      </w:tr>
      <w:tr>
        <w:trPr>
          <w:trHeight w:val="198"/>
        </w:trPr>
        <w:tc>
          <w:tcPr>
            <w:tcW w:w="3060" w:type="dxa"/>
            <w:vAlign w:val="bottom"/>
            <w:gridSpan w:val="2"/>
            <w:vMerge w:val="continue"/>
          </w:tcPr>
          <w:p>
            <w:pPr>
              <w:spacing w:after="0"/>
              <w:rPr>
                <w:sz w:val="17"/>
                <w:szCs w:val="17"/>
                <w:color w:val="auto"/>
              </w:rPr>
            </w:pPr>
          </w:p>
        </w:tc>
        <w:tc>
          <w:tcPr>
            <w:tcW w:w="818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 xml:space="preserve">Applicable solely on a Physical Settlement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Section 7.1 of the Equity Definitions</w:t>
            </w:r>
          </w:p>
        </w:tc>
        <w:tc>
          <w:tcPr>
            <w:tcW w:w="0" w:type="dxa"/>
            <w:vAlign w:val="bottom"/>
          </w:tcPr>
          <w:p>
            <w:pPr>
              <w:spacing w:after="0"/>
              <w:rPr>
                <w:sz w:val="1"/>
                <w:szCs w:val="1"/>
                <w:color w:val="auto"/>
              </w:rPr>
            </w:pPr>
          </w:p>
        </w:tc>
      </w:tr>
      <w:tr>
        <w:trPr>
          <w:trHeight w:val="216"/>
        </w:trPr>
        <w:tc>
          <w:tcPr>
            <w:tcW w:w="30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Settlement Method Election:</w:t>
            </w:r>
          </w:p>
        </w:tc>
        <w:tc>
          <w:tcPr>
            <w:tcW w:w="8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is hereby amended by replacing the term “Physical Settlement” with the term “Net Share Settlement,”</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 the same Settlement Method shall apply to all Components and (c) if Counterparty is electing a</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Settlement Method other than the Default Settlement Method, such Settlement Method Election will be</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effective only if Counterparty represents and warrants to Dealer in writing on the date of such</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Settlement Method Election that (i) Counterparty is not in possession of any material non-public</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information regarding Counterparty or the Shares and (ii) such election is being made in good faith and</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not as part of a plan or scheme to evade compliance with the federal securities laws.</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Without limiting the generality of the foregoing, Counterparty acknowledges its responsibilities under</w:t>
            </w:r>
          </w:p>
        </w:tc>
        <w:tc>
          <w:tcPr>
            <w:tcW w:w="0" w:type="dxa"/>
            <w:vAlign w:val="bottom"/>
          </w:tcPr>
          <w:p>
            <w:pPr>
              <w:spacing w:after="0"/>
              <w:rPr>
                <w:sz w:val="1"/>
                <w:szCs w:val="1"/>
                <w:color w:val="auto"/>
              </w:rPr>
            </w:pPr>
          </w:p>
        </w:tc>
      </w:tr>
      <w:tr>
        <w:trPr>
          <w:trHeight w:val="212"/>
        </w:trPr>
        <w:tc>
          <w:tcPr>
            <w:tcW w:w="7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applicable securities laws, and in particular Sections 9 and 10(b) of the Securities Exchange Act of</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and, if applicable, section 606 and Part 7.10 of the</w:t>
            </w:r>
          </w:p>
        </w:tc>
        <w:tc>
          <w:tcPr>
            <w:tcW w:w="0" w:type="dxa"/>
            <w:vAlign w:val="bottom"/>
          </w:tcPr>
          <w:p>
            <w:pPr>
              <w:spacing w:after="0"/>
              <w:rPr>
                <w:sz w:val="1"/>
                <w:szCs w:val="1"/>
                <w:color w:val="auto"/>
              </w:rPr>
            </w:pPr>
          </w:p>
        </w:tc>
      </w:tr>
      <w:tr>
        <w:trPr>
          <w:trHeight w:val="220"/>
        </w:trPr>
        <w:tc>
          <w:tcPr>
            <w:tcW w:w="7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8180" w:type="dxa"/>
            <w:vAlign w:val="bottom"/>
          </w:tcPr>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Corporations Act 2001 </w:t>
            </w:r>
            <w:r>
              <w:rPr>
                <w:rFonts w:ascii="Times New Roman" w:cs="Times New Roman" w:eastAsia="Times New Roman" w:hAnsi="Times New Roman"/>
                <w:sz w:val="18"/>
                <w:szCs w:val="18"/>
                <w:color w:val="auto"/>
              </w:rPr>
              <w:t>(Cth) (“</w:t>
            </w:r>
            <w:r>
              <w:rPr>
                <w:rFonts w:ascii="Times New Roman" w:cs="Times New Roman" w:eastAsia="Times New Roman" w:hAnsi="Times New Roman"/>
                <w:sz w:val="18"/>
                <w:szCs w:val="18"/>
                <w:b w:val="1"/>
                <w:bCs w:val="1"/>
                <w:color w:val="auto"/>
              </w:rPr>
              <w:t>Corporations Act</w:t>
            </w:r>
            <w:r>
              <w:rPr>
                <w:rFonts w:ascii="Times New Roman" w:cs="Times New Roman" w:eastAsia="Times New Roman" w:hAnsi="Times New Roman"/>
                <w:sz w:val="18"/>
                <w:szCs w:val="18"/>
                <w:color w:val="auto"/>
              </w:rPr>
              <w:t>”) as amended, and in each case the rules and</w:t>
            </w:r>
          </w:p>
        </w:tc>
        <w:tc>
          <w:tcPr>
            <w:tcW w:w="0" w:type="dxa"/>
            <w:vAlign w:val="bottom"/>
          </w:tcPr>
          <w:p>
            <w:pPr>
              <w:spacing w:after="0"/>
              <w:rPr>
                <w:sz w:val="1"/>
                <w:szCs w:val="1"/>
                <w:color w:val="auto"/>
              </w:rPr>
            </w:pPr>
          </w:p>
        </w:tc>
      </w:tr>
      <w:tr>
        <w:trPr>
          <w:trHeight w:val="234"/>
        </w:trPr>
        <w:tc>
          <w:tcPr>
            <w:tcW w:w="7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8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regulations promulgated thereunder in respect of such election.</w:t>
            </w:r>
          </w:p>
        </w:tc>
        <w:tc>
          <w:tcPr>
            <w:tcW w:w="0" w:type="dxa"/>
            <w:vAlign w:val="bottom"/>
          </w:tcPr>
          <w:p>
            <w:pPr>
              <w:spacing w:after="0"/>
              <w:rPr>
                <w:sz w:val="1"/>
                <w:szCs w:val="1"/>
                <w:color w:val="auto"/>
              </w:rPr>
            </w:pPr>
          </w:p>
        </w:tc>
      </w:tr>
      <w:tr>
        <w:trPr>
          <w:trHeight w:val="557"/>
        </w:trPr>
        <w:tc>
          <w:tcPr>
            <w:tcW w:w="7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8180" w:type="dxa"/>
            <w:vAlign w:val="bottom"/>
          </w:tcPr>
          <w:p>
            <w:pPr>
              <w:ind w:left="2520"/>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44"/>
        </w:trPr>
        <w:tc>
          <w:tcPr>
            <w:tcW w:w="740" w:type="dxa"/>
            <w:vAlign w:val="bottom"/>
            <w:tcBorders>
              <w:bottom w:val="single" w:sz="8" w:color="auto"/>
            </w:tcBorders>
          </w:tcPr>
          <w:p>
            <w:pPr>
              <w:spacing w:after="0"/>
              <w:rPr>
                <w:sz w:val="3"/>
                <w:szCs w:val="3"/>
                <w:color w:val="auto"/>
              </w:rPr>
            </w:pPr>
          </w:p>
        </w:tc>
        <w:tc>
          <w:tcPr>
            <w:tcW w:w="2320" w:type="dxa"/>
            <w:vAlign w:val="bottom"/>
            <w:tcBorders>
              <w:bottom w:val="single" w:sz="8" w:color="auto"/>
            </w:tcBorders>
          </w:tcPr>
          <w:p>
            <w:pPr>
              <w:spacing w:after="0"/>
              <w:rPr>
                <w:sz w:val="3"/>
                <w:szCs w:val="3"/>
                <w:color w:val="auto"/>
              </w:rPr>
            </w:pPr>
          </w:p>
        </w:tc>
        <w:tc>
          <w:tcPr>
            <w:tcW w:w="8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23" w:name="page124"/>
    <w:bookmarkEnd w:id="1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Electing Party:</w:t>
            </w:r>
          </w:p>
        </w:tc>
        <w:tc>
          <w:tcPr>
            <w:tcW w:w="7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Counterparty</w:t>
            </w:r>
          </w:p>
        </w:tc>
      </w:tr>
      <w:tr>
        <w:trPr>
          <w:trHeight w:val="414"/>
        </w:trPr>
        <w:tc>
          <w:tcPr>
            <w:tcW w:w="3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Settlement Method Election Date:</w:t>
            </w:r>
          </w:p>
        </w:tc>
        <w:tc>
          <w:tcPr>
            <w:tcW w:w="7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second Scheduled Valid Day prior to the scheduled Expiration Date for the Component with the</w:t>
            </w:r>
          </w:p>
        </w:tc>
      </w:tr>
      <w:tr>
        <w:trPr>
          <w:trHeight w:val="234"/>
        </w:trPr>
        <w:tc>
          <w:tcPr>
            <w:tcW w:w="3260" w:type="dxa"/>
            <w:vAlign w:val="bottom"/>
          </w:tcPr>
          <w:p>
            <w:pPr>
              <w:spacing w:after="0"/>
              <w:rPr>
                <w:sz w:val="20"/>
                <w:szCs w:val="20"/>
                <w:color w:val="auto"/>
              </w:rPr>
            </w:pPr>
          </w:p>
        </w:tc>
        <w:tc>
          <w:tcPr>
            <w:tcW w:w="7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earliest scheduled Expiration Date.</w:t>
            </w:r>
          </w:p>
        </w:tc>
      </w:tr>
      <w:tr>
        <w:trPr>
          <w:trHeight w:val="414"/>
        </w:trPr>
        <w:tc>
          <w:tcPr>
            <w:tcW w:w="3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Default Settlement Method:</w:t>
            </w:r>
          </w:p>
        </w:tc>
        <w:tc>
          <w:tcPr>
            <w:tcW w:w="7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On any date that is not a Physical Settlement Date, Cash Settlement. On any Physical Settlement Date,</w:t>
            </w:r>
          </w:p>
        </w:tc>
      </w:tr>
      <w:tr>
        <w:trPr>
          <w:trHeight w:val="234"/>
        </w:trPr>
        <w:tc>
          <w:tcPr>
            <w:tcW w:w="3260" w:type="dxa"/>
            <w:vAlign w:val="bottom"/>
          </w:tcPr>
          <w:p>
            <w:pPr>
              <w:spacing w:after="0"/>
              <w:rPr>
                <w:sz w:val="20"/>
                <w:szCs w:val="20"/>
                <w:color w:val="auto"/>
              </w:rPr>
            </w:pPr>
          </w:p>
        </w:tc>
        <w:tc>
          <w:tcPr>
            <w:tcW w:w="7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Share Settlement.</w:t>
            </w:r>
          </w:p>
        </w:tc>
      </w:tr>
      <w:tr>
        <w:trPr>
          <w:trHeight w:val="414"/>
        </w:trPr>
        <w:tc>
          <w:tcPr>
            <w:tcW w:w="3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Hypothetical Dealer:</w:t>
            </w:r>
          </w:p>
        </w:tc>
        <w:tc>
          <w:tcPr>
            <w:tcW w:w="7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 hypothetical financial institution subject to the same securities, tax and other laws, rules and</w:t>
            </w:r>
          </w:p>
        </w:tc>
      </w:tr>
      <w:tr>
        <w:trPr>
          <w:trHeight w:val="216"/>
        </w:trPr>
        <w:tc>
          <w:tcPr>
            <w:tcW w:w="3260" w:type="dxa"/>
            <w:vAlign w:val="bottom"/>
          </w:tcPr>
          <w:p>
            <w:pPr>
              <w:spacing w:after="0"/>
              <w:rPr>
                <w:sz w:val="18"/>
                <w:szCs w:val="18"/>
                <w:color w:val="auto"/>
              </w:rPr>
            </w:pPr>
          </w:p>
        </w:tc>
        <w:tc>
          <w:tcPr>
            <w:tcW w:w="7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regulations and related self-regulatory requirements, policies and procedures (including those of any</w:t>
            </w:r>
          </w:p>
        </w:tc>
      </w:tr>
      <w:tr>
        <w:trPr>
          <w:trHeight w:val="216"/>
        </w:trPr>
        <w:tc>
          <w:tcPr>
            <w:tcW w:w="3260" w:type="dxa"/>
            <w:vAlign w:val="bottom"/>
          </w:tcPr>
          <w:p>
            <w:pPr>
              <w:spacing w:after="0"/>
              <w:rPr>
                <w:sz w:val="18"/>
                <w:szCs w:val="18"/>
                <w:color w:val="auto"/>
              </w:rPr>
            </w:pPr>
          </w:p>
        </w:tc>
        <w:tc>
          <w:tcPr>
            <w:tcW w:w="7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securities or other regulators, exchanges and self-regulating organizations) as those to which Dealer is</w:t>
            </w:r>
          </w:p>
        </w:tc>
      </w:tr>
      <w:tr>
        <w:trPr>
          <w:trHeight w:val="234"/>
        </w:trPr>
        <w:tc>
          <w:tcPr>
            <w:tcW w:w="3260" w:type="dxa"/>
            <w:vAlign w:val="bottom"/>
          </w:tcPr>
          <w:p>
            <w:pPr>
              <w:spacing w:after="0"/>
              <w:rPr>
                <w:sz w:val="20"/>
                <w:szCs w:val="20"/>
                <w:color w:val="auto"/>
              </w:rPr>
            </w:pPr>
          </w:p>
        </w:tc>
        <w:tc>
          <w:tcPr>
            <w:tcW w:w="7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subject.</w:t>
            </w:r>
          </w:p>
        </w:tc>
      </w:tr>
      <w:tr>
        <w:trPr>
          <w:trHeight w:val="414"/>
        </w:trPr>
        <w:tc>
          <w:tcPr>
            <w:tcW w:w="3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Applicable Hedge Positions:</w:t>
            </w:r>
          </w:p>
        </w:tc>
        <w:tc>
          <w:tcPr>
            <w:tcW w:w="7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At any time, any Hedge Positions that Dealer determines that a Hypothetical Dealer (acting in good</w:t>
            </w:r>
          </w:p>
        </w:tc>
      </w:tr>
      <w:tr>
        <w:trPr>
          <w:trHeight w:val="216"/>
        </w:trPr>
        <w:tc>
          <w:tcPr>
            <w:tcW w:w="3260" w:type="dxa"/>
            <w:vAlign w:val="bottom"/>
          </w:tcPr>
          <w:p>
            <w:pPr>
              <w:spacing w:after="0"/>
              <w:rPr>
                <w:sz w:val="18"/>
                <w:szCs w:val="18"/>
                <w:color w:val="auto"/>
              </w:rPr>
            </w:pPr>
          </w:p>
        </w:tc>
        <w:tc>
          <w:tcPr>
            <w:tcW w:w="7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faith and in a commercially reasonable manner) would consider necessary to hedge through the Hedge</w:t>
            </w:r>
          </w:p>
        </w:tc>
      </w:tr>
      <w:tr>
        <w:trPr>
          <w:trHeight w:val="216"/>
        </w:trPr>
        <w:tc>
          <w:tcPr>
            <w:tcW w:w="3260" w:type="dxa"/>
            <w:vAlign w:val="bottom"/>
          </w:tcPr>
          <w:p>
            <w:pPr>
              <w:spacing w:after="0"/>
              <w:rPr>
                <w:sz w:val="18"/>
                <w:szCs w:val="18"/>
                <w:color w:val="auto"/>
              </w:rPr>
            </w:pPr>
          </w:p>
        </w:tc>
        <w:tc>
          <w:tcPr>
            <w:tcW w:w="7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Positions alone the equity price risk and dividend risk of entering into and performing its obligations</w:t>
            </w:r>
          </w:p>
        </w:tc>
      </w:tr>
      <w:tr>
        <w:trPr>
          <w:trHeight w:val="216"/>
        </w:trPr>
        <w:tc>
          <w:tcPr>
            <w:tcW w:w="3260" w:type="dxa"/>
            <w:vAlign w:val="bottom"/>
          </w:tcPr>
          <w:p>
            <w:pPr>
              <w:spacing w:after="0"/>
              <w:rPr>
                <w:sz w:val="18"/>
                <w:szCs w:val="18"/>
                <w:color w:val="auto"/>
              </w:rPr>
            </w:pPr>
          </w:p>
        </w:tc>
        <w:tc>
          <w:tcPr>
            <w:tcW w:w="7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with respect to the Transaction at that time. The parties acknowledge that this does not restrict or</w:t>
            </w:r>
          </w:p>
        </w:tc>
      </w:tr>
      <w:tr>
        <w:trPr>
          <w:trHeight w:val="216"/>
        </w:trPr>
        <w:tc>
          <w:tcPr>
            <w:tcW w:w="3260" w:type="dxa"/>
            <w:vAlign w:val="bottom"/>
          </w:tcPr>
          <w:p>
            <w:pPr>
              <w:spacing w:after="0"/>
              <w:rPr>
                <w:sz w:val="18"/>
                <w:szCs w:val="18"/>
                <w:color w:val="auto"/>
              </w:rPr>
            </w:pPr>
          </w:p>
        </w:tc>
        <w:tc>
          <w:tcPr>
            <w:tcW w:w="7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otherwise affect the agreements and acknowledgments set forth in Section 13.2 of the Equity</w:t>
            </w:r>
          </w:p>
        </w:tc>
      </w:tr>
      <w:tr>
        <w:trPr>
          <w:trHeight w:val="216"/>
        </w:trPr>
        <w:tc>
          <w:tcPr>
            <w:tcW w:w="3260" w:type="dxa"/>
            <w:vAlign w:val="bottom"/>
          </w:tcPr>
          <w:p>
            <w:pPr>
              <w:spacing w:after="0"/>
              <w:rPr>
                <w:sz w:val="18"/>
                <w:szCs w:val="18"/>
                <w:color w:val="auto"/>
              </w:rPr>
            </w:pPr>
          </w:p>
        </w:tc>
        <w:tc>
          <w:tcPr>
            <w:tcW w:w="7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Definitions or any Hedge Positions or Hedging Activities which any Hedging Party may choose to</w:t>
            </w:r>
          </w:p>
        </w:tc>
      </w:tr>
      <w:tr>
        <w:trPr>
          <w:trHeight w:val="216"/>
        </w:trPr>
        <w:tc>
          <w:tcPr>
            <w:tcW w:w="3260" w:type="dxa"/>
            <w:vAlign w:val="bottom"/>
          </w:tcPr>
          <w:p>
            <w:pPr>
              <w:spacing w:after="0"/>
              <w:rPr>
                <w:sz w:val="18"/>
                <w:szCs w:val="18"/>
                <w:color w:val="auto"/>
              </w:rPr>
            </w:pPr>
          </w:p>
        </w:tc>
        <w:tc>
          <w:tcPr>
            <w:tcW w:w="7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purchase, sell, enter into, maintain or undertake.</w:t>
            </w:r>
          </w:p>
        </w:tc>
      </w:tr>
      <w:tr>
        <w:trPr>
          <w:trHeight w:val="216"/>
        </w:trPr>
        <w:tc>
          <w:tcPr>
            <w:tcW w:w="3260" w:type="dxa"/>
            <w:vAlign w:val="bottom"/>
          </w:tcPr>
          <w:p>
            <w:pPr>
              <w:spacing w:after="0"/>
              <w:rPr>
                <w:sz w:val="18"/>
                <w:szCs w:val="18"/>
                <w:color w:val="auto"/>
              </w:rPr>
            </w:pPr>
          </w:p>
        </w:tc>
        <w:tc>
          <w:tcPr>
            <w:tcW w:w="7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Dealer shall notify Counterparty promptly after it determines that a Hypothetical Dealer would have</w:t>
            </w:r>
          </w:p>
        </w:tc>
      </w:tr>
      <w:tr>
        <w:trPr>
          <w:trHeight w:val="234"/>
        </w:trPr>
        <w:tc>
          <w:tcPr>
            <w:tcW w:w="3260" w:type="dxa"/>
            <w:vAlign w:val="bottom"/>
          </w:tcPr>
          <w:p>
            <w:pPr>
              <w:spacing w:after="0"/>
              <w:rPr>
                <w:sz w:val="20"/>
                <w:szCs w:val="20"/>
                <w:color w:val="auto"/>
              </w:rPr>
            </w:pPr>
          </w:p>
        </w:tc>
        <w:tc>
          <w:tcPr>
            <w:tcW w:w="7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fully established its Applicable Hedge Positions</w:t>
            </w:r>
          </w:p>
        </w:tc>
      </w:tr>
      <w:tr>
        <w:trPr>
          <w:trHeight w:val="414"/>
        </w:trPr>
        <w:tc>
          <w:tcPr>
            <w:tcW w:w="3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Physical Settlement Date:</w:t>
            </w:r>
          </w:p>
        </w:tc>
        <w:tc>
          <w:tcPr>
            <w:tcW w:w="7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Any date (a) on or after the date that Counterparty provides to Dealer evidence that: (i) a valid</w:t>
            </w:r>
          </w:p>
        </w:tc>
      </w:tr>
      <w:tr>
        <w:trPr>
          <w:trHeight w:val="216"/>
        </w:trPr>
        <w:tc>
          <w:tcPr>
            <w:tcW w:w="3260" w:type="dxa"/>
            <w:vAlign w:val="bottom"/>
          </w:tcPr>
          <w:p>
            <w:pPr>
              <w:spacing w:after="0"/>
              <w:rPr>
                <w:sz w:val="18"/>
                <w:szCs w:val="18"/>
                <w:color w:val="auto"/>
              </w:rPr>
            </w:pPr>
          </w:p>
        </w:tc>
        <w:tc>
          <w:tcPr>
            <w:tcW w:w="7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Counterparty Shareholder Purchase Approval has been obtained and is in full force until Counterparty</w:t>
            </w:r>
          </w:p>
        </w:tc>
      </w:tr>
      <w:tr>
        <w:trPr>
          <w:trHeight w:val="216"/>
        </w:trPr>
        <w:tc>
          <w:tcPr>
            <w:tcW w:w="3260" w:type="dxa"/>
            <w:vAlign w:val="bottom"/>
          </w:tcPr>
          <w:p>
            <w:pPr>
              <w:spacing w:after="0"/>
              <w:rPr>
                <w:sz w:val="18"/>
                <w:szCs w:val="18"/>
                <w:color w:val="auto"/>
              </w:rPr>
            </w:pPr>
          </w:p>
        </w:tc>
        <w:tc>
          <w:tcPr>
            <w:tcW w:w="7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delivers a notice to Dealer that such Counterparty Shareholder Purchase Approval has lapsed; or (ii) the</w:t>
            </w:r>
          </w:p>
        </w:tc>
      </w:tr>
      <w:tr>
        <w:trPr>
          <w:trHeight w:val="216"/>
        </w:trPr>
        <w:tc>
          <w:tcPr>
            <w:tcW w:w="3260" w:type="dxa"/>
            <w:vAlign w:val="bottom"/>
          </w:tcPr>
          <w:p>
            <w:pPr>
              <w:spacing w:after="0"/>
              <w:rPr>
                <w:sz w:val="18"/>
                <w:szCs w:val="18"/>
                <w:color w:val="auto"/>
              </w:rPr>
            </w:pPr>
          </w:p>
        </w:tc>
        <w:tc>
          <w:tcPr>
            <w:tcW w:w="7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laws of the jurisdiction of Counterparty’s organization permit Counterparty’s acquisition of Shares</w:t>
            </w:r>
          </w:p>
        </w:tc>
      </w:tr>
      <w:tr>
        <w:trPr>
          <w:trHeight w:val="216"/>
        </w:trPr>
        <w:tc>
          <w:tcPr>
            <w:tcW w:w="3260" w:type="dxa"/>
            <w:vAlign w:val="bottom"/>
          </w:tcPr>
          <w:p>
            <w:pPr>
              <w:spacing w:after="0"/>
              <w:rPr>
                <w:sz w:val="18"/>
                <w:szCs w:val="18"/>
                <w:color w:val="auto"/>
              </w:rPr>
            </w:pPr>
          </w:p>
        </w:tc>
        <w:tc>
          <w:tcPr>
            <w:tcW w:w="7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pursuant to the terms of this Transaction (including as a result of Counterparty being a corporation</w:t>
            </w:r>
          </w:p>
        </w:tc>
      </w:tr>
      <w:tr>
        <w:trPr>
          <w:trHeight w:val="216"/>
        </w:trPr>
        <w:tc>
          <w:tcPr>
            <w:tcW w:w="3260" w:type="dxa"/>
            <w:vAlign w:val="bottom"/>
          </w:tcPr>
          <w:p>
            <w:pPr>
              <w:spacing w:after="0"/>
              <w:rPr>
                <w:sz w:val="18"/>
                <w:szCs w:val="18"/>
                <w:color w:val="auto"/>
              </w:rPr>
            </w:pPr>
          </w:p>
        </w:tc>
        <w:tc>
          <w:tcPr>
            <w:tcW w:w="7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organized under the laws of the United States, any State thereof or the District of Columbia) to the</w:t>
            </w:r>
          </w:p>
        </w:tc>
      </w:tr>
      <w:tr>
        <w:trPr>
          <w:trHeight w:val="216"/>
        </w:trPr>
        <w:tc>
          <w:tcPr>
            <w:tcW w:w="3260" w:type="dxa"/>
            <w:vAlign w:val="bottom"/>
          </w:tcPr>
          <w:p>
            <w:pPr>
              <w:spacing w:after="0"/>
              <w:rPr>
                <w:sz w:val="18"/>
                <w:szCs w:val="18"/>
                <w:color w:val="auto"/>
              </w:rPr>
            </w:pPr>
          </w:p>
        </w:tc>
        <w:tc>
          <w:tcPr>
            <w:tcW w:w="7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reasonable satisfaction of Dealer based on advice of counsel, in each case, together with a written</w:t>
            </w:r>
          </w:p>
        </w:tc>
      </w:tr>
      <w:tr>
        <w:trPr>
          <w:trHeight w:val="216"/>
        </w:trPr>
        <w:tc>
          <w:tcPr>
            <w:tcW w:w="3260" w:type="dxa"/>
            <w:vAlign w:val="bottom"/>
          </w:tcPr>
          <w:p>
            <w:pPr>
              <w:spacing w:after="0"/>
              <w:rPr>
                <w:sz w:val="18"/>
                <w:szCs w:val="18"/>
                <w:color w:val="auto"/>
              </w:rPr>
            </w:pPr>
          </w:p>
        </w:tc>
        <w:tc>
          <w:tcPr>
            <w:tcW w:w="7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statement that the representations contained in Section 7(j) below are true and correct as of and as if</w:t>
            </w:r>
          </w:p>
        </w:tc>
      </w:tr>
      <w:tr>
        <w:trPr>
          <w:trHeight w:val="216"/>
        </w:trPr>
        <w:tc>
          <w:tcPr>
            <w:tcW w:w="3260" w:type="dxa"/>
            <w:vAlign w:val="bottom"/>
          </w:tcPr>
          <w:p>
            <w:pPr>
              <w:spacing w:after="0"/>
              <w:rPr>
                <w:sz w:val="18"/>
                <w:szCs w:val="18"/>
                <w:color w:val="auto"/>
              </w:rPr>
            </w:pPr>
          </w:p>
        </w:tc>
        <w:tc>
          <w:tcPr>
            <w:tcW w:w="7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made on such date, and (b) on or after the date that Dealer has notified Counterparty in writing that it</w:t>
            </w:r>
          </w:p>
        </w:tc>
      </w:tr>
      <w:tr>
        <w:trPr>
          <w:trHeight w:val="216"/>
        </w:trPr>
        <w:tc>
          <w:tcPr>
            <w:tcW w:w="3260" w:type="dxa"/>
            <w:vAlign w:val="bottom"/>
          </w:tcPr>
          <w:p>
            <w:pPr>
              <w:spacing w:after="0"/>
              <w:rPr>
                <w:sz w:val="18"/>
                <w:szCs w:val="18"/>
                <w:color w:val="auto"/>
              </w:rPr>
            </w:pPr>
          </w:p>
        </w:tc>
        <w:tc>
          <w:tcPr>
            <w:tcW w:w="7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has determined that either: (1) a Hypothetical Dealer would have fully established its Applicable Hedge</w:t>
            </w:r>
          </w:p>
        </w:tc>
      </w:tr>
      <w:tr>
        <w:trPr>
          <w:trHeight w:val="214"/>
        </w:trPr>
        <w:tc>
          <w:tcPr>
            <w:tcW w:w="3260" w:type="dxa"/>
            <w:vAlign w:val="bottom"/>
          </w:tcPr>
          <w:p>
            <w:pPr>
              <w:spacing w:after="0"/>
              <w:rPr>
                <w:sz w:val="18"/>
                <w:szCs w:val="18"/>
                <w:color w:val="auto"/>
              </w:rPr>
            </w:pPr>
          </w:p>
        </w:tc>
        <w:tc>
          <w:tcPr>
            <w:tcW w:w="7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Positions which are sufficient to facilitate the Dealer delivering Shares in accordance with the terms of</w:t>
            </w:r>
          </w:p>
        </w:tc>
      </w:tr>
      <w:tr>
        <w:trPr>
          <w:trHeight w:val="218"/>
        </w:trPr>
        <w:tc>
          <w:tcPr>
            <w:tcW w:w="3260" w:type="dxa"/>
            <w:vAlign w:val="bottom"/>
          </w:tcPr>
          <w:p>
            <w:pPr>
              <w:spacing w:after="0"/>
              <w:rPr>
                <w:sz w:val="18"/>
                <w:szCs w:val="18"/>
                <w:color w:val="auto"/>
              </w:rPr>
            </w:pPr>
          </w:p>
        </w:tc>
        <w:tc>
          <w:tcPr>
            <w:tcW w:w="7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this Confirmation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clause (1) shall be deemed to have been satisfied on each day</w:t>
            </w:r>
          </w:p>
        </w:tc>
      </w:tr>
      <w:tr>
        <w:trPr>
          <w:trHeight w:val="216"/>
        </w:trPr>
        <w:tc>
          <w:tcPr>
            <w:tcW w:w="3260" w:type="dxa"/>
            <w:vAlign w:val="bottom"/>
          </w:tcPr>
          <w:p>
            <w:pPr>
              <w:spacing w:after="0"/>
              <w:rPr>
                <w:sz w:val="18"/>
                <w:szCs w:val="18"/>
                <w:color w:val="auto"/>
              </w:rPr>
            </w:pPr>
          </w:p>
        </w:tc>
        <w:tc>
          <w:tcPr>
            <w:tcW w:w="7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occurring on or after May 11, 2027); or (2) a Hypothetical Dealer would not require such Applicable</w:t>
            </w:r>
          </w:p>
        </w:tc>
      </w:tr>
      <w:tr>
        <w:trPr>
          <w:trHeight w:val="234"/>
        </w:trPr>
        <w:tc>
          <w:tcPr>
            <w:tcW w:w="3260" w:type="dxa"/>
            <w:vAlign w:val="bottom"/>
          </w:tcPr>
          <w:p>
            <w:pPr>
              <w:spacing w:after="0"/>
              <w:rPr>
                <w:sz w:val="20"/>
                <w:szCs w:val="20"/>
                <w:color w:val="auto"/>
              </w:rPr>
            </w:pPr>
          </w:p>
        </w:tc>
        <w:tc>
          <w:tcPr>
            <w:tcW w:w="7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Hedge Positions in order to facilitate such Share delivery.</w:t>
            </w:r>
          </w:p>
        </w:tc>
      </w:tr>
      <w:tr>
        <w:trPr>
          <w:trHeight w:val="557"/>
        </w:trPr>
        <w:tc>
          <w:tcPr>
            <w:tcW w:w="3260" w:type="dxa"/>
            <w:vAlign w:val="bottom"/>
          </w:tcPr>
          <w:p>
            <w:pPr>
              <w:spacing w:after="0"/>
              <w:rPr>
                <w:sz w:val="24"/>
                <w:szCs w:val="24"/>
                <w:color w:val="auto"/>
              </w:rPr>
            </w:pPr>
          </w:p>
        </w:tc>
        <w:tc>
          <w:tcPr>
            <w:tcW w:w="7980" w:type="dxa"/>
            <w:vAlign w:val="bottom"/>
          </w:tcPr>
          <w:p>
            <w:pPr>
              <w:ind w:left="2320"/>
              <w:spacing w:after="0"/>
              <w:rPr>
                <w:sz w:val="20"/>
                <w:szCs w:val="20"/>
                <w:color w:val="auto"/>
              </w:rPr>
            </w:pPr>
            <w:r>
              <w:rPr>
                <w:rFonts w:ascii="Times New Roman" w:cs="Times New Roman" w:eastAsia="Times New Roman" w:hAnsi="Times New Roman"/>
                <w:sz w:val="14"/>
                <w:szCs w:val="14"/>
                <w:color w:val="auto"/>
              </w:rPr>
              <w:t>5</w:t>
            </w:r>
          </w:p>
        </w:tc>
      </w:tr>
      <w:tr>
        <w:trPr>
          <w:trHeight w:val="44"/>
        </w:trPr>
        <w:tc>
          <w:tcPr>
            <w:tcW w:w="3260" w:type="dxa"/>
            <w:vAlign w:val="bottom"/>
            <w:tcBorders>
              <w:bottom w:val="single" w:sz="8" w:color="auto"/>
            </w:tcBorders>
          </w:tcPr>
          <w:p>
            <w:pPr>
              <w:spacing w:after="0"/>
              <w:rPr>
                <w:sz w:val="3"/>
                <w:szCs w:val="3"/>
                <w:color w:val="auto"/>
              </w:rPr>
            </w:pPr>
          </w:p>
        </w:tc>
        <w:tc>
          <w:tcPr>
            <w:tcW w:w="798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21" w:right="339" w:bottom="1440" w:gutter="0" w:footer="0" w:header="0"/>
        </w:sectPr>
      </w:pPr>
    </w:p>
    <w:bookmarkStart w:id="124" w:name="page125"/>
    <w:bookmarkEnd w:id="124"/>
    <w:p>
      <w:pPr>
        <w:jc w:val="both"/>
        <w:ind w:left="3720" w:hanging="3374"/>
        <w:spacing w:after="0" w:line="255" w:lineRule="auto"/>
        <w:rPr>
          <w:sz w:val="20"/>
          <w:szCs w:val="20"/>
          <w:color w:val="auto"/>
        </w:rPr>
      </w:pPr>
      <w:r>
        <w:rPr>
          <w:rFonts w:ascii="Times New Roman" w:cs="Times New Roman" w:eastAsia="Times New Roman" w:hAnsi="Times New Roman"/>
          <w:sz w:val="18"/>
          <w:szCs w:val="18"/>
          <w:color w:val="auto"/>
        </w:rPr>
        <w:t>Counterparty Shareholder Purchase Approval: A special resolution by the shareholders of Counterparty authorizing a selective off-market buy-back of the Number of Shares to be delivered to Counterparty under this Confirmation in accordance with the terms of this Transaction pursuant to section 257D of the Corporations Act. Such resolution will be in full force on a day for the purposes of the Physical Settlement Date if (1) the resolution was passed within the previous 12 month period ending on that day and (2) the resolution has not otherwise ceased to be in full force and effect (including through amendment or revocation) (“</w:t>
      </w:r>
      <w:r>
        <w:rPr>
          <w:rFonts w:ascii="Times New Roman" w:cs="Times New Roman" w:eastAsia="Times New Roman" w:hAnsi="Times New Roman"/>
          <w:sz w:val="18"/>
          <w:szCs w:val="18"/>
          <w:b w:val="1"/>
          <w:bCs w:val="1"/>
          <w:color w:val="auto"/>
        </w:rPr>
        <w:t>Annual Buy-back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Mandate Renewal</w:t>
      </w:r>
      <w:r>
        <w:rPr>
          <w:rFonts w:ascii="Times New Roman" w:cs="Times New Roman" w:eastAsia="Times New Roman" w:hAnsi="Times New Roman"/>
          <w:sz w:val="18"/>
          <w:szCs w:val="18"/>
          <w:color w:val="auto"/>
        </w:rPr>
        <w: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Share Settlement:</w:t>
            </w:r>
          </w:p>
        </w:tc>
        <w:tc>
          <w:tcPr>
            <w:tcW w:w="84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With respect to any Component, if Net Share Settlement is applicable to the Options exercised or</w:t>
            </w:r>
          </w:p>
        </w:tc>
      </w:tr>
      <w:tr>
        <w:trPr>
          <w:trHeight w:val="212"/>
        </w:trPr>
        <w:tc>
          <w:tcPr>
            <w:tcW w:w="2820" w:type="dxa"/>
            <w:vAlign w:val="bottom"/>
          </w:tcPr>
          <w:p>
            <w:pPr>
              <w:spacing w:after="0"/>
              <w:rPr>
                <w:sz w:val="18"/>
                <w:szCs w:val="18"/>
                <w:color w:val="auto"/>
              </w:rPr>
            </w:pPr>
          </w:p>
        </w:tc>
        <w:tc>
          <w:tcPr>
            <w:tcW w:w="84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deemed exercised hereunder, Dealer will deliver to Counterparty, on the relevant Settlement Date for</w:t>
            </w:r>
          </w:p>
        </w:tc>
      </w:tr>
      <w:tr>
        <w:trPr>
          <w:trHeight w:val="218"/>
        </w:trPr>
        <w:tc>
          <w:tcPr>
            <w:tcW w:w="2820" w:type="dxa"/>
            <w:vAlign w:val="bottom"/>
          </w:tcPr>
          <w:p>
            <w:pPr>
              <w:spacing w:after="0"/>
              <w:rPr>
                <w:sz w:val="18"/>
                <w:szCs w:val="18"/>
                <w:color w:val="auto"/>
              </w:rPr>
            </w:pPr>
          </w:p>
        </w:tc>
        <w:tc>
          <w:tcPr>
            <w:tcW w:w="842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each such Component, a number of Shares (the “</w:t>
            </w:r>
            <w:r>
              <w:rPr>
                <w:rFonts w:ascii="Times New Roman" w:cs="Times New Roman" w:eastAsia="Times New Roman" w:hAnsi="Times New Roman"/>
                <w:sz w:val="18"/>
                <w:szCs w:val="18"/>
                <w:b w:val="1"/>
                <w:bCs w:val="1"/>
                <w:color w:val="auto"/>
                <w:w w:val="99"/>
              </w:rPr>
              <w:t>Net Share Settlement Amount</w:t>
            </w:r>
            <w:r>
              <w:rPr>
                <w:rFonts w:ascii="Times New Roman" w:cs="Times New Roman" w:eastAsia="Times New Roman" w:hAnsi="Times New Roman"/>
                <w:sz w:val="18"/>
                <w:szCs w:val="18"/>
                <w:color w:val="auto"/>
                <w:w w:val="99"/>
              </w:rPr>
              <w:t>”) equal to (i) the Daily</w:t>
            </w:r>
          </w:p>
        </w:tc>
      </w:tr>
      <w:tr>
        <w:trPr>
          <w:trHeight w:val="218"/>
        </w:trPr>
        <w:tc>
          <w:tcPr>
            <w:tcW w:w="2820" w:type="dxa"/>
            <w:vAlign w:val="bottom"/>
          </w:tcPr>
          <w:p>
            <w:pPr>
              <w:spacing w:after="0"/>
              <w:rPr>
                <w:sz w:val="18"/>
                <w:szCs w:val="18"/>
                <w:color w:val="auto"/>
              </w:rPr>
            </w:pPr>
          </w:p>
        </w:tc>
        <w:tc>
          <w:tcPr>
            <w:tcW w:w="84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 xml:space="preserve">Option Value on the Expiration Date of such Component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(ii) the Relevant Price on such</w:t>
            </w:r>
          </w:p>
        </w:tc>
      </w:tr>
      <w:tr>
        <w:trPr>
          <w:trHeight w:val="216"/>
        </w:trPr>
        <w:tc>
          <w:tcPr>
            <w:tcW w:w="2820" w:type="dxa"/>
            <w:vAlign w:val="bottom"/>
          </w:tcPr>
          <w:p>
            <w:pPr>
              <w:spacing w:after="0"/>
              <w:rPr>
                <w:sz w:val="18"/>
                <w:szCs w:val="18"/>
                <w:color w:val="auto"/>
              </w:rPr>
            </w:pPr>
          </w:p>
        </w:tc>
        <w:tc>
          <w:tcPr>
            <w:tcW w:w="84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Expiration Date.</w:t>
            </w:r>
          </w:p>
        </w:tc>
      </w:tr>
      <w:tr>
        <w:trPr>
          <w:trHeight w:val="216"/>
        </w:trPr>
        <w:tc>
          <w:tcPr>
            <w:tcW w:w="2820" w:type="dxa"/>
            <w:vAlign w:val="bottom"/>
          </w:tcPr>
          <w:p>
            <w:pPr>
              <w:spacing w:after="0"/>
              <w:rPr>
                <w:sz w:val="18"/>
                <w:szCs w:val="18"/>
                <w:color w:val="auto"/>
              </w:rPr>
            </w:pPr>
          </w:p>
        </w:tc>
        <w:tc>
          <w:tcPr>
            <w:tcW w:w="84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Dealer will deliver cash in lieu of any fractional Shares to be delivered with respect to any Net Share</w:t>
            </w:r>
          </w:p>
        </w:tc>
      </w:tr>
      <w:tr>
        <w:trPr>
          <w:trHeight w:val="234"/>
        </w:trPr>
        <w:tc>
          <w:tcPr>
            <w:tcW w:w="2820" w:type="dxa"/>
            <w:vAlign w:val="bottom"/>
          </w:tcPr>
          <w:p>
            <w:pPr>
              <w:spacing w:after="0"/>
              <w:rPr>
                <w:sz w:val="20"/>
                <w:szCs w:val="20"/>
                <w:color w:val="auto"/>
              </w:rPr>
            </w:pPr>
          </w:p>
        </w:tc>
        <w:tc>
          <w:tcPr>
            <w:tcW w:w="84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Settlement Amount valued at the Relevant Price for the Expiration Date of such Component.</w:t>
            </w:r>
          </w:p>
        </w:tc>
      </w:tr>
      <w:tr>
        <w:trPr>
          <w:trHeight w:val="414"/>
        </w:trPr>
        <w:tc>
          <w:tcPr>
            <w:tcW w:w="2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Settlement:</w:t>
            </w:r>
          </w:p>
        </w:tc>
        <w:tc>
          <w:tcPr>
            <w:tcW w:w="84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With respect to any Component, if Cash Settlement is applicable to the Options exercised or deemed</w:t>
            </w:r>
          </w:p>
        </w:tc>
      </w:tr>
      <w:tr>
        <w:trPr>
          <w:trHeight w:val="212"/>
        </w:trPr>
        <w:tc>
          <w:tcPr>
            <w:tcW w:w="2820" w:type="dxa"/>
            <w:vAlign w:val="bottom"/>
          </w:tcPr>
          <w:p>
            <w:pPr>
              <w:spacing w:after="0"/>
              <w:rPr>
                <w:sz w:val="18"/>
                <w:szCs w:val="18"/>
                <w:color w:val="auto"/>
              </w:rPr>
            </w:pPr>
          </w:p>
        </w:tc>
        <w:tc>
          <w:tcPr>
            <w:tcW w:w="842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exercised hereunder, in lieu of Section 8.1 of the Equity Definitions, Dealer will pay to Counterparty, on</w:t>
            </w:r>
          </w:p>
        </w:tc>
      </w:tr>
      <w:tr>
        <w:trPr>
          <w:trHeight w:val="220"/>
        </w:trPr>
        <w:tc>
          <w:tcPr>
            <w:tcW w:w="2820" w:type="dxa"/>
            <w:vAlign w:val="bottom"/>
          </w:tcPr>
          <w:p>
            <w:pPr>
              <w:spacing w:after="0"/>
              <w:rPr>
                <w:sz w:val="19"/>
                <w:szCs w:val="19"/>
                <w:color w:val="auto"/>
              </w:rPr>
            </w:pPr>
          </w:p>
        </w:tc>
        <w:tc>
          <w:tcPr>
            <w:tcW w:w="84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the Settlement Date, an amount of cash (the “</w:t>
            </w:r>
            <w:r>
              <w:rPr>
                <w:rFonts w:ascii="Times New Roman" w:cs="Times New Roman" w:eastAsia="Times New Roman" w:hAnsi="Times New Roman"/>
                <w:sz w:val="18"/>
                <w:szCs w:val="18"/>
                <w:b w:val="1"/>
                <w:bCs w:val="1"/>
                <w:color w:val="auto"/>
              </w:rPr>
              <w:t>Cash Settlement Amount</w:t>
            </w:r>
            <w:r>
              <w:rPr>
                <w:rFonts w:ascii="Times New Roman" w:cs="Times New Roman" w:eastAsia="Times New Roman" w:hAnsi="Times New Roman"/>
                <w:sz w:val="18"/>
                <w:szCs w:val="18"/>
                <w:color w:val="auto"/>
              </w:rPr>
              <w:t>”) equal to the Daily Option</w:t>
            </w:r>
          </w:p>
        </w:tc>
      </w:tr>
      <w:tr>
        <w:trPr>
          <w:trHeight w:val="234"/>
        </w:trPr>
        <w:tc>
          <w:tcPr>
            <w:tcW w:w="2820" w:type="dxa"/>
            <w:vAlign w:val="bottom"/>
          </w:tcPr>
          <w:p>
            <w:pPr>
              <w:spacing w:after="0"/>
              <w:rPr>
                <w:sz w:val="20"/>
                <w:szCs w:val="20"/>
                <w:color w:val="auto"/>
              </w:rPr>
            </w:pPr>
          </w:p>
        </w:tc>
        <w:tc>
          <w:tcPr>
            <w:tcW w:w="84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Value on the Expiration Date of such Component.</w:t>
            </w:r>
          </w:p>
        </w:tc>
      </w:tr>
      <w:tr>
        <w:trPr>
          <w:trHeight w:val="412"/>
        </w:trPr>
        <w:tc>
          <w:tcPr>
            <w:tcW w:w="2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Daily Option Value:</w:t>
            </w:r>
          </w:p>
        </w:tc>
        <w:tc>
          <w:tcPr>
            <w:tcW w:w="84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 xml:space="preserve">For any Component, an amount equal to (i) the Number of Options in such Component, </w:t>
            </w:r>
            <w:r>
              <w:rPr>
                <w:rFonts w:ascii="Times New Roman" w:cs="Times New Roman" w:eastAsia="Times New Roman" w:hAnsi="Times New Roman"/>
                <w:sz w:val="18"/>
                <w:szCs w:val="18"/>
                <w:i w:val="1"/>
                <w:iCs w:val="1"/>
                <w:color w:val="auto"/>
              </w:rPr>
              <w:t>multiplied by</w:t>
            </w:r>
          </w:p>
        </w:tc>
      </w:tr>
      <w:tr>
        <w:trPr>
          <w:trHeight w:val="216"/>
        </w:trPr>
        <w:tc>
          <w:tcPr>
            <w:tcW w:w="2820" w:type="dxa"/>
            <w:vAlign w:val="bottom"/>
          </w:tcPr>
          <w:p>
            <w:pPr>
              <w:spacing w:after="0"/>
              <w:rPr>
                <w:sz w:val="18"/>
                <w:szCs w:val="18"/>
                <w:color w:val="auto"/>
              </w:rPr>
            </w:pPr>
          </w:p>
        </w:tc>
        <w:tc>
          <w:tcPr>
            <w:tcW w:w="842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 xml:space="preserve">(ii) the Option Entitlement, </w:t>
            </w:r>
            <w:r>
              <w:rPr>
                <w:rFonts w:ascii="Times New Roman" w:cs="Times New Roman" w:eastAsia="Times New Roman" w:hAnsi="Times New Roman"/>
                <w:sz w:val="18"/>
                <w:szCs w:val="18"/>
                <w:i w:val="1"/>
                <w:iCs w:val="1"/>
                <w:color w:val="auto"/>
                <w:w w:val="99"/>
              </w:rPr>
              <w:t>multiplied by</w:t>
            </w:r>
            <w:r>
              <w:rPr>
                <w:rFonts w:ascii="Times New Roman" w:cs="Times New Roman" w:eastAsia="Times New Roman" w:hAnsi="Times New Roman"/>
                <w:sz w:val="18"/>
                <w:szCs w:val="18"/>
                <w:color w:val="auto"/>
                <w:w w:val="99"/>
              </w:rPr>
              <w:t xml:space="preserve"> (iii) (A) the lesser of the Relevant Price on the Expiration Date</w:t>
            </w:r>
          </w:p>
        </w:tc>
      </w:tr>
      <w:tr>
        <w:trPr>
          <w:trHeight w:val="218"/>
        </w:trPr>
        <w:tc>
          <w:tcPr>
            <w:tcW w:w="2820" w:type="dxa"/>
            <w:vAlign w:val="bottom"/>
          </w:tcPr>
          <w:p>
            <w:pPr>
              <w:spacing w:after="0"/>
              <w:rPr>
                <w:sz w:val="18"/>
                <w:szCs w:val="18"/>
                <w:color w:val="auto"/>
              </w:rPr>
            </w:pPr>
          </w:p>
        </w:tc>
        <w:tc>
          <w:tcPr>
            <w:tcW w:w="842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 xml:space="preserve">of such Component and the Cap Price, </w:t>
            </w:r>
            <w:r>
              <w:rPr>
                <w:rFonts w:ascii="Times New Roman" w:cs="Times New Roman" w:eastAsia="Times New Roman" w:hAnsi="Times New Roman"/>
                <w:sz w:val="18"/>
                <w:szCs w:val="18"/>
                <w:i w:val="1"/>
                <w:iCs w:val="1"/>
                <w:color w:val="auto"/>
                <w:w w:val="99"/>
              </w:rPr>
              <w:t>minus</w:t>
            </w:r>
            <w:r>
              <w:rPr>
                <w:rFonts w:ascii="Times New Roman" w:cs="Times New Roman" w:eastAsia="Times New Roman" w:hAnsi="Times New Roman"/>
                <w:sz w:val="18"/>
                <w:szCs w:val="18"/>
                <w:color w:val="auto"/>
                <w:w w:val="99"/>
              </w:rPr>
              <w:t xml:space="preserve"> (B) the Strike Price on such Expiration Date; </w:t>
            </w:r>
            <w:r>
              <w:rPr>
                <w:rFonts w:ascii="Times New Roman" w:cs="Times New Roman" w:eastAsia="Times New Roman" w:hAnsi="Times New Roman"/>
                <w:sz w:val="18"/>
                <w:szCs w:val="18"/>
                <w:i w:val="1"/>
                <w:iCs w:val="1"/>
                <w:color w:val="auto"/>
                <w:w w:val="99"/>
              </w:rPr>
              <w:t>provided</w:t>
            </w:r>
            <w:r>
              <w:rPr>
                <w:rFonts w:ascii="Times New Roman" w:cs="Times New Roman" w:eastAsia="Times New Roman" w:hAnsi="Times New Roman"/>
                <w:sz w:val="18"/>
                <w:szCs w:val="18"/>
                <w:color w:val="auto"/>
                <w:w w:val="99"/>
              </w:rPr>
              <w:t xml:space="preserve"> that</w:t>
            </w:r>
          </w:p>
        </w:tc>
      </w:tr>
      <w:tr>
        <w:trPr>
          <w:trHeight w:val="216"/>
        </w:trPr>
        <w:tc>
          <w:tcPr>
            <w:tcW w:w="2820" w:type="dxa"/>
            <w:vAlign w:val="bottom"/>
          </w:tcPr>
          <w:p>
            <w:pPr>
              <w:spacing w:after="0"/>
              <w:rPr>
                <w:sz w:val="18"/>
                <w:szCs w:val="18"/>
                <w:color w:val="auto"/>
              </w:rPr>
            </w:pPr>
          </w:p>
        </w:tc>
        <w:tc>
          <w:tcPr>
            <w:tcW w:w="842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if the calculation contained in clause (iii) above results in a negative number, the Daily Option Value for</w:t>
            </w:r>
          </w:p>
        </w:tc>
      </w:tr>
      <w:tr>
        <w:trPr>
          <w:trHeight w:val="234"/>
        </w:trPr>
        <w:tc>
          <w:tcPr>
            <w:tcW w:w="2820" w:type="dxa"/>
            <w:vAlign w:val="bottom"/>
          </w:tcPr>
          <w:p>
            <w:pPr>
              <w:spacing w:after="0"/>
              <w:rPr>
                <w:sz w:val="20"/>
                <w:szCs w:val="20"/>
                <w:color w:val="auto"/>
              </w:rPr>
            </w:pPr>
          </w:p>
        </w:tc>
        <w:tc>
          <w:tcPr>
            <w:tcW w:w="84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such Component shall be deemed to be zero. In no event will the Daily Option Value be less than zero.</w:t>
            </w:r>
          </w:p>
        </w:tc>
      </w:tr>
      <w:tr>
        <w:trPr>
          <w:trHeight w:val="414"/>
        </w:trPr>
        <w:tc>
          <w:tcPr>
            <w:tcW w:w="2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Valid Day:</w:t>
            </w:r>
          </w:p>
        </w:tc>
        <w:tc>
          <w:tcPr>
            <w:tcW w:w="84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A day on which (i) there is no Market Disruption Event and (ii) trading in the Shares generally occurs</w:t>
            </w:r>
          </w:p>
        </w:tc>
      </w:tr>
      <w:tr>
        <w:trPr>
          <w:trHeight w:val="212"/>
        </w:trPr>
        <w:tc>
          <w:tcPr>
            <w:tcW w:w="2820" w:type="dxa"/>
            <w:vAlign w:val="bottom"/>
          </w:tcPr>
          <w:p>
            <w:pPr>
              <w:spacing w:after="0"/>
              <w:rPr>
                <w:sz w:val="18"/>
                <w:szCs w:val="18"/>
                <w:color w:val="auto"/>
              </w:rPr>
            </w:pPr>
          </w:p>
        </w:tc>
        <w:tc>
          <w:tcPr>
            <w:tcW w:w="84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on the Exchange. If the Shares are not listed, quoted or traded on any U.S. securities exchange or any</w:t>
            </w:r>
          </w:p>
        </w:tc>
      </w:tr>
      <w:tr>
        <w:trPr>
          <w:trHeight w:val="238"/>
        </w:trPr>
        <w:tc>
          <w:tcPr>
            <w:tcW w:w="2820" w:type="dxa"/>
            <w:vAlign w:val="bottom"/>
          </w:tcPr>
          <w:p>
            <w:pPr>
              <w:spacing w:after="0"/>
              <w:rPr>
                <w:sz w:val="20"/>
                <w:szCs w:val="20"/>
                <w:color w:val="auto"/>
              </w:rPr>
            </w:pPr>
          </w:p>
        </w:tc>
        <w:tc>
          <w:tcPr>
            <w:tcW w:w="84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other market, “</w:t>
            </w:r>
            <w:r>
              <w:rPr>
                <w:rFonts w:ascii="Times New Roman" w:cs="Times New Roman" w:eastAsia="Times New Roman" w:hAnsi="Times New Roman"/>
                <w:sz w:val="18"/>
                <w:szCs w:val="18"/>
                <w:b w:val="1"/>
                <w:bCs w:val="1"/>
                <w:color w:val="auto"/>
              </w:rPr>
              <w:t>Valid Day</w:t>
            </w:r>
            <w:r>
              <w:rPr>
                <w:rFonts w:ascii="Times New Roman" w:cs="Times New Roman" w:eastAsia="Times New Roman" w:hAnsi="Times New Roman"/>
                <w:sz w:val="18"/>
                <w:szCs w:val="18"/>
                <w:color w:val="auto"/>
              </w:rPr>
              <w:t>” means a Business Day.</w:t>
            </w:r>
          </w:p>
        </w:tc>
      </w:tr>
      <w:tr>
        <w:trPr>
          <w:trHeight w:val="410"/>
        </w:trPr>
        <w:tc>
          <w:tcPr>
            <w:tcW w:w="2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Scheduled Valid Day:</w:t>
            </w:r>
          </w:p>
        </w:tc>
        <w:tc>
          <w:tcPr>
            <w:tcW w:w="84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A day that is scheduled to be a Valid Day on the Exchange. If the Shares are not listed, quoted or traded</w:t>
            </w:r>
          </w:p>
        </w:tc>
      </w:tr>
      <w:tr>
        <w:trPr>
          <w:trHeight w:val="238"/>
        </w:trPr>
        <w:tc>
          <w:tcPr>
            <w:tcW w:w="2820" w:type="dxa"/>
            <w:vAlign w:val="bottom"/>
          </w:tcPr>
          <w:p>
            <w:pPr>
              <w:spacing w:after="0"/>
              <w:rPr>
                <w:sz w:val="20"/>
                <w:szCs w:val="20"/>
                <w:color w:val="auto"/>
              </w:rPr>
            </w:pPr>
          </w:p>
        </w:tc>
        <w:tc>
          <w:tcPr>
            <w:tcW w:w="84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on any U.S. securities exchange or any other market, “</w:t>
            </w:r>
            <w:r>
              <w:rPr>
                <w:rFonts w:ascii="Times New Roman" w:cs="Times New Roman" w:eastAsia="Times New Roman" w:hAnsi="Times New Roman"/>
                <w:sz w:val="18"/>
                <w:szCs w:val="18"/>
                <w:b w:val="1"/>
                <w:bCs w:val="1"/>
                <w:color w:val="auto"/>
              </w:rPr>
              <w:t>Scheduled Valid Day</w:t>
            </w:r>
            <w:r>
              <w:rPr>
                <w:rFonts w:ascii="Times New Roman" w:cs="Times New Roman" w:eastAsia="Times New Roman" w:hAnsi="Times New Roman"/>
                <w:sz w:val="18"/>
                <w:szCs w:val="18"/>
                <w:color w:val="auto"/>
              </w:rPr>
              <w:t>” means a Business Day.</w:t>
            </w:r>
          </w:p>
        </w:tc>
      </w:tr>
      <w:tr>
        <w:trPr>
          <w:trHeight w:val="414"/>
        </w:trPr>
        <w:tc>
          <w:tcPr>
            <w:tcW w:w="2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Business Day:</w:t>
            </w:r>
          </w:p>
        </w:tc>
        <w:tc>
          <w:tcPr>
            <w:tcW w:w="84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Any day other than a Saturday, a Sunday or other day on which banking institutions are authorized or</w:t>
            </w:r>
          </w:p>
        </w:tc>
      </w:tr>
      <w:tr>
        <w:trPr>
          <w:trHeight w:val="234"/>
        </w:trPr>
        <w:tc>
          <w:tcPr>
            <w:tcW w:w="2820" w:type="dxa"/>
            <w:vAlign w:val="bottom"/>
          </w:tcPr>
          <w:p>
            <w:pPr>
              <w:spacing w:after="0"/>
              <w:rPr>
                <w:sz w:val="20"/>
                <w:szCs w:val="20"/>
                <w:color w:val="auto"/>
              </w:rPr>
            </w:pPr>
          </w:p>
        </w:tc>
        <w:tc>
          <w:tcPr>
            <w:tcW w:w="84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required by law, regulation or executive order to close or be closed in the State of New York.</w:t>
            </w:r>
          </w:p>
        </w:tc>
      </w:tr>
      <w:tr>
        <w:trPr>
          <w:trHeight w:val="557"/>
        </w:trPr>
        <w:tc>
          <w:tcPr>
            <w:tcW w:w="2820" w:type="dxa"/>
            <w:vAlign w:val="bottom"/>
          </w:tcPr>
          <w:p>
            <w:pPr>
              <w:spacing w:after="0"/>
              <w:rPr>
                <w:sz w:val="24"/>
                <w:szCs w:val="24"/>
                <w:color w:val="auto"/>
              </w:rPr>
            </w:pPr>
          </w:p>
        </w:tc>
        <w:tc>
          <w:tcPr>
            <w:tcW w:w="8420" w:type="dxa"/>
            <w:vAlign w:val="bottom"/>
          </w:tcPr>
          <w:p>
            <w:pPr>
              <w:ind w:left="2760"/>
              <w:spacing w:after="0"/>
              <w:rPr>
                <w:sz w:val="20"/>
                <w:szCs w:val="20"/>
                <w:color w:val="auto"/>
              </w:rPr>
            </w:pPr>
            <w:r>
              <w:rPr>
                <w:rFonts w:ascii="Times New Roman" w:cs="Times New Roman" w:eastAsia="Times New Roman" w:hAnsi="Times New Roman"/>
                <w:sz w:val="14"/>
                <w:szCs w:val="14"/>
                <w:color w:val="auto"/>
              </w:rPr>
              <w:t>6</w:t>
            </w:r>
          </w:p>
        </w:tc>
      </w:tr>
      <w:tr>
        <w:trPr>
          <w:trHeight w:val="44"/>
        </w:trPr>
        <w:tc>
          <w:tcPr>
            <w:tcW w:w="2820" w:type="dxa"/>
            <w:vAlign w:val="bottom"/>
            <w:tcBorders>
              <w:bottom w:val="single" w:sz="8" w:color="auto"/>
            </w:tcBorders>
          </w:tcPr>
          <w:p>
            <w:pPr>
              <w:spacing w:after="0"/>
              <w:rPr>
                <w:sz w:val="3"/>
                <w:szCs w:val="3"/>
                <w:color w:val="auto"/>
              </w:rPr>
            </w:pPr>
          </w:p>
        </w:tc>
        <w:tc>
          <w:tcPr>
            <w:tcW w:w="842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21" w:right="339" w:bottom="1440" w:gutter="0" w:footer="0" w:header="0"/>
        </w:sectPr>
      </w:pPr>
    </w:p>
    <w:bookmarkStart w:id="125" w:name="page126"/>
    <w:bookmarkEnd w:id="1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Relevant Price:</w:t>
            </w:r>
          </w:p>
        </w:tc>
        <w:tc>
          <w:tcPr>
            <w:tcW w:w="8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On any Valid Day, the per Share volume-weighted average price as displayed under the heading</w:t>
            </w:r>
          </w:p>
        </w:tc>
        <w:tc>
          <w:tcPr>
            <w:tcW w:w="0" w:type="dxa"/>
            <w:vAlign w:val="bottom"/>
          </w:tcPr>
          <w:p>
            <w:pPr>
              <w:spacing w:after="0"/>
              <w:rPr>
                <w:sz w:val="1"/>
                <w:szCs w:val="1"/>
                <w:color w:val="auto"/>
              </w:rPr>
            </w:pPr>
          </w:p>
        </w:tc>
      </w:tr>
      <w:tr>
        <w:trPr>
          <w:trHeight w:val="212"/>
        </w:trPr>
        <w:tc>
          <w:tcPr>
            <w:tcW w:w="3180" w:type="dxa"/>
            <w:vAlign w:val="bottom"/>
          </w:tcPr>
          <w:p>
            <w:pPr>
              <w:spacing w:after="0"/>
              <w:rPr>
                <w:sz w:val="18"/>
                <w:szCs w:val="18"/>
                <w:color w:val="auto"/>
              </w:rPr>
            </w:pPr>
          </w:p>
        </w:tc>
        <w:tc>
          <w:tcPr>
            <w:tcW w:w="8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“Bloomberg VWAP” on Bloomberg page “IREN &lt;equity&gt; AQR” (or its equivalent successor if such</w:t>
            </w:r>
          </w:p>
        </w:tc>
        <w:tc>
          <w:tcPr>
            <w:tcW w:w="0" w:type="dxa"/>
            <w:vAlign w:val="bottom"/>
          </w:tcPr>
          <w:p>
            <w:pPr>
              <w:spacing w:after="0"/>
              <w:rPr>
                <w:sz w:val="1"/>
                <w:szCs w:val="1"/>
                <w:color w:val="auto"/>
              </w:rPr>
            </w:pPr>
          </w:p>
        </w:tc>
      </w:tr>
      <w:tr>
        <w:trPr>
          <w:trHeight w:val="220"/>
        </w:trPr>
        <w:tc>
          <w:tcPr>
            <w:tcW w:w="3180" w:type="dxa"/>
            <w:vAlign w:val="bottom"/>
          </w:tcPr>
          <w:p>
            <w:pPr>
              <w:spacing w:after="0"/>
              <w:rPr>
                <w:sz w:val="19"/>
                <w:szCs w:val="19"/>
                <w:color w:val="auto"/>
              </w:rPr>
            </w:pPr>
          </w:p>
        </w:tc>
        <w:tc>
          <w:tcPr>
            <w:tcW w:w="8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page is not available) (the “</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in respect of the period from the scheduled open of trading until</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8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the scheduled close of trading of the primary trading session on such Valid Day (or if such volume-</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8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weighted average price is unavailable at such time or is, in the Calculation Agent’s commercially</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8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reasonable discretion, manifestly erroneous, the market value of one Share on such Valid Day, as</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8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determined by the Calculation Agent in a good faith and commercially reasonable manner using, if</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8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practicable, a volume-weighted average method substantially similar to the method for determining the</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8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VWAP). The Relevant Price will be determined without regard to after-hours trading or any other</w:t>
            </w:r>
          </w:p>
        </w:tc>
        <w:tc>
          <w:tcPr>
            <w:tcW w:w="0" w:type="dxa"/>
            <w:vAlign w:val="bottom"/>
          </w:tcPr>
          <w:p>
            <w:pPr>
              <w:spacing w:after="0"/>
              <w:rPr>
                <w:sz w:val="1"/>
                <w:szCs w:val="1"/>
                <w:color w:val="auto"/>
              </w:rPr>
            </w:pPr>
          </w:p>
        </w:tc>
      </w:tr>
      <w:tr>
        <w:trPr>
          <w:trHeight w:val="234"/>
        </w:trPr>
        <w:tc>
          <w:tcPr>
            <w:tcW w:w="3180" w:type="dxa"/>
            <w:vAlign w:val="bottom"/>
          </w:tcPr>
          <w:p>
            <w:pPr>
              <w:spacing w:after="0"/>
              <w:rPr>
                <w:sz w:val="20"/>
                <w:szCs w:val="20"/>
                <w:color w:val="auto"/>
              </w:rPr>
            </w:pPr>
          </w:p>
        </w:tc>
        <w:tc>
          <w:tcPr>
            <w:tcW w:w="8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trading outside of the regular trading session trading hours.</w:t>
            </w:r>
          </w:p>
        </w:tc>
        <w:tc>
          <w:tcPr>
            <w:tcW w:w="0" w:type="dxa"/>
            <w:vAlign w:val="bottom"/>
          </w:tcPr>
          <w:p>
            <w:pPr>
              <w:spacing w:after="0"/>
              <w:rPr>
                <w:sz w:val="1"/>
                <w:szCs w:val="1"/>
                <w:color w:val="auto"/>
              </w:rPr>
            </w:pPr>
          </w:p>
        </w:tc>
      </w:tr>
      <w:tr>
        <w:trPr>
          <w:trHeight w:val="414"/>
        </w:trPr>
        <w:tc>
          <w:tcPr>
            <w:tcW w:w="3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Settlement Date:</w:t>
            </w:r>
          </w:p>
        </w:tc>
        <w:tc>
          <w:tcPr>
            <w:tcW w:w="8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For all Components of the Transaction, the date one Settlement Cycle immediately following the</w:t>
            </w:r>
          </w:p>
        </w:tc>
        <w:tc>
          <w:tcPr>
            <w:tcW w:w="0" w:type="dxa"/>
            <w:vAlign w:val="bottom"/>
          </w:tcPr>
          <w:p>
            <w:pPr>
              <w:spacing w:after="0"/>
              <w:rPr>
                <w:sz w:val="1"/>
                <w:szCs w:val="1"/>
                <w:color w:val="auto"/>
              </w:rPr>
            </w:pPr>
          </w:p>
        </w:tc>
      </w:tr>
      <w:tr>
        <w:trPr>
          <w:trHeight w:val="234"/>
        </w:trPr>
        <w:tc>
          <w:tcPr>
            <w:tcW w:w="3180" w:type="dxa"/>
            <w:vAlign w:val="bottom"/>
          </w:tcPr>
          <w:p>
            <w:pPr>
              <w:spacing w:after="0"/>
              <w:rPr>
                <w:sz w:val="20"/>
                <w:szCs w:val="20"/>
                <w:color w:val="auto"/>
              </w:rPr>
            </w:pPr>
          </w:p>
        </w:tc>
        <w:tc>
          <w:tcPr>
            <w:tcW w:w="8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Expiration Date for the Component with the latest Expiration Date.</w:t>
            </w:r>
          </w:p>
        </w:tc>
        <w:tc>
          <w:tcPr>
            <w:tcW w:w="0" w:type="dxa"/>
            <w:vAlign w:val="bottom"/>
          </w:tcPr>
          <w:p>
            <w:pPr>
              <w:spacing w:after="0"/>
              <w:rPr>
                <w:sz w:val="1"/>
                <w:szCs w:val="1"/>
                <w:color w:val="auto"/>
              </w:rPr>
            </w:pPr>
          </w:p>
        </w:tc>
      </w:tr>
      <w:tr>
        <w:trPr>
          <w:trHeight w:val="432"/>
        </w:trPr>
        <w:tc>
          <w:tcPr>
            <w:tcW w:w="3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Settlement Currency:</w:t>
            </w:r>
          </w:p>
        </w:tc>
        <w:tc>
          <w:tcPr>
            <w:tcW w:w="8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USD</w:t>
            </w:r>
          </w:p>
        </w:tc>
        <w:tc>
          <w:tcPr>
            <w:tcW w:w="0" w:type="dxa"/>
            <w:vAlign w:val="bottom"/>
          </w:tcPr>
          <w:p>
            <w:pPr>
              <w:spacing w:after="0"/>
              <w:rPr>
                <w:sz w:val="1"/>
                <w:szCs w:val="1"/>
                <w:color w:val="auto"/>
              </w:rPr>
            </w:pPr>
          </w:p>
        </w:tc>
      </w:tr>
      <w:tr>
        <w:trPr>
          <w:trHeight w:val="414"/>
        </w:trPr>
        <w:tc>
          <w:tcPr>
            <w:tcW w:w="3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Applicable Provisions:</w:t>
            </w:r>
          </w:p>
        </w:tc>
        <w:tc>
          <w:tcPr>
            <w:tcW w:w="8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The provisions of Sections 9.1(c), 9.8, 9.9, 9.11 and 9.12 of the Equity Definitions will be applicable,</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8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except that all references in such provisions to “Physical Settlement” shall be read as references to “Net</w:t>
            </w:r>
          </w:p>
        </w:tc>
        <w:tc>
          <w:tcPr>
            <w:tcW w:w="0" w:type="dxa"/>
            <w:vAlign w:val="bottom"/>
          </w:tcPr>
          <w:p>
            <w:pPr>
              <w:spacing w:after="0"/>
              <w:rPr>
                <w:sz w:val="1"/>
                <w:szCs w:val="1"/>
                <w:color w:val="auto"/>
              </w:rPr>
            </w:pPr>
          </w:p>
        </w:tc>
      </w:tr>
      <w:tr>
        <w:trPr>
          <w:trHeight w:val="234"/>
        </w:trPr>
        <w:tc>
          <w:tcPr>
            <w:tcW w:w="3180" w:type="dxa"/>
            <w:vAlign w:val="bottom"/>
          </w:tcPr>
          <w:p>
            <w:pPr>
              <w:spacing w:after="0"/>
              <w:rPr>
                <w:sz w:val="20"/>
                <w:szCs w:val="20"/>
                <w:color w:val="auto"/>
              </w:rPr>
            </w:pPr>
          </w:p>
        </w:tc>
        <w:tc>
          <w:tcPr>
            <w:tcW w:w="8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Share Settlement.”</w:t>
            </w:r>
          </w:p>
        </w:tc>
        <w:tc>
          <w:tcPr>
            <w:tcW w:w="0" w:type="dxa"/>
            <w:vAlign w:val="bottom"/>
          </w:tcPr>
          <w:p>
            <w:pPr>
              <w:spacing w:after="0"/>
              <w:rPr>
                <w:sz w:val="1"/>
                <w:szCs w:val="1"/>
                <w:color w:val="auto"/>
              </w:rPr>
            </w:pPr>
          </w:p>
        </w:tc>
      </w:tr>
      <w:tr>
        <w:trPr>
          <w:trHeight w:val="414"/>
        </w:trPr>
        <w:tc>
          <w:tcPr>
            <w:tcW w:w="3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Representation and Agreement:</w:t>
            </w:r>
          </w:p>
        </w:tc>
        <w:tc>
          <w:tcPr>
            <w:tcW w:w="8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Notwithstanding anything to the contrary in the Equity Definitions (including, but not limited to,</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8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9.11 thereof), the parties acknowledge that (i) any Shares delivered to Counterparty shall be,</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8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upon delivery, subject to restrictions, obligations and limitations arising from Counterparty’s status as</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8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issuer of the Shares under applicable securities laws, (ii) Dealer may deliver any Shares required to be</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8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delivered hereunder in certificated form in lieu of delivery through the Clearance System and (iii) any</w:t>
            </w:r>
          </w:p>
        </w:tc>
        <w:tc>
          <w:tcPr>
            <w:tcW w:w="0" w:type="dxa"/>
            <w:vAlign w:val="bottom"/>
          </w:tcPr>
          <w:p>
            <w:pPr>
              <w:spacing w:after="0"/>
              <w:rPr>
                <w:sz w:val="1"/>
                <w:szCs w:val="1"/>
                <w:color w:val="auto"/>
              </w:rPr>
            </w:pPr>
          </w:p>
        </w:tc>
      </w:tr>
      <w:tr>
        <w:trPr>
          <w:trHeight w:val="212"/>
        </w:trPr>
        <w:tc>
          <w:tcPr>
            <w:tcW w:w="3180" w:type="dxa"/>
            <w:vAlign w:val="bottom"/>
          </w:tcPr>
          <w:p>
            <w:pPr>
              <w:spacing w:after="0"/>
              <w:rPr>
                <w:sz w:val="18"/>
                <w:szCs w:val="18"/>
                <w:color w:val="auto"/>
              </w:rPr>
            </w:pPr>
          </w:p>
        </w:tc>
        <w:tc>
          <w:tcPr>
            <w:tcW w:w="8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Shares delivered to Counterparty may be “restricted securities” (as defined in Rule 144 under the</w:t>
            </w:r>
          </w:p>
        </w:tc>
        <w:tc>
          <w:tcPr>
            <w:tcW w:w="0" w:type="dxa"/>
            <w:vAlign w:val="bottom"/>
          </w:tcPr>
          <w:p>
            <w:pPr>
              <w:spacing w:after="0"/>
              <w:rPr>
                <w:sz w:val="1"/>
                <w:szCs w:val="1"/>
                <w:color w:val="auto"/>
              </w:rPr>
            </w:pPr>
          </w:p>
        </w:tc>
      </w:tr>
      <w:tr>
        <w:trPr>
          <w:trHeight w:val="238"/>
        </w:trPr>
        <w:tc>
          <w:tcPr>
            <w:tcW w:w="3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Adjustments:</w:t>
            </w:r>
          </w:p>
        </w:tc>
        <w:tc>
          <w:tcPr>
            <w:tcW w:w="8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180" w:type="dxa"/>
            <w:vAlign w:val="bottom"/>
            <w:vMerge w:val="continue"/>
          </w:tcPr>
          <w:p>
            <w:pPr>
              <w:spacing w:after="0"/>
              <w:rPr>
                <w:sz w:val="17"/>
                <w:szCs w:val="17"/>
                <w:color w:val="auto"/>
              </w:rPr>
            </w:pPr>
          </w:p>
        </w:tc>
        <w:tc>
          <w:tcPr>
            <w:tcW w:w="8060" w:type="dxa"/>
            <w:vAlign w:val="bottom"/>
            <w:vMerge w:val="restart"/>
          </w:tcPr>
          <w:p>
            <w:pPr>
              <w:ind w:left="540"/>
              <w:spacing w:after="0"/>
              <w:rPr>
                <w:sz w:val="20"/>
                <w:szCs w:val="20"/>
                <w:color w:val="auto"/>
              </w:rPr>
            </w:pPr>
            <w:r>
              <w:rPr>
                <w:rFonts w:ascii="Times New Roman" w:cs="Times New Roman" w:eastAsia="Times New Roman" w:hAnsi="Times New Roman"/>
                <w:sz w:val="18"/>
                <w:szCs w:val="18"/>
                <w:color w:val="auto"/>
                <w:w w:val="99"/>
              </w:rPr>
              <w:t xml:space="preserve">Calculation Agent Adjustment; </w:t>
            </w:r>
            <w:r>
              <w:rPr>
                <w:rFonts w:ascii="Times New Roman" w:cs="Times New Roman" w:eastAsia="Times New Roman" w:hAnsi="Times New Roman"/>
                <w:sz w:val="18"/>
                <w:szCs w:val="18"/>
                <w:i w:val="1"/>
                <w:iCs w:val="1"/>
                <w:color w:val="auto"/>
                <w:w w:val="99"/>
              </w:rPr>
              <w:t>provided</w:t>
            </w:r>
            <w:r>
              <w:rPr>
                <w:rFonts w:ascii="Times New Roman" w:cs="Times New Roman" w:eastAsia="Times New Roman" w:hAnsi="Times New Roman"/>
                <w:sz w:val="18"/>
                <w:szCs w:val="18"/>
                <w:color w:val="auto"/>
                <w:w w:val="99"/>
              </w:rPr>
              <w:t xml:space="preserve"> that the parties agree that (x) open market Share repurchases at</w:t>
            </w:r>
          </w:p>
        </w:tc>
        <w:tc>
          <w:tcPr>
            <w:tcW w:w="0" w:type="dxa"/>
            <w:vAlign w:val="bottom"/>
          </w:tcPr>
          <w:p>
            <w:pPr>
              <w:spacing w:after="0"/>
              <w:rPr>
                <w:sz w:val="1"/>
                <w:szCs w:val="1"/>
                <w:color w:val="auto"/>
              </w:rPr>
            </w:pPr>
          </w:p>
        </w:tc>
      </w:tr>
      <w:tr>
        <w:trPr>
          <w:trHeight w:val="216"/>
        </w:trPr>
        <w:tc>
          <w:tcPr>
            <w:tcW w:w="3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Method of Adjustment:</w:t>
            </w: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8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prevailing market prices and (y) Share repurchases through a dealer pursuant to accelerated share</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8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repurchases, forward contracts or similar transactions (including, without limitation, any discount to</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8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average VWAP prices) that are entered into at prevailing market prices, in a commercially reasonable</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8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manner, and in accordance with customary market terms for transactions of such type to repurchase the</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8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Shares shall not be considered Potential Adjustment Events so long as, in the case of each of clause (x)</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8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and clause (y), after giving effect to such repurchase or transaction, the aggregate number of Shares</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8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repurchased during the term of the Transaction pursuant to all such transactions described in clause (x)</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8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and clause (y) would not exceed 20% of the number of Shares outstanding as of the Trade Date, as</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8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determined by the Calculation Agent and as adjusted by the Calculation Agent to account for any</w:t>
            </w:r>
          </w:p>
        </w:tc>
        <w:tc>
          <w:tcPr>
            <w:tcW w:w="0" w:type="dxa"/>
            <w:vAlign w:val="bottom"/>
          </w:tcPr>
          <w:p>
            <w:pPr>
              <w:spacing w:after="0"/>
              <w:rPr>
                <w:sz w:val="1"/>
                <w:szCs w:val="1"/>
                <w:color w:val="auto"/>
              </w:rPr>
            </w:pPr>
          </w:p>
        </w:tc>
      </w:tr>
      <w:tr>
        <w:trPr>
          <w:trHeight w:val="234"/>
        </w:trPr>
        <w:tc>
          <w:tcPr>
            <w:tcW w:w="3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Extraordinary Events:</w:t>
            </w:r>
          </w:p>
        </w:tc>
        <w:tc>
          <w:tcPr>
            <w:tcW w:w="8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subdivision or combination with respect to the Shares.</w:t>
            </w:r>
          </w:p>
        </w:tc>
        <w:tc>
          <w:tcPr>
            <w:tcW w:w="0" w:type="dxa"/>
            <w:vAlign w:val="bottom"/>
          </w:tcPr>
          <w:p>
            <w:pPr>
              <w:spacing w:after="0"/>
              <w:rPr>
                <w:sz w:val="1"/>
                <w:szCs w:val="1"/>
                <w:color w:val="auto"/>
              </w:rPr>
            </w:pPr>
          </w:p>
        </w:tc>
      </w:tr>
      <w:tr>
        <w:trPr>
          <w:trHeight w:val="198"/>
        </w:trPr>
        <w:tc>
          <w:tcPr>
            <w:tcW w:w="3180" w:type="dxa"/>
            <w:vAlign w:val="bottom"/>
            <w:vMerge w:val="continue"/>
          </w:tcPr>
          <w:p>
            <w:pPr>
              <w:spacing w:after="0"/>
              <w:rPr>
                <w:sz w:val="17"/>
                <w:szCs w:val="17"/>
                <w:color w:val="auto"/>
              </w:rPr>
            </w:pPr>
          </w:p>
        </w:tc>
        <w:tc>
          <w:tcPr>
            <w:tcW w:w="8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New Shares:</w:t>
            </w:r>
          </w:p>
        </w:tc>
        <w:tc>
          <w:tcPr>
            <w:tcW w:w="8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 the definition of New Shares in Section 12.1(i) of the Equity Definitions, (a) the text in clause (i)</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8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thereof shall be deleted in its entirety and replaced with “publicly quoted, traded or listed on any of The</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8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New York Stock Exchange, The Nasdaq Global Market or The Nasdaq Global Select Market (or their</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8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respective successors),” and (b) the following phrase shall be inserted immediately prior to the period:</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8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“and (iii) of a public company limited by shares incorporated under the laws of Australia or of a</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8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corporation organized under the laws of the United States, any State thereof or the District of Columbia,</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8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 each case, that (x) also becomes Counterparty under the Transaction or (y) agrees to be subject to</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8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Sections 8(d) and 8(e) of the Confirmation governing the Transaction, in either case, following such</w:t>
            </w:r>
          </w:p>
        </w:tc>
        <w:tc>
          <w:tcPr>
            <w:tcW w:w="0" w:type="dxa"/>
            <w:vAlign w:val="bottom"/>
          </w:tcPr>
          <w:p>
            <w:pPr>
              <w:spacing w:after="0"/>
              <w:rPr>
                <w:sz w:val="1"/>
                <w:szCs w:val="1"/>
                <w:color w:val="auto"/>
              </w:rPr>
            </w:pPr>
          </w:p>
        </w:tc>
      </w:tr>
      <w:tr>
        <w:trPr>
          <w:trHeight w:val="234"/>
        </w:trPr>
        <w:tc>
          <w:tcPr>
            <w:tcW w:w="3180" w:type="dxa"/>
            <w:vAlign w:val="bottom"/>
          </w:tcPr>
          <w:p>
            <w:pPr>
              <w:spacing w:after="0"/>
              <w:rPr>
                <w:sz w:val="20"/>
                <w:szCs w:val="20"/>
                <w:color w:val="auto"/>
              </w:rPr>
            </w:pPr>
          </w:p>
        </w:tc>
        <w:tc>
          <w:tcPr>
            <w:tcW w:w="8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Merger Event or Tender Offer”.</w:t>
            </w:r>
          </w:p>
        </w:tc>
        <w:tc>
          <w:tcPr>
            <w:tcW w:w="0" w:type="dxa"/>
            <w:vAlign w:val="bottom"/>
          </w:tcPr>
          <w:p>
            <w:pPr>
              <w:spacing w:after="0"/>
              <w:rPr>
                <w:sz w:val="1"/>
                <w:szCs w:val="1"/>
                <w:color w:val="auto"/>
              </w:rPr>
            </w:pPr>
          </w:p>
        </w:tc>
      </w:tr>
      <w:tr>
        <w:trPr>
          <w:trHeight w:val="557"/>
        </w:trPr>
        <w:tc>
          <w:tcPr>
            <w:tcW w:w="3180" w:type="dxa"/>
            <w:vAlign w:val="bottom"/>
          </w:tcPr>
          <w:p>
            <w:pPr>
              <w:spacing w:after="0"/>
              <w:rPr>
                <w:sz w:val="24"/>
                <w:szCs w:val="24"/>
                <w:color w:val="auto"/>
              </w:rPr>
            </w:pPr>
          </w:p>
        </w:tc>
        <w:tc>
          <w:tcPr>
            <w:tcW w:w="8060" w:type="dxa"/>
            <w:vAlign w:val="bottom"/>
          </w:tcPr>
          <w:p>
            <w:pPr>
              <w:ind w:left="240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44"/>
        </w:trPr>
        <w:tc>
          <w:tcPr>
            <w:tcW w:w="3180" w:type="dxa"/>
            <w:vAlign w:val="bottom"/>
            <w:tcBorders>
              <w:bottom w:val="single" w:sz="8" w:color="auto"/>
            </w:tcBorders>
          </w:tcPr>
          <w:p>
            <w:pPr>
              <w:spacing w:after="0"/>
              <w:rPr>
                <w:sz w:val="3"/>
                <w:szCs w:val="3"/>
                <w:color w:val="auto"/>
              </w:rPr>
            </w:pPr>
          </w:p>
        </w:tc>
        <w:tc>
          <w:tcPr>
            <w:tcW w:w="8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26" w:name="page127"/>
    <w:bookmarkEnd w:id="1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Merger Events:</w:t>
            </w:r>
          </w:p>
        </w:tc>
        <w:tc>
          <w:tcPr>
            <w:tcW w:w="8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Applicable</w:t>
            </w:r>
          </w:p>
        </w:tc>
      </w:tr>
      <w:tr>
        <w:trPr>
          <w:trHeight w:val="432"/>
        </w:trPr>
        <w:tc>
          <w:tcPr>
            <w:tcW w:w="3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Consequences of Merger Events:</w:t>
            </w:r>
          </w:p>
        </w:tc>
        <w:tc>
          <w:tcPr>
            <w:tcW w:w="8020" w:type="dxa"/>
            <w:vAlign w:val="bottom"/>
          </w:tcPr>
          <w:p>
            <w:pPr>
              <w:spacing w:after="0"/>
              <w:rPr>
                <w:sz w:val="24"/>
                <w:szCs w:val="24"/>
                <w:color w:val="auto"/>
              </w:rPr>
            </w:pPr>
          </w:p>
        </w:tc>
      </w:tr>
      <w:tr>
        <w:trPr>
          <w:trHeight w:val="432"/>
        </w:trPr>
        <w:tc>
          <w:tcPr>
            <w:tcW w:w="3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  Share-for-Share:</w:t>
            </w:r>
          </w:p>
        </w:tc>
        <w:tc>
          <w:tcPr>
            <w:tcW w:w="8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Modified Calculation Agent Adjustment</w:t>
            </w:r>
          </w:p>
        </w:tc>
      </w:tr>
      <w:tr>
        <w:trPr>
          <w:trHeight w:val="432"/>
        </w:trPr>
        <w:tc>
          <w:tcPr>
            <w:tcW w:w="3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  Share-for-Other:</w:t>
            </w:r>
          </w:p>
        </w:tc>
        <w:tc>
          <w:tcPr>
            <w:tcW w:w="8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Cancellation and Payment (Calculation Agent Determination)</w:t>
            </w:r>
          </w:p>
        </w:tc>
      </w:tr>
      <w:tr>
        <w:trPr>
          <w:trHeight w:val="414"/>
        </w:trPr>
        <w:tc>
          <w:tcPr>
            <w:tcW w:w="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Share-for-Combined:</w:t>
            </w:r>
          </w:p>
        </w:tc>
        <w:tc>
          <w:tcPr>
            <w:tcW w:w="8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xml:space="preserve">Cancellation and Payment (Calculation Agent Determination);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Calculation Agent may</w:t>
            </w:r>
          </w:p>
        </w:tc>
      </w:tr>
      <w:tr>
        <w:trPr>
          <w:trHeight w:val="234"/>
        </w:trPr>
        <w:tc>
          <w:tcPr>
            <w:tcW w:w="6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8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elect Component Adjustment for all or part of the Transaction</w:t>
            </w:r>
          </w:p>
        </w:tc>
      </w:tr>
      <w:tr>
        <w:trPr>
          <w:trHeight w:val="414"/>
        </w:trPr>
        <w:tc>
          <w:tcPr>
            <w:tcW w:w="3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Tender Offer:</w:t>
            </w:r>
          </w:p>
        </w:tc>
        <w:tc>
          <w:tcPr>
            <w:tcW w:w="8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xml:space="preserve">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definition of “Tender Offer” in Section 12.1(d) of the Equity Definitions</w:t>
            </w:r>
          </w:p>
        </w:tc>
      </w:tr>
      <w:tr>
        <w:trPr>
          <w:trHeight w:val="216"/>
        </w:trPr>
        <w:tc>
          <w:tcPr>
            <w:tcW w:w="6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8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will be amended by replacing the phrase “greater than 10% and less than 100% of the outstanding</w:t>
            </w:r>
          </w:p>
        </w:tc>
      </w:tr>
      <w:tr>
        <w:trPr>
          <w:trHeight w:val="216"/>
        </w:trPr>
        <w:tc>
          <w:tcPr>
            <w:tcW w:w="6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8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voting shares of the Issuer” in the third and fourth line thereof with “greater than 20% and less than</w:t>
            </w:r>
          </w:p>
        </w:tc>
      </w:tr>
      <w:tr>
        <w:trPr>
          <w:trHeight w:val="216"/>
        </w:trPr>
        <w:tc>
          <w:tcPr>
            <w:tcW w:w="6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8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100% of the outstanding Shares of Counterparty”. In addition, Section 12.1(e) of the Equity Definitions</w:t>
            </w:r>
          </w:p>
        </w:tc>
      </w:tr>
      <w:tr>
        <w:trPr>
          <w:trHeight w:val="216"/>
        </w:trPr>
        <w:tc>
          <w:tcPr>
            <w:tcW w:w="6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802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shall be amended by replacing “voting shares” in the first line thereof with “Shares”, and Section 12.1(l)</w:t>
            </w:r>
          </w:p>
        </w:tc>
      </w:tr>
      <w:tr>
        <w:trPr>
          <w:trHeight w:val="216"/>
        </w:trPr>
        <w:tc>
          <w:tcPr>
            <w:tcW w:w="6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8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of the Equity Definitions shall be amended by replacing “voting shares” in the fifth line thereof with</w:t>
            </w:r>
          </w:p>
        </w:tc>
      </w:tr>
      <w:tr>
        <w:trPr>
          <w:trHeight w:val="234"/>
        </w:trPr>
        <w:tc>
          <w:tcPr>
            <w:tcW w:w="6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8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“Shares”.</w:t>
            </w:r>
          </w:p>
        </w:tc>
      </w:tr>
      <w:tr>
        <w:trPr>
          <w:trHeight w:val="432"/>
        </w:trPr>
        <w:tc>
          <w:tcPr>
            <w:tcW w:w="3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Consequences of Tender Offers:</w:t>
            </w:r>
          </w:p>
        </w:tc>
        <w:tc>
          <w:tcPr>
            <w:tcW w:w="8020" w:type="dxa"/>
            <w:vAlign w:val="bottom"/>
          </w:tcPr>
          <w:p>
            <w:pPr>
              <w:spacing w:after="0"/>
              <w:rPr>
                <w:sz w:val="24"/>
                <w:szCs w:val="24"/>
                <w:color w:val="auto"/>
              </w:rPr>
            </w:pPr>
          </w:p>
        </w:tc>
      </w:tr>
      <w:tr>
        <w:trPr>
          <w:trHeight w:val="432"/>
        </w:trPr>
        <w:tc>
          <w:tcPr>
            <w:tcW w:w="3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  Share-for-Share:</w:t>
            </w:r>
          </w:p>
        </w:tc>
        <w:tc>
          <w:tcPr>
            <w:tcW w:w="8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Modified Calculation Agent Adjustment</w:t>
            </w:r>
          </w:p>
        </w:tc>
      </w:tr>
      <w:tr>
        <w:trPr>
          <w:trHeight w:val="432"/>
        </w:trPr>
        <w:tc>
          <w:tcPr>
            <w:tcW w:w="3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  Share-for-Other:</w:t>
            </w:r>
          </w:p>
        </w:tc>
        <w:tc>
          <w:tcPr>
            <w:tcW w:w="8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Modified Calculation Agent Adjustment</w:t>
            </w:r>
          </w:p>
        </w:tc>
      </w:tr>
      <w:tr>
        <w:trPr>
          <w:trHeight w:val="432"/>
        </w:trPr>
        <w:tc>
          <w:tcPr>
            <w:tcW w:w="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Share-for-Combined:</w:t>
            </w:r>
          </w:p>
        </w:tc>
        <w:tc>
          <w:tcPr>
            <w:tcW w:w="8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Modified Calculation Agent Adjustment</w:t>
            </w:r>
          </w:p>
        </w:tc>
      </w:tr>
      <w:tr>
        <w:trPr>
          <w:trHeight w:val="557"/>
        </w:trPr>
        <w:tc>
          <w:tcPr>
            <w:tcW w:w="6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8020" w:type="dxa"/>
            <w:vAlign w:val="bottom"/>
          </w:tcPr>
          <w:p>
            <w:pPr>
              <w:ind w:left="2360"/>
              <w:spacing w:after="0"/>
              <w:rPr>
                <w:sz w:val="20"/>
                <w:szCs w:val="20"/>
                <w:color w:val="auto"/>
              </w:rPr>
            </w:pPr>
            <w:r>
              <w:rPr>
                <w:rFonts w:ascii="Times New Roman" w:cs="Times New Roman" w:eastAsia="Times New Roman" w:hAnsi="Times New Roman"/>
                <w:sz w:val="14"/>
                <w:szCs w:val="14"/>
                <w:color w:val="auto"/>
              </w:rPr>
              <w:t>8</w:t>
            </w:r>
          </w:p>
        </w:tc>
      </w:tr>
      <w:tr>
        <w:trPr>
          <w:trHeight w:val="44"/>
        </w:trPr>
        <w:tc>
          <w:tcPr>
            <w:tcW w:w="620" w:type="dxa"/>
            <w:vAlign w:val="bottom"/>
            <w:tcBorders>
              <w:bottom w:val="single" w:sz="8" w:color="auto"/>
            </w:tcBorders>
          </w:tcPr>
          <w:p>
            <w:pPr>
              <w:spacing w:after="0"/>
              <w:rPr>
                <w:sz w:val="3"/>
                <w:szCs w:val="3"/>
                <w:color w:val="auto"/>
              </w:rPr>
            </w:pPr>
          </w:p>
        </w:tc>
        <w:tc>
          <w:tcPr>
            <w:tcW w:w="2600" w:type="dxa"/>
            <w:vAlign w:val="bottom"/>
            <w:tcBorders>
              <w:bottom w:val="single" w:sz="8" w:color="auto"/>
            </w:tcBorders>
          </w:tcPr>
          <w:p>
            <w:pPr>
              <w:spacing w:after="0"/>
              <w:rPr>
                <w:sz w:val="3"/>
                <w:szCs w:val="3"/>
                <w:color w:val="auto"/>
              </w:rPr>
            </w:pPr>
          </w:p>
        </w:tc>
        <w:tc>
          <w:tcPr>
            <w:tcW w:w="802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21" w:right="339" w:bottom="1440" w:gutter="0" w:footer="0" w:header="0"/>
        </w:sectPr>
      </w:pPr>
    </w:p>
    <w:bookmarkStart w:id="127" w:name="page128"/>
    <w:bookmarkEnd w:id="1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Consequences of Announcement Events:</w:t>
            </w: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Modified Calculation Agent Adjustment as set forth in Section 12.3(d) of the Equity Definitions;</w:t>
            </w:r>
          </w:p>
        </w:tc>
      </w:tr>
      <w:tr>
        <w:trPr>
          <w:trHeight w:val="218"/>
        </w:trPr>
        <w:tc>
          <w:tcPr>
            <w:tcW w:w="3500" w:type="dxa"/>
            <w:vAlign w:val="bottom"/>
          </w:tcPr>
          <w:p>
            <w:pPr>
              <w:spacing w:after="0"/>
              <w:rPr>
                <w:sz w:val="18"/>
                <w:szCs w:val="18"/>
                <w:color w:val="auto"/>
              </w:rPr>
            </w:pP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in respect of an Announcement Event, (x) references to “Tender Offer” shall be replaced</w:t>
            </w:r>
          </w:p>
        </w:tc>
      </w:tr>
      <w:tr>
        <w:trPr>
          <w:trHeight w:val="216"/>
        </w:trPr>
        <w:tc>
          <w:tcPr>
            <w:tcW w:w="3500" w:type="dxa"/>
            <w:vAlign w:val="bottom"/>
          </w:tcPr>
          <w:p>
            <w:pPr>
              <w:spacing w:after="0"/>
              <w:rPr>
                <w:sz w:val="18"/>
                <w:szCs w:val="18"/>
                <w:color w:val="auto"/>
              </w:rPr>
            </w:pP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 references to “Announcement Event” and references to “Tender Offer Date” shall be replaced by</w:t>
            </w:r>
          </w:p>
        </w:tc>
      </w:tr>
      <w:tr>
        <w:trPr>
          <w:trHeight w:val="216"/>
        </w:trPr>
        <w:tc>
          <w:tcPr>
            <w:tcW w:w="3500" w:type="dxa"/>
            <w:vAlign w:val="bottom"/>
          </w:tcPr>
          <w:p>
            <w:pPr>
              <w:spacing w:after="0"/>
              <w:rPr>
                <w:sz w:val="18"/>
                <w:szCs w:val="18"/>
                <w:color w:val="auto"/>
              </w:rPr>
            </w:pP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references to “date of such Announcement Event” in the definition of Modified Calculation Agent</w:t>
            </w:r>
          </w:p>
        </w:tc>
      </w:tr>
      <w:tr>
        <w:trPr>
          <w:trHeight w:val="216"/>
        </w:trPr>
        <w:tc>
          <w:tcPr>
            <w:tcW w:w="3500" w:type="dxa"/>
            <w:vAlign w:val="bottom"/>
          </w:tcPr>
          <w:p>
            <w:pPr>
              <w:spacing w:after="0"/>
              <w:rPr>
                <w:sz w:val="18"/>
                <w:szCs w:val="18"/>
                <w:color w:val="auto"/>
              </w:rPr>
            </w:pP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Adjustment set forth in Section 12.3(d), (y) the phrase “exercise, settlement, payment or any other terms</w:t>
            </w:r>
          </w:p>
        </w:tc>
      </w:tr>
      <w:tr>
        <w:trPr>
          <w:trHeight w:val="216"/>
        </w:trPr>
        <w:tc>
          <w:tcPr>
            <w:tcW w:w="3500" w:type="dxa"/>
            <w:vAlign w:val="bottom"/>
          </w:tcPr>
          <w:p>
            <w:pPr>
              <w:spacing w:after="0"/>
              <w:rPr>
                <w:sz w:val="18"/>
                <w:szCs w:val="18"/>
                <w:color w:val="auto"/>
              </w:rPr>
            </w:pP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of the Transaction (including, without limitation, the spread)” in the third and fourth lines of the</w:t>
            </w:r>
          </w:p>
        </w:tc>
      </w:tr>
      <w:tr>
        <w:trPr>
          <w:trHeight w:val="214"/>
        </w:trPr>
        <w:tc>
          <w:tcPr>
            <w:tcW w:w="3500" w:type="dxa"/>
            <w:vAlign w:val="bottom"/>
          </w:tcPr>
          <w:p>
            <w:pPr>
              <w:spacing w:after="0"/>
              <w:rPr>
                <w:sz w:val="18"/>
                <w:szCs w:val="18"/>
                <w:color w:val="auto"/>
              </w:rPr>
            </w:pP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definition of Modified Calculation Agent Adjustment set forth in Section 12.3(d) shall be replaced with</w:t>
            </w:r>
          </w:p>
        </w:tc>
      </w:tr>
      <w:tr>
        <w:trPr>
          <w:trHeight w:val="218"/>
        </w:trPr>
        <w:tc>
          <w:tcPr>
            <w:tcW w:w="3500" w:type="dxa"/>
            <w:vAlign w:val="bottom"/>
          </w:tcPr>
          <w:p>
            <w:pPr>
              <w:spacing w:after="0"/>
              <w:rPr>
                <w:sz w:val="18"/>
                <w:szCs w:val="18"/>
                <w:color w:val="auto"/>
              </w:rPr>
            </w:pP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phrase “Cap Price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Cap Price be less than the Strike Price)” and</w:t>
            </w:r>
          </w:p>
        </w:tc>
      </w:tr>
      <w:tr>
        <w:trPr>
          <w:trHeight w:val="216"/>
        </w:trPr>
        <w:tc>
          <w:tcPr>
            <w:tcW w:w="3500" w:type="dxa"/>
            <w:vAlign w:val="bottom"/>
          </w:tcPr>
          <w:p>
            <w:pPr>
              <w:spacing w:after="0"/>
              <w:rPr>
                <w:sz w:val="18"/>
                <w:szCs w:val="18"/>
                <w:color w:val="auto"/>
              </w:rPr>
            </w:pP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words “whether within a commercially reasonable (as determined by the Calculation Agent) period</w:t>
            </w:r>
          </w:p>
        </w:tc>
      </w:tr>
      <w:tr>
        <w:trPr>
          <w:trHeight w:val="216"/>
        </w:trPr>
        <w:tc>
          <w:tcPr>
            <w:tcW w:w="3500" w:type="dxa"/>
            <w:vAlign w:val="bottom"/>
          </w:tcPr>
          <w:p>
            <w:pPr>
              <w:spacing w:after="0"/>
              <w:rPr>
                <w:sz w:val="18"/>
                <w:szCs w:val="18"/>
                <w:color w:val="auto"/>
              </w:rPr>
            </w:pP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of time prior to or after the Announcement Event” shall be inserted prior to the word “which” in the</w:t>
            </w:r>
          </w:p>
        </w:tc>
      </w:tr>
      <w:tr>
        <w:trPr>
          <w:trHeight w:val="216"/>
        </w:trPr>
        <w:tc>
          <w:tcPr>
            <w:tcW w:w="3500" w:type="dxa"/>
            <w:vAlign w:val="bottom"/>
          </w:tcPr>
          <w:p>
            <w:pPr>
              <w:spacing w:after="0"/>
              <w:rPr>
                <w:sz w:val="18"/>
                <w:szCs w:val="18"/>
                <w:color w:val="auto"/>
              </w:rPr>
            </w:pP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seventh line, and (z) for the avoidance of doubt, the Calculation Agent shall, in good faith and a</w:t>
            </w:r>
          </w:p>
        </w:tc>
      </w:tr>
      <w:tr>
        <w:trPr>
          <w:trHeight w:val="216"/>
        </w:trPr>
        <w:tc>
          <w:tcPr>
            <w:tcW w:w="3500" w:type="dxa"/>
            <w:vAlign w:val="bottom"/>
          </w:tcPr>
          <w:p>
            <w:pPr>
              <w:spacing w:after="0"/>
              <w:rPr>
                <w:sz w:val="18"/>
                <w:szCs w:val="18"/>
                <w:color w:val="auto"/>
              </w:rPr>
            </w:pP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commercially reasonable manner, determine whether the relevant Announcement Event has had a</w:t>
            </w:r>
          </w:p>
        </w:tc>
      </w:tr>
      <w:tr>
        <w:trPr>
          <w:trHeight w:val="216"/>
        </w:trPr>
        <w:tc>
          <w:tcPr>
            <w:tcW w:w="3500" w:type="dxa"/>
            <w:vAlign w:val="bottom"/>
          </w:tcPr>
          <w:p>
            <w:pPr>
              <w:spacing w:after="0"/>
              <w:rPr>
                <w:sz w:val="18"/>
                <w:szCs w:val="18"/>
                <w:color w:val="auto"/>
              </w:rPr>
            </w:pP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material economic effect on the Transaction and, if so, shall adjust the Cap Price accordingly to take</w:t>
            </w:r>
          </w:p>
        </w:tc>
      </w:tr>
      <w:tr>
        <w:trPr>
          <w:trHeight w:val="216"/>
        </w:trPr>
        <w:tc>
          <w:tcPr>
            <w:tcW w:w="3500" w:type="dxa"/>
            <w:vAlign w:val="bottom"/>
          </w:tcPr>
          <w:p>
            <w:pPr>
              <w:spacing w:after="0"/>
              <w:rPr>
                <w:sz w:val="18"/>
                <w:szCs w:val="18"/>
                <w:color w:val="auto"/>
              </w:rPr>
            </w:pP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into account such economic effect on one or more occasions on or after the date of the Announcement</w:t>
            </w:r>
          </w:p>
        </w:tc>
      </w:tr>
      <w:tr>
        <w:trPr>
          <w:trHeight w:val="216"/>
        </w:trPr>
        <w:tc>
          <w:tcPr>
            <w:tcW w:w="3500" w:type="dxa"/>
            <w:vAlign w:val="bottom"/>
          </w:tcPr>
          <w:p>
            <w:pPr>
              <w:spacing w:after="0"/>
              <w:rPr>
                <w:sz w:val="18"/>
                <w:szCs w:val="18"/>
                <w:color w:val="auto"/>
              </w:rPr>
            </w:pP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Event up to, and including, the related Expiration Date, any Early Termination Date and/or any other</w:t>
            </w:r>
          </w:p>
        </w:tc>
      </w:tr>
      <w:tr>
        <w:trPr>
          <w:trHeight w:val="216"/>
        </w:trPr>
        <w:tc>
          <w:tcPr>
            <w:tcW w:w="3500" w:type="dxa"/>
            <w:vAlign w:val="bottom"/>
          </w:tcPr>
          <w:p>
            <w:pPr>
              <w:spacing w:after="0"/>
              <w:rPr>
                <w:sz w:val="18"/>
                <w:szCs w:val="18"/>
                <w:color w:val="auto"/>
              </w:rPr>
            </w:pP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date of cancellation, it being understood that (i) any adjustment in respect of an Announcement Event</w:t>
            </w:r>
          </w:p>
        </w:tc>
      </w:tr>
      <w:tr>
        <w:trPr>
          <w:trHeight w:val="216"/>
        </w:trPr>
        <w:tc>
          <w:tcPr>
            <w:tcW w:w="3500" w:type="dxa"/>
            <w:vAlign w:val="bottom"/>
          </w:tcPr>
          <w:p>
            <w:pPr>
              <w:spacing w:after="0"/>
              <w:rPr>
                <w:sz w:val="18"/>
                <w:szCs w:val="18"/>
                <w:color w:val="auto"/>
              </w:rPr>
            </w:pP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shall take into account any earlier adjustment relating to the same Announcement Event and shall not be</w:t>
            </w:r>
          </w:p>
        </w:tc>
      </w:tr>
      <w:tr>
        <w:trPr>
          <w:trHeight w:val="216"/>
        </w:trPr>
        <w:tc>
          <w:tcPr>
            <w:tcW w:w="3500" w:type="dxa"/>
            <w:vAlign w:val="bottom"/>
          </w:tcPr>
          <w:p>
            <w:pPr>
              <w:spacing w:after="0"/>
              <w:rPr>
                <w:sz w:val="18"/>
                <w:szCs w:val="18"/>
                <w:color w:val="auto"/>
              </w:rPr>
            </w:pP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duplicative with any other adjustment or cancellation valuation made pursuant to this Confirmation, the</w:t>
            </w:r>
          </w:p>
        </w:tc>
      </w:tr>
      <w:tr>
        <w:trPr>
          <w:trHeight w:val="216"/>
        </w:trPr>
        <w:tc>
          <w:tcPr>
            <w:tcW w:w="3500" w:type="dxa"/>
            <w:vAlign w:val="bottom"/>
          </w:tcPr>
          <w:p>
            <w:pPr>
              <w:spacing w:after="0"/>
              <w:rPr>
                <w:sz w:val="18"/>
                <w:szCs w:val="18"/>
                <w:color w:val="auto"/>
              </w:rPr>
            </w:pP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Definitions or the Agreement and (ii) in making any adjustment the Calculation Agent shall</w:t>
            </w:r>
          </w:p>
        </w:tc>
      </w:tr>
      <w:tr>
        <w:trPr>
          <w:trHeight w:val="216"/>
        </w:trPr>
        <w:tc>
          <w:tcPr>
            <w:tcW w:w="3500" w:type="dxa"/>
            <w:vAlign w:val="bottom"/>
          </w:tcPr>
          <w:p>
            <w:pPr>
              <w:spacing w:after="0"/>
              <w:rPr>
                <w:sz w:val="18"/>
                <w:szCs w:val="18"/>
                <w:color w:val="auto"/>
              </w:rPr>
            </w:pP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solely take into account changes in stock price, volatility, expected dividends, stock loan rate, and</w:t>
            </w:r>
          </w:p>
        </w:tc>
      </w:tr>
      <w:tr>
        <w:trPr>
          <w:trHeight w:val="216"/>
        </w:trPr>
        <w:tc>
          <w:tcPr>
            <w:tcW w:w="3500" w:type="dxa"/>
            <w:vAlign w:val="bottom"/>
          </w:tcPr>
          <w:p>
            <w:pPr>
              <w:spacing w:after="0"/>
              <w:rPr>
                <w:sz w:val="18"/>
                <w:szCs w:val="18"/>
                <w:color w:val="auto"/>
              </w:rPr>
            </w:pP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liquidity relevant to the Shares or to such Transaction. An Announcement Event shall be an</w:t>
            </w:r>
          </w:p>
        </w:tc>
      </w:tr>
      <w:tr>
        <w:trPr>
          <w:trHeight w:val="214"/>
        </w:trPr>
        <w:tc>
          <w:tcPr>
            <w:tcW w:w="3500" w:type="dxa"/>
            <w:vAlign w:val="bottom"/>
          </w:tcPr>
          <w:p>
            <w:pPr>
              <w:spacing w:after="0"/>
              <w:rPr>
                <w:sz w:val="18"/>
                <w:szCs w:val="18"/>
                <w:color w:val="auto"/>
              </w:rPr>
            </w:pP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“Extraordinary Event” for purposes of the Equity Definitions, to which Article 12 of the Equity</w:t>
            </w:r>
          </w:p>
        </w:tc>
      </w:tr>
      <w:tr>
        <w:trPr>
          <w:trHeight w:val="218"/>
        </w:trPr>
        <w:tc>
          <w:tcPr>
            <w:tcW w:w="3500" w:type="dxa"/>
            <w:vAlign w:val="bottom"/>
          </w:tcPr>
          <w:p>
            <w:pPr>
              <w:spacing w:after="0"/>
              <w:rPr>
                <w:sz w:val="18"/>
                <w:szCs w:val="18"/>
                <w:color w:val="auto"/>
              </w:rPr>
            </w:pP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Definitions is applicable;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upon the Calculation Agent making an adjustment,</w:t>
            </w:r>
          </w:p>
        </w:tc>
      </w:tr>
      <w:tr>
        <w:trPr>
          <w:trHeight w:val="216"/>
        </w:trPr>
        <w:tc>
          <w:tcPr>
            <w:tcW w:w="3500" w:type="dxa"/>
            <w:vAlign w:val="bottom"/>
          </w:tcPr>
          <w:p>
            <w:pPr>
              <w:spacing w:after="0"/>
              <w:rPr>
                <w:sz w:val="18"/>
                <w:szCs w:val="18"/>
                <w:color w:val="auto"/>
              </w:rPr>
            </w:pP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determined in a commercially reasonable manner, to the Cap Price upon any Announcement Event, then</w:t>
            </w:r>
          </w:p>
        </w:tc>
      </w:tr>
      <w:tr>
        <w:trPr>
          <w:trHeight w:val="216"/>
        </w:trPr>
        <w:tc>
          <w:tcPr>
            <w:tcW w:w="3500" w:type="dxa"/>
            <w:vAlign w:val="bottom"/>
          </w:tcPr>
          <w:p>
            <w:pPr>
              <w:spacing w:after="0"/>
              <w:rPr>
                <w:sz w:val="18"/>
                <w:szCs w:val="18"/>
                <w:color w:val="auto"/>
              </w:rPr>
            </w:pP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Calculation Agent shall make an adjustment to the Cap Price upon any announcement regarding the</w:t>
            </w:r>
          </w:p>
        </w:tc>
      </w:tr>
      <w:tr>
        <w:trPr>
          <w:trHeight w:val="216"/>
        </w:trPr>
        <w:tc>
          <w:tcPr>
            <w:tcW w:w="3500" w:type="dxa"/>
            <w:vAlign w:val="bottom"/>
          </w:tcPr>
          <w:p>
            <w:pPr>
              <w:spacing w:after="0"/>
              <w:rPr>
                <w:sz w:val="18"/>
                <w:szCs w:val="18"/>
                <w:color w:val="auto"/>
              </w:rPr>
            </w:pP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same event that gave rise to the original Announcement Event regarding the abandonment of any such</w:t>
            </w:r>
          </w:p>
        </w:tc>
      </w:tr>
      <w:tr>
        <w:trPr>
          <w:trHeight w:val="214"/>
        </w:trPr>
        <w:tc>
          <w:tcPr>
            <w:tcW w:w="3500" w:type="dxa"/>
            <w:vAlign w:val="bottom"/>
          </w:tcPr>
          <w:p>
            <w:pPr>
              <w:spacing w:after="0"/>
              <w:rPr>
                <w:sz w:val="18"/>
                <w:szCs w:val="18"/>
                <w:color w:val="auto"/>
              </w:rPr>
            </w:pP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event to the extent necessary to reflect the economic effect of such subsequent announcement on the</w:t>
            </w:r>
          </w:p>
        </w:tc>
      </w:tr>
      <w:tr>
        <w:trPr>
          <w:trHeight w:val="236"/>
        </w:trPr>
        <w:tc>
          <w:tcPr>
            <w:tcW w:w="3500" w:type="dxa"/>
            <w:vAlign w:val="bottom"/>
          </w:tcPr>
          <w:p>
            <w:pPr>
              <w:spacing w:after="0"/>
              <w:rPr>
                <w:sz w:val="20"/>
                <w:szCs w:val="20"/>
                <w:color w:val="auto"/>
              </w:rPr>
            </w:pP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Cap Price be less than the Strike Price).</w:t>
            </w:r>
          </w:p>
        </w:tc>
      </w:tr>
      <w:tr>
        <w:trPr>
          <w:trHeight w:val="414"/>
        </w:trPr>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Announcement Event:</w:t>
            </w: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 The public announcement by Counterparty, any agent of Counterparty, any affiliate of Counterparty</w:t>
            </w:r>
          </w:p>
        </w:tc>
      </w:tr>
      <w:tr>
        <w:trPr>
          <w:trHeight w:val="216"/>
        </w:trPr>
        <w:tc>
          <w:tcPr>
            <w:tcW w:w="3500" w:type="dxa"/>
            <w:vAlign w:val="bottom"/>
          </w:tcPr>
          <w:p>
            <w:pPr>
              <w:spacing w:after="0"/>
              <w:rPr>
                <w:sz w:val="18"/>
                <w:szCs w:val="18"/>
                <w:color w:val="auto"/>
              </w:rPr>
            </w:pP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or a Valid Third Party Entity of any transaction or event that, if completed, would constitute a Merger</w:t>
            </w:r>
          </w:p>
        </w:tc>
      </w:tr>
      <w:tr>
        <w:trPr>
          <w:trHeight w:val="216"/>
        </w:trPr>
        <w:tc>
          <w:tcPr>
            <w:tcW w:w="3500" w:type="dxa"/>
            <w:vAlign w:val="bottom"/>
          </w:tcPr>
          <w:p>
            <w:pPr>
              <w:spacing w:after="0"/>
              <w:rPr>
                <w:sz w:val="18"/>
                <w:szCs w:val="18"/>
                <w:color w:val="auto"/>
              </w:rPr>
            </w:pP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Event or Tender Offer, or the announcement by Counterparty of any intention to enter into a Merger</w:t>
            </w:r>
          </w:p>
        </w:tc>
      </w:tr>
      <w:tr>
        <w:trPr>
          <w:trHeight w:val="216"/>
        </w:trPr>
        <w:tc>
          <w:tcPr>
            <w:tcW w:w="3500" w:type="dxa"/>
            <w:vAlign w:val="bottom"/>
          </w:tcPr>
          <w:p>
            <w:pPr>
              <w:spacing w:after="0"/>
              <w:rPr>
                <w:sz w:val="18"/>
                <w:szCs w:val="18"/>
                <w:color w:val="auto"/>
              </w:rPr>
            </w:pP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Event or Tender Offer, (ii) the public announcement by Counterparty, any agent of Counterparty, any</w:t>
            </w:r>
          </w:p>
        </w:tc>
      </w:tr>
      <w:tr>
        <w:trPr>
          <w:trHeight w:val="216"/>
        </w:trPr>
        <w:tc>
          <w:tcPr>
            <w:tcW w:w="3500" w:type="dxa"/>
            <w:vAlign w:val="bottom"/>
          </w:tcPr>
          <w:p>
            <w:pPr>
              <w:spacing w:after="0"/>
              <w:rPr>
                <w:sz w:val="18"/>
                <w:szCs w:val="18"/>
                <w:color w:val="auto"/>
              </w:rPr>
            </w:pP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affiliate of Counterparty or a Valid Third Party Entity of any potential acquisition or disposition by</w:t>
            </w:r>
          </w:p>
        </w:tc>
      </w:tr>
      <w:tr>
        <w:trPr>
          <w:trHeight w:val="212"/>
        </w:trPr>
        <w:tc>
          <w:tcPr>
            <w:tcW w:w="3500" w:type="dxa"/>
            <w:vAlign w:val="bottom"/>
          </w:tcPr>
          <w:p>
            <w:pPr>
              <w:spacing w:after="0"/>
              <w:rPr>
                <w:sz w:val="18"/>
                <w:szCs w:val="18"/>
                <w:color w:val="auto"/>
              </w:rPr>
            </w:pP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Counterparty and/or its subsidiaries where the consideration exceeds 35% of the market capitalization</w:t>
            </w:r>
          </w:p>
        </w:tc>
      </w:tr>
      <w:tr>
        <w:trPr>
          <w:trHeight w:val="220"/>
        </w:trPr>
        <w:tc>
          <w:tcPr>
            <w:tcW w:w="3500" w:type="dxa"/>
            <w:vAlign w:val="bottom"/>
          </w:tcPr>
          <w:p>
            <w:pPr>
              <w:spacing w:after="0"/>
              <w:rPr>
                <w:sz w:val="19"/>
                <w:szCs w:val="19"/>
                <w:color w:val="auto"/>
              </w:rPr>
            </w:pP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of Counterparty as of the date of such announcement (a “</w:t>
            </w:r>
            <w:r>
              <w:rPr>
                <w:rFonts w:ascii="Times New Roman" w:cs="Times New Roman" w:eastAsia="Times New Roman" w:hAnsi="Times New Roman"/>
                <w:sz w:val="18"/>
                <w:szCs w:val="18"/>
                <w:b w:val="1"/>
                <w:bCs w:val="1"/>
                <w:color w:val="auto"/>
              </w:rPr>
              <w:t>Material Transaction</w:t>
            </w:r>
            <w:r>
              <w:rPr>
                <w:rFonts w:ascii="Times New Roman" w:cs="Times New Roman" w:eastAsia="Times New Roman" w:hAnsi="Times New Roman"/>
                <w:sz w:val="18"/>
                <w:szCs w:val="18"/>
                <w:color w:val="auto"/>
              </w:rPr>
              <w:t>”), (iii) the public</w:t>
            </w:r>
          </w:p>
        </w:tc>
      </w:tr>
      <w:tr>
        <w:trPr>
          <w:trHeight w:val="216"/>
        </w:trPr>
        <w:tc>
          <w:tcPr>
            <w:tcW w:w="3500" w:type="dxa"/>
            <w:vAlign w:val="bottom"/>
          </w:tcPr>
          <w:p>
            <w:pPr>
              <w:spacing w:after="0"/>
              <w:rPr>
                <w:sz w:val="18"/>
                <w:szCs w:val="18"/>
                <w:color w:val="auto"/>
              </w:rPr>
            </w:pP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announcement by Counterparty, any agent of Counterparty, any affiliate of Counterparty or a Valid</w:t>
            </w:r>
          </w:p>
        </w:tc>
      </w:tr>
      <w:tr>
        <w:trPr>
          <w:trHeight w:val="216"/>
        </w:trPr>
        <w:tc>
          <w:tcPr>
            <w:tcW w:w="3500" w:type="dxa"/>
            <w:vAlign w:val="bottom"/>
          </w:tcPr>
          <w:p>
            <w:pPr>
              <w:spacing w:after="0"/>
              <w:rPr>
                <w:sz w:val="18"/>
                <w:szCs w:val="18"/>
                <w:color w:val="auto"/>
              </w:rPr>
            </w:pP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Third Party Entity of an intention by Counterparty or such Valid Third Party Entity to solicit or enter</w:t>
            </w:r>
          </w:p>
        </w:tc>
      </w:tr>
      <w:tr>
        <w:trPr>
          <w:trHeight w:val="216"/>
        </w:trPr>
        <w:tc>
          <w:tcPr>
            <w:tcW w:w="3500" w:type="dxa"/>
            <w:vAlign w:val="bottom"/>
          </w:tcPr>
          <w:p>
            <w:pPr>
              <w:spacing w:after="0"/>
              <w:rPr>
                <w:sz w:val="18"/>
                <w:szCs w:val="18"/>
                <w:color w:val="auto"/>
              </w:rPr>
            </w:pP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into, or to explore strategic alternatives or other similar undertaking that may include, a Merger Event,</w:t>
            </w:r>
          </w:p>
        </w:tc>
      </w:tr>
      <w:tr>
        <w:trPr>
          <w:trHeight w:val="216"/>
        </w:trPr>
        <w:tc>
          <w:tcPr>
            <w:tcW w:w="3500" w:type="dxa"/>
            <w:vAlign w:val="bottom"/>
          </w:tcPr>
          <w:p>
            <w:pPr>
              <w:spacing w:after="0"/>
              <w:rPr>
                <w:sz w:val="18"/>
                <w:szCs w:val="18"/>
                <w:color w:val="auto"/>
              </w:rPr>
            </w:pP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Tender Offer or Material Transaction, or (iv) any subsequent public announcement by Counterparty, any</w:t>
            </w:r>
          </w:p>
        </w:tc>
      </w:tr>
      <w:tr>
        <w:trPr>
          <w:trHeight w:val="216"/>
        </w:trPr>
        <w:tc>
          <w:tcPr>
            <w:tcW w:w="3500" w:type="dxa"/>
            <w:vAlign w:val="bottom"/>
          </w:tcPr>
          <w:p>
            <w:pPr>
              <w:spacing w:after="0"/>
              <w:rPr>
                <w:sz w:val="18"/>
                <w:szCs w:val="18"/>
                <w:color w:val="auto"/>
              </w:rPr>
            </w:pP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agent of Counterparty, any affiliate of Counterparty or a Valid Third Party Entity of a change to a</w:t>
            </w:r>
          </w:p>
        </w:tc>
      </w:tr>
      <w:tr>
        <w:trPr>
          <w:trHeight w:val="216"/>
        </w:trPr>
        <w:tc>
          <w:tcPr>
            <w:tcW w:w="3500" w:type="dxa"/>
            <w:vAlign w:val="bottom"/>
          </w:tcPr>
          <w:p>
            <w:pPr>
              <w:spacing w:after="0"/>
              <w:rPr>
                <w:sz w:val="18"/>
                <w:szCs w:val="18"/>
                <w:color w:val="auto"/>
              </w:rPr>
            </w:pP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transaction or intention that is the subject of an announcement of the type described in clause (i), (ii) or</w:t>
            </w:r>
          </w:p>
        </w:tc>
      </w:tr>
      <w:tr>
        <w:trPr>
          <w:trHeight w:val="216"/>
        </w:trPr>
        <w:tc>
          <w:tcPr>
            <w:tcW w:w="3500" w:type="dxa"/>
            <w:vAlign w:val="bottom"/>
          </w:tcPr>
          <w:p>
            <w:pPr>
              <w:spacing w:after="0"/>
              <w:rPr>
                <w:sz w:val="18"/>
                <w:szCs w:val="18"/>
                <w:color w:val="auto"/>
              </w:rPr>
            </w:pP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(iii) of this sentence (including, without limitation, a new announcement relating to such a transaction</w:t>
            </w:r>
          </w:p>
        </w:tc>
      </w:tr>
      <w:tr>
        <w:trPr>
          <w:trHeight w:val="216"/>
        </w:trPr>
        <w:tc>
          <w:tcPr>
            <w:tcW w:w="3500" w:type="dxa"/>
            <w:vAlign w:val="bottom"/>
          </w:tcPr>
          <w:p>
            <w:pPr>
              <w:spacing w:after="0"/>
              <w:rPr>
                <w:sz w:val="18"/>
                <w:szCs w:val="18"/>
                <w:color w:val="auto"/>
              </w:rPr>
            </w:pP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or intention or the announcement of a withdrawal from, or the abandonment or discontinuation of, such</w:t>
            </w:r>
          </w:p>
        </w:tc>
      </w:tr>
      <w:tr>
        <w:trPr>
          <w:trHeight w:val="216"/>
        </w:trPr>
        <w:tc>
          <w:tcPr>
            <w:tcW w:w="3500" w:type="dxa"/>
            <w:vAlign w:val="bottom"/>
          </w:tcPr>
          <w:p>
            <w:pPr>
              <w:spacing w:after="0"/>
              <w:rPr>
                <w:sz w:val="18"/>
                <w:szCs w:val="18"/>
                <w:color w:val="auto"/>
              </w:rPr>
            </w:pP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 transaction or intention). For the avoidance of doubt, the occurrence of an Announcement Event with</w:t>
            </w:r>
          </w:p>
        </w:tc>
      </w:tr>
      <w:tr>
        <w:trPr>
          <w:trHeight w:val="216"/>
        </w:trPr>
        <w:tc>
          <w:tcPr>
            <w:tcW w:w="3500" w:type="dxa"/>
            <w:vAlign w:val="bottom"/>
          </w:tcPr>
          <w:p>
            <w:pPr>
              <w:spacing w:after="0"/>
              <w:rPr>
                <w:sz w:val="18"/>
                <w:szCs w:val="18"/>
                <w:color w:val="auto"/>
              </w:rPr>
            </w:pP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respect to any transaction or intention shall not preclude the occurrence of a later Announcement Event</w:t>
            </w:r>
          </w:p>
        </w:tc>
      </w:tr>
      <w:tr>
        <w:trPr>
          <w:trHeight w:val="216"/>
        </w:trPr>
        <w:tc>
          <w:tcPr>
            <w:tcW w:w="3500" w:type="dxa"/>
            <w:vAlign w:val="bottom"/>
          </w:tcPr>
          <w:p>
            <w:pPr>
              <w:spacing w:after="0"/>
              <w:rPr>
                <w:sz w:val="18"/>
                <w:szCs w:val="18"/>
                <w:color w:val="auto"/>
              </w:rPr>
            </w:pP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with respect to such transaction or intention. For purposes of this definition of “Announcement Event,”</w:t>
            </w:r>
          </w:p>
        </w:tc>
      </w:tr>
      <w:tr>
        <w:trPr>
          <w:trHeight w:val="216"/>
        </w:trPr>
        <w:tc>
          <w:tcPr>
            <w:tcW w:w="3500" w:type="dxa"/>
            <w:vAlign w:val="bottom"/>
          </w:tcPr>
          <w:p>
            <w:pPr>
              <w:spacing w:after="0"/>
              <w:rPr>
                <w:sz w:val="18"/>
                <w:szCs w:val="18"/>
                <w:color w:val="auto"/>
              </w:rPr>
            </w:pP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“Merger Event” shall mean such term as defined under Section 12.1(b) of the Equity Definitions (but,</w:t>
            </w:r>
          </w:p>
        </w:tc>
      </w:tr>
      <w:tr>
        <w:trPr>
          <w:trHeight w:val="216"/>
        </w:trPr>
        <w:tc>
          <w:tcPr>
            <w:tcW w:w="3500" w:type="dxa"/>
            <w:vAlign w:val="bottom"/>
          </w:tcPr>
          <w:p>
            <w:pPr>
              <w:spacing w:after="0"/>
              <w:rPr>
                <w:sz w:val="18"/>
                <w:szCs w:val="18"/>
                <w:color w:val="auto"/>
              </w:rPr>
            </w:pP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 the avoidance of doubt, the remainder of the definition of “Merger Event” in Section 12.1(b) of the</w:t>
            </w:r>
          </w:p>
        </w:tc>
      </w:tr>
      <w:tr>
        <w:trPr>
          <w:trHeight w:val="234"/>
        </w:trPr>
        <w:tc>
          <w:tcPr>
            <w:tcW w:w="3500" w:type="dxa"/>
            <w:vAlign w:val="bottom"/>
          </w:tcPr>
          <w:p>
            <w:pPr>
              <w:spacing w:after="0"/>
              <w:rPr>
                <w:sz w:val="20"/>
                <w:szCs w:val="20"/>
                <w:color w:val="auto"/>
              </w:rPr>
            </w:pP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Definitions following the definition of “Reverse Merger” therein shall be disregarded).</w:t>
            </w:r>
          </w:p>
        </w:tc>
      </w:tr>
      <w:tr>
        <w:trPr>
          <w:trHeight w:val="557"/>
        </w:trPr>
        <w:tc>
          <w:tcPr>
            <w:tcW w:w="3500" w:type="dxa"/>
            <w:vAlign w:val="bottom"/>
          </w:tcPr>
          <w:p>
            <w:pPr>
              <w:spacing w:after="0"/>
              <w:rPr>
                <w:sz w:val="24"/>
                <w:szCs w:val="24"/>
                <w:color w:val="auto"/>
              </w:rPr>
            </w:pPr>
          </w:p>
        </w:tc>
        <w:tc>
          <w:tcPr>
            <w:tcW w:w="7740" w:type="dxa"/>
            <w:vAlign w:val="bottom"/>
          </w:tcPr>
          <w:p>
            <w:pPr>
              <w:ind w:left="2080"/>
              <w:spacing w:after="0"/>
              <w:rPr>
                <w:sz w:val="20"/>
                <w:szCs w:val="20"/>
                <w:color w:val="auto"/>
              </w:rPr>
            </w:pPr>
            <w:r>
              <w:rPr>
                <w:rFonts w:ascii="Times New Roman" w:cs="Times New Roman" w:eastAsia="Times New Roman" w:hAnsi="Times New Roman"/>
                <w:sz w:val="14"/>
                <w:szCs w:val="14"/>
                <w:color w:val="auto"/>
              </w:rPr>
              <w:t>9</w:t>
            </w:r>
          </w:p>
        </w:tc>
      </w:tr>
      <w:tr>
        <w:trPr>
          <w:trHeight w:val="44"/>
        </w:trPr>
        <w:tc>
          <w:tcPr>
            <w:tcW w:w="3500" w:type="dxa"/>
            <w:vAlign w:val="bottom"/>
            <w:tcBorders>
              <w:bottom w:val="single" w:sz="8" w:color="auto"/>
            </w:tcBorders>
          </w:tcPr>
          <w:p>
            <w:pPr>
              <w:spacing w:after="0"/>
              <w:rPr>
                <w:sz w:val="3"/>
                <w:szCs w:val="3"/>
                <w:color w:val="auto"/>
              </w:rPr>
            </w:pPr>
          </w:p>
        </w:tc>
        <w:tc>
          <w:tcPr>
            <w:tcW w:w="774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21" w:right="339" w:bottom="1440" w:gutter="0" w:footer="0" w:header="0"/>
        </w:sectPr>
      </w:pPr>
    </w:p>
    <w:bookmarkStart w:id="128" w:name="page129"/>
    <w:bookmarkEnd w:id="1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Valid Third Party Entity:</w:t>
            </w: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 respect of any transaction or event, any third party that the Calculation Agent reasonably determines</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has a bona fide intent to enter into or consummate such transaction or event (or an affiliate or agent of</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such a third party) (it being understood and agreed that in making such a determination, the Calculation</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Agent may take into consideration the effect of the relevant announcement by such third party on the</w:t>
            </w:r>
          </w:p>
        </w:tc>
        <w:tc>
          <w:tcPr>
            <w:tcW w:w="0" w:type="dxa"/>
            <w:vAlign w:val="bottom"/>
          </w:tcPr>
          <w:p>
            <w:pPr>
              <w:spacing w:after="0"/>
              <w:rPr>
                <w:sz w:val="1"/>
                <w:szCs w:val="1"/>
                <w:color w:val="auto"/>
              </w:rPr>
            </w:pPr>
          </w:p>
        </w:tc>
      </w:tr>
      <w:tr>
        <w:trPr>
          <w:trHeight w:val="234"/>
        </w:trPr>
        <w:tc>
          <w:tcPr>
            <w:tcW w:w="2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Shares and/or options relating to the Shares).</w:t>
            </w:r>
          </w:p>
        </w:tc>
        <w:tc>
          <w:tcPr>
            <w:tcW w:w="0" w:type="dxa"/>
            <w:vAlign w:val="bottom"/>
          </w:tcPr>
          <w:p>
            <w:pPr>
              <w:spacing w:after="0"/>
              <w:rPr>
                <w:sz w:val="1"/>
                <w:szCs w:val="1"/>
                <w:color w:val="auto"/>
              </w:rPr>
            </w:pPr>
          </w:p>
        </w:tc>
      </w:tr>
      <w:tr>
        <w:trPr>
          <w:trHeight w:val="414"/>
        </w:trPr>
        <w:tc>
          <w:tcPr>
            <w:tcW w:w="35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Notice of Merger Consideration and</w:t>
            </w: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Upon the occurrence of a Merger Event that causes the Shares to be converted into the right to receive</w:t>
            </w:r>
          </w:p>
        </w:tc>
        <w:tc>
          <w:tcPr>
            <w:tcW w:w="0" w:type="dxa"/>
            <w:vAlign w:val="bottom"/>
          </w:tcPr>
          <w:p>
            <w:pPr>
              <w:spacing w:after="0"/>
              <w:rPr>
                <w:sz w:val="1"/>
                <w:szCs w:val="1"/>
                <w:color w:val="auto"/>
              </w:rPr>
            </w:pPr>
          </w:p>
        </w:tc>
      </w:tr>
      <w:tr>
        <w:trPr>
          <w:trHeight w:val="216"/>
        </w:trPr>
        <w:tc>
          <w:tcPr>
            <w:tcW w:w="35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Consequences:</w:t>
            </w: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more than a single type of consideration (determined based in part upon any form of stockholder</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election), Counterparty shall reasonably promptly (but in any event prior to the relevant Merger Date)</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notify the Calculation Agent of (i) the type and amount of consideration that a holder of Shares would</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have been entitled to in the case of reclassifications, consolidations, mergers, sales or transfers of assets</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or other transactions that cause Shares to be converted into the right to receive more than a single type</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of consideration and (ii) the weighted average of the types and amounts of consideration to be received</w:t>
            </w:r>
          </w:p>
        </w:tc>
        <w:tc>
          <w:tcPr>
            <w:tcW w:w="0" w:type="dxa"/>
            <w:vAlign w:val="bottom"/>
          </w:tcPr>
          <w:p>
            <w:pPr>
              <w:spacing w:after="0"/>
              <w:rPr>
                <w:sz w:val="1"/>
                <w:szCs w:val="1"/>
                <w:color w:val="auto"/>
              </w:rPr>
            </w:pPr>
          </w:p>
        </w:tc>
      </w:tr>
      <w:tr>
        <w:trPr>
          <w:trHeight w:val="234"/>
        </w:trPr>
        <w:tc>
          <w:tcPr>
            <w:tcW w:w="2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 the holders of Shares that affirmatively make such an election.</w:t>
            </w:r>
          </w:p>
        </w:tc>
        <w:tc>
          <w:tcPr>
            <w:tcW w:w="0" w:type="dxa"/>
            <w:vAlign w:val="bottom"/>
          </w:tcPr>
          <w:p>
            <w:pPr>
              <w:spacing w:after="0"/>
              <w:rPr>
                <w:sz w:val="1"/>
                <w:szCs w:val="1"/>
                <w:color w:val="auto"/>
              </w:rPr>
            </w:pPr>
          </w:p>
        </w:tc>
      </w:tr>
      <w:tr>
        <w:trPr>
          <w:trHeight w:val="414"/>
        </w:trPr>
        <w:tc>
          <w:tcPr>
            <w:tcW w:w="35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Nationalization, Insolvency or Delisting:</w:t>
            </w: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Cancellation and Payment (Calculation Agent Determination);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addition  to  the</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provisions of Section 12.6(a)(iii) of the Equity Definitions, it will also constitute a Delisting if the</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Shares are not immediately re-listed, re-traded or re-quoted on any of the New York Stock Exchange,</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Nasdaq Global Select Market or The Nasdaq Global Market (or their respective successors); if the</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Shares are immediately re-listed, re-traded or re-quoted on any such exchange or quotation system, such</w:t>
            </w:r>
          </w:p>
        </w:tc>
        <w:tc>
          <w:tcPr>
            <w:tcW w:w="0" w:type="dxa"/>
            <w:vAlign w:val="bottom"/>
          </w:tcPr>
          <w:p>
            <w:pPr>
              <w:spacing w:after="0"/>
              <w:rPr>
                <w:sz w:val="1"/>
                <w:szCs w:val="1"/>
                <w:color w:val="auto"/>
              </w:rPr>
            </w:pPr>
          </w:p>
        </w:tc>
      </w:tr>
      <w:tr>
        <w:trPr>
          <w:trHeight w:val="234"/>
        </w:trPr>
        <w:tc>
          <w:tcPr>
            <w:tcW w:w="3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Additional Disruption Events</w:t>
            </w:r>
            <w:r>
              <w:rPr>
                <w:rFonts w:ascii="Times New Roman" w:cs="Times New Roman" w:eastAsia="Times New Roman" w:hAnsi="Times New Roman"/>
                <w:sz w:val="18"/>
                <w:szCs w:val="18"/>
                <w:color w:val="auto"/>
              </w:rPr>
              <w:t>:</w:t>
            </w: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exchange or quotation system shall thereafter be deemed to be the Exchange.</w:t>
            </w:r>
          </w:p>
        </w:tc>
        <w:tc>
          <w:tcPr>
            <w:tcW w:w="0" w:type="dxa"/>
            <w:vAlign w:val="bottom"/>
          </w:tcPr>
          <w:p>
            <w:pPr>
              <w:spacing w:after="0"/>
              <w:rPr>
                <w:sz w:val="1"/>
                <w:szCs w:val="1"/>
                <w:color w:val="auto"/>
              </w:rPr>
            </w:pPr>
          </w:p>
        </w:tc>
      </w:tr>
      <w:tr>
        <w:trPr>
          <w:trHeight w:val="176"/>
        </w:trPr>
        <w:tc>
          <w:tcPr>
            <w:tcW w:w="3500" w:type="dxa"/>
            <w:vAlign w:val="bottom"/>
            <w:gridSpan w:val="2"/>
            <w:vMerge w:val="continue"/>
          </w:tcPr>
          <w:p>
            <w:pPr>
              <w:spacing w:after="0"/>
              <w:rPr>
                <w:sz w:val="15"/>
                <w:szCs w:val="15"/>
                <w:color w:val="auto"/>
              </w:rPr>
            </w:pPr>
          </w:p>
        </w:tc>
        <w:tc>
          <w:tcPr>
            <w:tcW w:w="77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 xml:space="preserve">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Section 12.9(a)(ii) of the Equity Definitions is hereby amended by (i)</w:t>
            </w:r>
          </w:p>
        </w:tc>
        <w:tc>
          <w:tcPr>
            <w:tcW w:w="0" w:type="dxa"/>
            <w:vAlign w:val="bottom"/>
          </w:tcPr>
          <w:p>
            <w:pPr>
              <w:spacing w:after="0"/>
              <w:rPr>
                <w:sz w:val="1"/>
                <w:szCs w:val="1"/>
                <w:color w:val="auto"/>
              </w:rPr>
            </w:pPr>
          </w:p>
        </w:tc>
      </w:tr>
      <w:tr>
        <w:trPr>
          <w:trHeight w:val="218"/>
        </w:trPr>
        <w:tc>
          <w:tcPr>
            <w:tcW w:w="216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(a) Change in Law:</w:t>
            </w:r>
          </w:p>
        </w:tc>
        <w:tc>
          <w:tcPr>
            <w:tcW w:w="1340" w:type="dxa"/>
            <w:vAlign w:val="bottom"/>
          </w:tcPr>
          <w:p>
            <w:pPr>
              <w:spacing w:after="0"/>
              <w:rPr>
                <w:sz w:val="18"/>
                <w:szCs w:val="18"/>
                <w:color w:val="auto"/>
              </w:rPr>
            </w:pPr>
          </w:p>
        </w:tc>
        <w:tc>
          <w:tcPr>
            <w:tcW w:w="7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replacing the phrase “the interpretation” in the third line thereof with the phrase “, or public</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announcement of, the formal or informal interpretation”, (ii) adding the phrase “and/or type of</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Applicable Hedge Positions” after the word “Shares” in clause (X) thereof, (iii) immediately following</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word “Transaction” in clause (X) thereof, adding the phrase “in the manner that Dealer determines</w:t>
            </w:r>
          </w:p>
        </w:tc>
        <w:tc>
          <w:tcPr>
            <w:tcW w:w="0" w:type="dxa"/>
            <w:vAlign w:val="bottom"/>
          </w:tcPr>
          <w:p>
            <w:pPr>
              <w:spacing w:after="0"/>
              <w:rPr>
                <w:sz w:val="1"/>
                <w:szCs w:val="1"/>
                <w:color w:val="auto"/>
              </w:rPr>
            </w:pPr>
          </w:p>
        </w:tc>
      </w:tr>
      <w:tr>
        <w:trPr>
          <w:trHeight w:val="214"/>
        </w:trPr>
        <w:tc>
          <w:tcPr>
            <w:tcW w:w="2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would have been contemplated by a Hypothetical Dealer on the Trade Date” and (iv) adding the words</w:t>
            </w:r>
          </w:p>
        </w:tc>
        <w:tc>
          <w:tcPr>
            <w:tcW w:w="0" w:type="dxa"/>
            <w:vAlign w:val="bottom"/>
          </w:tcPr>
          <w:p>
            <w:pPr>
              <w:spacing w:after="0"/>
              <w:rPr>
                <w:sz w:val="1"/>
                <w:szCs w:val="1"/>
                <w:color w:val="auto"/>
              </w:rPr>
            </w:pPr>
          </w:p>
        </w:tc>
      </w:tr>
      <w:tr>
        <w:trPr>
          <w:trHeight w:val="218"/>
        </w:trPr>
        <w:tc>
          <w:tcPr>
            <w:tcW w:w="2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clause (Y) hereof and any law, regulation or interpretation, the</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consequence of such law, regulation or interpretation is applied consistently by Dealer to all of its</w:t>
            </w:r>
          </w:p>
        </w:tc>
        <w:tc>
          <w:tcPr>
            <w:tcW w:w="0" w:type="dxa"/>
            <w:vAlign w:val="bottom"/>
          </w:tcPr>
          <w:p>
            <w:pPr>
              <w:spacing w:after="0"/>
              <w:rPr>
                <w:sz w:val="1"/>
                <w:szCs w:val="1"/>
                <w:color w:val="auto"/>
              </w:rPr>
            </w:pPr>
          </w:p>
        </w:tc>
      </w:tr>
      <w:tr>
        <w:trPr>
          <w:trHeight w:val="214"/>
        </w:trPr>
        <w:tc>
          <w:tcPr>
            <w:tcW w:w="2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similarly situated counterparties and/or similar transactions” after the semi-colon in the last line thereof;</w:t>
            </w:r>
          </w:p>
        </w:tc>
        <w:tc>
          <w:tcPr>
            <w:tcW w:w="0" w:type="dxa"/>
            <w:vAlign w:val="bottom"/>
          </w:tcPr>
          <w:p>
            <w:pPr>
              <w:spacing w:after="0"/>
              <w:rPr>
                <w:sz w:val="1"/>
                <w:szCs w:val="1"/>
                <w:color w:val="auto"/>
              </w:rPr>
            </w:pPr>
          </w:p>
        </w:tc>
      </w:tr>
      <w:tr>
        <w:trPr>
          <w:trHeight w:val="218"/>
        </w:trPr>
        <w:tc>
          <w:tcPr>
            <w:tcW w:w="2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Section 12.9(a)(ii) of the Equity Definitions is hereby amended by (i)</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replacing the parenthetical beginning after the word “regulation” in the second line thereof with the</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words “(including, for the avoidance of doubt and without limitation, (x) any tax law or (y) adoption or</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promulgation of new regulations authorized or mandated by existing statute)” and (ii) adding the words</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or holding, acquiring or disposing of Shares or the Applicable Hedge Positions relating to,” after the</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words “obligations under” in clause (Y) thereof.</w:t>
            </w:r>
          </w:p>
        </w:tc>
        <w:tc>
          <w:tcPr>
            <w:tcW w:w="0" w:type="dxa"/>
            <w:vAlign w:val="bottom"/>
          </w:tcPr>
          <w:p>
            <w:pPr>
              <w:spacing w:after="0"/>
              <w:rPr>
                <w:sz w:val="1"/>
                <w:szCs w:val="1"/>
                <w:color w:val="auto"/>
              </w:rPr>
            </w:pPr>
          </w:p>
        </w:tc>
      </w:tr>
      <w:tr>
        <w:trPr>
          <w:trHeight w:val="234"/>
        </w:trPr>
        <w:tc>
          <w:tcPr>
            <w:tcW w:w="35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 Failure to Deliver:</w:t>
            </w: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Applicable</w:t>
            </w:r>
          </w:p>
        </w:tc>
        <w:tc>
          <w:tcPr>
            <w:tcW w:w="0" w:type="dxa"/>
            <w:vAlign w:val="bottom"/>
          </w:tcPr>
          <w:p>
            <w:pPr>
              <w:spacing w:after="0"/>
              <w:rPr>
                <w:sz w:val="1"/>
                <w:szCs w:val="1"/>
                <w:color w:val="auto"/>
              </w:rPr>
            </w:pPr>
          </w:p>
        </w:tc>
      </w:tr>
      <w:tr>
        <w:trPr>
          <w:trHeight w:val="557"/>
        </w:trPr>
        <w:tc>
          <w:tcPr>
            <w:tcW w:w="2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740" w:type="dxa"/>
            <w:vAlign w:val="bottom"/>
          </w:tcPr>
          <w:p>
            <w:pPr>
              <w:ind w:left="2060"/>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44"/>
        </w:trPr>
        <w:tc>
          <w:tcPr>
            <w:tcW w:w="21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7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7"/>
          <w:szCs w:val="17"/>
          <w:color w:val="auto"/>
        </w:rPr>
        <w:t>(c) Insolvency Filing: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Applicable</w:t>
      </w:r>
    </w:p>
    <w:p>
      <w:pPr>
        <w:spacing w:after="0" w:line="200" w:lineRule="exact"/>
        <w:rPr>
          <w:sz w:val="20"/>
          <w:szCs w:val="20"/>
          <w:color w:val="auto"/>
        </w:rPr>
      </w:pPr>
    </w:p>
    <w:p>
      <w:pPr>
        <w:sectPr>
          <w:pgSz w:w="11900" w:h="16838" w:orient="portrait"/>
          <w:cols w:equalWidth="0" w:num="2">
            <w:col w:w="2660" w:space="720"/>
            <w:col w:w="7520"/>
          </w:cols>
          <w:pgMar w:left="660" w:top="121" w:right="339" w:bottom="1440" w:gutter="0" w:footer="0" w:header="0"/>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 Hedging Disruption:</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“Hedging Disruption” shall be amended in its entirety to mean that the Hedging Party determines that a Hypothetical Dealer would be unable, after using commercially reasonable efforts to (A) acquire, establish, re-establish, substitute, maintain, unwind or dispose of any transaction(s) or asset(s) it deems necessary to hedge the equity price risk of entering into and performing its obligations with respect to the Transaction, or (B) realize, recover or remit the proceeds of any such transaction(s) or asset(s),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inability that (1) is incurred solely due to the deterioration of the creditworthiness of the Hedging Party, or (2) arises solely as a result of a failure of a system within the control of the Hedging Party, shall not be deemed a Hedging Disruption, and, for the avoidance of doubt, (x) the term “equity price risk” shall be deemed to include, but shall not be limited to, stock price and volatility risk, and (y) the transactions or assets referred to in phrases (A) or (B) above must be available on commercially reasonable pricing and other terms;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Section 12.9(b)(iii) of the Equity Definitions is hereby amended by inserting in the third line thereof, after the words “to terminate the Transaction”, the words “or a portion of the Transaction affected by such Hedging Disruption”.</w:t>
      </w:r>
    </w:p>
    <w:p>
      <w:pPr>
        <w:spacing w:after="0" w:line="187" w:lineRule="exact"/>
        <w:rPr>
          <w:sz w:val="20"/>
          <w:szCs w:val="20"/>
          <w:color w:val="auto"/>
        </w:rPr>
      </w:pPr>
    </w:p>
    <w:p>
      <w:pPr>
        <w:sectPr>
          <w:pgSz w:w="11900" w:h="16838" w:orient="portrait"/>
          <w:cols w:equalWidth="0" w:num="2">
            <w:col w:w="2660" w:space="720"/>
            <w:col w:w="7520"/>
          </w:cols>
          <w:pgMar w:left="660" w:top="12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(e) Increased Cost of Hedging: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11" w:lineRule="exact"/>
        <w:rPr>
          <w:sz w:val="20"/>
          <w:szCs w:val="20"/>
          <w:color w:val="auto"/>
        </w:rPr>
      </w:pPr>
    </w:p>
    <w:p>
      <w:pPr>
        <w:sectPr>
          <w:pgSz w:w="11900" w:h="16838" w:orient="portrait"/>
          <w:cols w:equalWidth="0" w:num="2">
            <w:col w:w="2660" w:space="720"/>
            <w:col w:w="7520"/>
          </w:cols>
          <w:pgMar w:left="660" w:top="121"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Hedging Party:</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Dealer</w:t>
      </w:r>
    </w:p>
    <w:p>
      <w:pPr>
        <w:spacing w:after="0" w:line="200" w:lineRule="exact"/>
        <w:rPr>
          <w:sz w:val="20"/>
          <w:szCs w:val="20"/>
          <w:color w:val="auto"/>
        </w:rPr>
      </w:pPr>
    </w:p>
    <w:p>
      <w:pPr>
        <w:sectPr>
          <w:pgSz w:w="11900" w:h="16838" w:orient="portrait"/>
          <w:cols w:equalWidth="0" w:num="2">
            <w:col w:w="2660" w:space="720"/>
            <w:col w:w="7520"/>
          </w:cols>
          <w:pgMar w:left="660" w:top="121"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Determining Party:</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all applicable Extraordinary Events, Dealer;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when making any determination or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calculation as “Determining Party,” Dealer shall be bound by the same obligations relating to required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acts of the Calculation Agent as set forth in Section 1.40 of the Equity Definitions and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Confirmation as if Determining Party were the Calculation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any determination or calculation by Determining Party hereunder, upon a written request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Counterparty, Determining Party will promptly (but in any event within five Scheduled Trading Days)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 to Counterparty in writing a report (in a commonly used file format for the storage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manipulation of financial data) displaying in reasonable detail the basis for such determination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calculation (including any assumptions used in making such determination or calculation), it being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understood that in no event will Determining Party be obligated to share with Counterparty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proprietary or confidential data or information or any proprietary or confidential models used by it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making such determination or calculation or any information that is subject to an obligation not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disclose such information.</w:t>
      </w:r>
    </w:p>
    <w:p>
      <w:pPr>
        <w:spacing w:after="0" w:line="200" w:lineRule="exact"/>
        <w:rPr>
          <w:sz w:val="20"/>
          <w:szCs w:val="20"/>
          <w:color w:val="auto"/>
        </w:rPr>
      </w:pPr>
    </w:p>
    <w:p>
      <w:pPr>
        <w:sectPr>
          <w:pgSz w:w="11900" w:h="16838" w:orient="portrait"/>
          <w:cols w:equalWidth="0" w:num="2">
            <w:col w:w="2660" w:space="720"/>
            <w:col w:w="7520"/>
          </w:cols>
          <w:pgMar w:left="660" w:top="121"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Non-Reliance: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Applicable</w:t>
      </w:r>
    </w:p>
    <w:p>
      <w:pPr>
        <w:spacing w:after="0" w:line="200" w:lineRule="exact"/>
        <w:rPr>
          <w:sz w:val="20"/>
          <w:szCs w:val="20"/>
          <w:color w:val="auto"/>
        </w:rPr>
      </w:pPr>
    </w:p>
    <w:p>
      <w:pPr>
        <w:sectPr>
          <w:pgSz w:w="11900" w:h="16838" w:orient="portrait"/>
          <w:cols w:equalWidth="0" w:num="2">
            <w:col w:w="2660" w:space="720"/>
            <w:col w:w="7520"/>
          </w:cols>
          <w:pgMar w:left="660" w:top="121"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Agreements and Acknowledgments RegardingApplicable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Hedging Activities:</w:t>
      </w:r>
    </w:p>
    <w:p>
      <w:pPr>
        <w:spacing w:after="0" w:line="207" w:lineRule="exact"/>
        <w:rPr>
          <w:sz w:val="20"/>
          <w:szCs w:val="20"/>
          <w:color w:val="auto"/>
        </w:rPr>
      </w:pPr>
    </w:p>
    <w:p>
      <w:pPr>
        <w:spacing w:after="0"/>
        <w:tabs>
          <w:tab w:leader="none" w:pos="3360" w:val="left"/>
        </w:tabs>
        <w:rPr>
          <w:sz w:val="20"/>
          <w:szCs w:val="20"/>
          <w:color w:val="auto"/>
        </w:rPr>
      </w:pPr>
      <w:r>
        <w:rPr>
          <w:rFonts w:ascii="Times New Roman" w:cs="Times New Roman" w:eastAsia="Times New Roman" w:hAnsi="Times New Roman"/>
          <w:sz w:val="18"/>
          <w:szCs w:val="18"/>
          <w:color w:val="auto"/>
        </w:rPr>
        <w:t>Additional Acknowledgments:</w:t>
      </w:r>
      <w:r>
        <w:rPr>
          <w:sz w:val="20"/>
          <w:szCs w:val="20"/>
          <w:color w:val="auto"/>
        </w:rPr>
        <w:tab/>
      </w:r>
      <w:r>
        <w:rPr>
          <w:rFonts w:ascii="Times New Roman" w:cs="Times New Roman" w:eastAsia="Times New Roman" w:hAnsi="Times New Roman"/>
          <w:sz w:val="18"/>
          <w:szCs w:val="18"/>
          <w:color w:val="auto"/>
        </w:rPr>
        <w:t>Applicable</w:t>
      </w:r>
    </w:p>
    <w:p>
      <w:pPr>
        <w:spacing w:after="0" w:line="39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40640</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121" w:right="339" w:bottom="1440" w:gutter="0" w:footer="0" w:header="0"/>
          <w:type w:val="continuous"/>
        </w:sectPr>
      </w:pPr>
    </w:p>
    <w:bookmarkStart w:id="130" w:name="page131"/>
    <w:bookmarkEnd w:id="130"/>
    <w:tbl>
      <w:tblPr>
        <w:tblLayout w:type="fixed"/>
        <w:tblInd w:w="0" w:type="dxa"/>
        <w:tblCellMar>
          <w:top w:w="0" w:type="dxa"/>
          <w:left w:w="0" w:type="dxa"/>
          <w:bottom w:w="0" w:type="dxa"/>
          <w:right w:w="0" w:type="dxa"/>
        </w:tblCellMar>
      </w:tblPr>
      <w:tr>
        <w:trPr>
          <w:trHeight w:val="207"/>
        </w:trPr>
        <w:tc>
          <w:tcPr>
            <w:tcW w:w="2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b w:val="1"/>
                <w:bCs w:val="1"/>
                <w:color w:val="auto"/>
              </w:rPr>
              <w:t>Calculation Agent</w:t>
            </w:r>
            <w:r>
              <w:rPr>
                <w:rFonts w:ascii="Times New Roman" w:cs="Times New Roman" w:eastAsia="Times New Roman" w:hAnsi="Times New Roman"/>
                <w:sz w:val="18"/>
                <w:szCs w:val="18"/>
                <w:color w:val="auto"/>
              </w:rPr>
              <w:t>:</w:t>
            </w:r>
          </w:p>
        </w:tc>
        <w:tc>
          <w:tcPr>
            <w:tcW w:w="85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 xml:space="preserve">Dealer;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following the occurrence and during the continuance of an Event of Default</w:t>
            </w:r>
          </w:p>
        </w:tc>
      </w:tr>
      <w:tr>
        <w:trPr>
          <w:trHeight w:val="218"/>
        </w:trPr>
        <w:tc>
          <w:tcPr>
            <w:tcW w:w="18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8540" w:type="dxa"/>
            <w:vAlign w:val="bottom"/>
          </w:tcPr>
          <w:p>
            <w:pPr>
              <w:ind w:left="1040"/>
              <w:spacing w:after="0"/>
              <w:rPr>
                <w:sz w:val="20"/>
                <w:szCs w:val="20"/>
                <w:color w:val="auto"/>
              </w:rPr>
            </w:pPr>
            <w:r>
              <w:rPr>
                <w:rFonts w:ascii="Times New Roman" w:cs="Times New Roman" w:eastAsia="Times New Roman" w:hAnsi="Times New Roman"/>
                <w:sz w:val="18"/>
                <w:szCs w:val="18"/>
                <w:color w:val="auto"/>
                <w:w w:val="99"/>
              </w:rPr>
              <w:t>pursuant to Section 5(a)(vii) of the Agreement with respect to which Dealer is the sole Defaulting Party,</w:t>
            </w:r>
          </w:p>
        </w:tc>
      </w:tr>
      <w:tr>
        <w:trPr>
          <w:trHeight w:val="216"/>
        </w:trPr>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5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Counterparty shall have the right to designate a nationally recognized third party dealer in over-the-</w:t>
            </w:r>
          </w:p>
        </w:tc>
      </w:tr>
      <w:tr>
        <w:trPr>
          <w:trHeight w:val="216"/>
        </w:trPr>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5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counter corporate equity derivatives to replace Dealer as the Calculation Agent, and the parties shall</w:t>
            </w:r>
          </w:p>
        </w:tc>
      </w:tr>
      <w:tr>
        <w:trPr>
          <w:trHeight w:val="216"/>
        </w:trPr>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5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work in good faith to execute any appropriate documentation required by such replacement Calculation</w:t>
            </w:r>
          </w:p>
        </w:tc>
      </w:tr>
      <w:tr>
        <w:trPr>
          <w:trHeight w:val="234"/>
        </w:trPr>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5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Agent.</w:t>
            </w:r>
          </w:p>
        </w:tc>
      </w:tr>
      <w:tr>
        <w:trPr>
          <w:trHeight w:val="414"/>
        </w:trPr>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5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Following any adjustment, determination or calculation by the Calculation Agent hereunder, upon a</w:t>
            </w:r>
          </w:p>
        </w:tc>
      </w:tr>
      <w:tr>
        <w:trPr>
          <w:trHeight w:val="216"/>
        </w:trPr>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5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written request by Counterparty, the Calculation Agent will promptly (but in any event within five</w:t>
            </w:r>
          </w:p>
        </w:tc>
      </w:tr>
      <w:tr>
        <w:trPr>
          <w:trHeight w:val="216"/>
        </w:trPr>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5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Scheduled Trading Days) provide to Counterparty in writing a report (in a commonly used file format</w:t>
            </w:r>
          </w:p>
        </w:tc>
      </w:tr>
      <w:tr>
        <w:trPr>
          <w:trHeight w:val="216"/>
        </w:trPr>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5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for the storage and manipulation of financial data) displaying in reasonable detail the basis for such</w:t>
            </w:r>
          </w:p>
        </w:tc>
      </w:tr>
      <w:tr>
        <w:trPr>
          <w:trHeight w:val="216"/>
        </w:trPr>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5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adjustment, determination or calculation (including any assumptions used in making such adjustment,</w:t>
            </w:r>
          </w:p>
        </w:tc>
      </w:tr>
      <w:tr>
        <w:trPr>
          <w:trHeight w:val="216"/>
        </w:trPr>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5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determination or calculation), it being understood that in no event will the Calculation Agent be</w:t>
            </w:r>
          </w:p>
        </w:tc>
      </w:tr>
      <w:tr>
        <w:trPr>
          <w:trHeight w:val="216"/>
        </w:trPr>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5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obligated to share with Counterparty any proprietary or confidential data or information or any</w:t>
            </w:r>
          </w:p>
        </w:tc>
      </w:tr>
      <w:tr>
        <w:trPr>
          <w:trHeight w:val="216"/>
        </w:trPr>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540" w:type="dxa"/>
            <w:vAlign w:val="bottom"/>
          </w:tcPr>
          <w:p>
            <w:pPr>
              <w:ind w:left="1040"/>
              <w:spacing w:after="0"/>
              <w:rPr>
                <w:sz w:val="20"/>
                <w:szCs w:val="20"/>
                <w:color w:val="auto"/>
              </w:rPr>
            </w:pPr>
            <w:r>
              <w:rPr>
                <w:rFonts w:ascii="Times New Roman" w:cs="Times New Roman" w:eastAsia="Times New Roman" w:hAnsi="Times New Roman"/>
                <w:sz w:val="18"/>
                <w:szCs w:val="18"/>
                <w:color w:val="auto"/>
                <w:w w:val="99"/>
              </w:rPr>
              <w:t>proprietary or confidential models used by it in making such adjustment, determination or calculation or</w:t>
            </w:r>
          </w:p>
        </w:tc>
      </w:tr>
      <w:tr>
        <w:trPr>
          <w:trHeight w:val="234"/>
        </w:trPr>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5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any information that is subject to an obligation not to disclose such information.</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b w:val="1"/>
          <w:bCs w:val="1"/>
          <w:u w:val="single" w:color="auto"/>
          <w:color w:val="auto"/>
        </w:rPr>
        <w:t>Account Details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Dealer Payment Instructions:</w:t>
      </w:r>
    </w:p>
    <w:p>
      <w:pPr>
        <w:sectPr>
          <w:pgSz w:w="11900" w:h="16838" w:orient="portrait"/>
          <w:cols w:equalWidth="0" w:num="1">
            <w:col w:w="11220"/>
          </w:cols>
          <w:pgMar w:left="320" w:top="108" w:right="359" w:bottom="1440" w:gutter="0" w:footer="0" w:header="0"/>
        </w:sectPr>
      </w:pP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[Bank:]</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[SWIFT:]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[Bank Routing:]</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[Acct Name:]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[Acct No.:]</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w:t>
      </w:r>
    </w:p>
    <w:p>
      <w:pPr>
        <w:spacing w:after="0" w:line="211" w:lineRule="exact"/>
        <w:rPr>
          <w:sz w:val="20"/>
          <w:szCs w:val="20"/>
          <w:color w:val="auto"/>
        </w:rPr>
      </w:pPr>
    </w:p>
    <w:p>
      <w:pPr>
        <w:sectPr>
          <w:pgSz w:w="11900" w:h="16838" w:orient="portrait"/>
          <w:cols w:equalWidth="0" w:num="2">
            <w:col w:w="2480" w:space="120"/>
            <w:col w:w="8620"/>
          </w:cols>
          <w:pgMar w:left="320" w:top="108" w:right="359" w:bottom="1440" w:gutter="0" w:footer="0" w:header="0"/>
          <w:type w:val="continuous"/>
        </w:sectPr>
      </w:pP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Counterparty Payment Instructions: To be advised.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b w:val="1"/>
          <w:bCs w:val="1"/>
          <w:u w:val="single" w:color="auto"/>
          <w:color w:val="auto"/>
        </w:rPr>
        <w:t>Offices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Office of Dealer for the Transaction is: [____________]</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The Office of Counterparty for the Transaction is: Inapplicable, Counterparty is not a Multibranch Party.</w:t>
      </w:r>
    </w:p>
    <w:p>
      <w:pPr>
        <w:spacing w:after="0" w:line="200" w:lineRule="exact"/>
        <w:rPr>
          <w:sz w:val="20"/>
          <w:szCs w:val="20"/>
          <w:color w:val="auto"/>
        </w:rPr>
      </w:pPr>
    </w:p>
    <w:p>
      <w:pPr>
        <w:spacing w:after="0" w:line="249" w:lineRule="exact"/>
        <w:rPr>
          <w:sz w:val="20"/>
          <w:szCs w:val="20"/>
          <w:color w:val="auto"/>
        </w:rPr>
      </w:pPr>
    </w:p>
    <w:p>
      <w:pPr>
        <w:ind w:left="180" w:hanging="172"/>
        <w:spacing w:after="0"/>
        <w:tabs>
          <w:tab w:leader="none" w:pos="18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For purposes of this Confirmation:</w:t>
      </w:r>
    </w:p>
    <w:p>
      <w:pPr>
        <w:spacing w:after="0" w:line="229"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for notices or communications to Counterparty:</w:t>
      </w:r>
    </w:p>
    <w:p>
      <w:pPr>
        <w:sectPr>
          <w:pgSz w:w="11900" w:h="16838" w:orient="portrait"/>
          <w:cols w:equalWidth="0" w:num="1">
            <w:col w:w="11220"/>
          </w:cols>
          <w:pgMar w:left="320" w:top="108" w:right="359" w:bottom="1440" w:gutter="0" w:footer="0" w:header="0"/>
          <w:type w:val="continuous"/>
        </w:sectPr>
      </w:pP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To:</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IREN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5, 55 Market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Sydney, NSW 2000 Australia</w:t>
      </w:r>
    </w:p>
    <w:p>
      <w:pPr>
        <w:spacing w:after="0" w:line="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1880" w:space="720"/>
            <w:col w:w="8620"/>
          </w:cols>
          <w:pgMar w:left="320" w:top="108" w:right="359" w:bottom="1440" w:gutter="0" w:footer="0" w:header="0"/>
          <w:type w:val="continuous"/>
        </w:sectPr>
      </w:pP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(b) Address for notices or communications to Dealer:</w:t>
      </w:r>
    </w:p>
    <w:p>
      <w:pPr>
        <w:sectPr>
          <w:pgSz w:w="11900" w:h="16838" w:orient="portrait"/>
          <w:cols w:equalWidth="0" w:num="1">
            <w:col w:w="11220"/>
          </w:cols>
          <w:pgMar w:left="320" w:top="108" w:right="359" w:bottom="1440" w:gutter="0" w:footer="0" w:header="0"/>
          <w:type w:val="continuous"/>
        </w:sectPr>
      </w:pPr>
    </w:p>
    <w:p>
      <w:pPr>
        <w:spacing w:after="0" w:line="2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To:</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Telephone:</w:t>
      </w:r>
    </w:p>
    <w:p>
      <w:pPr>
        <w:spacing w:after="0" w:line="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200" w:lineRule="exact"/>
        <w:rPr>
          <w:sz w:val="20"/>
          <w:szCs w:val="20"/>
          <w:color w:val="auto"/>
        </w:rPr>
      </w:pPr>
    </w:p>
    <w:p>
      <w:pPr>
        <w:sectPr>
          <w:pgSz w:w="11900" w:h="16838" w:orient="portrait"/>
          <w:cols w:equalWidth="0" w:num="2">
            <w:col w:w="2100" w:space="500"/>
            <w:col w:w="8620"/>
          </w:cols>
          <w:pgMar w:left="320" w:top="108" w:right="359" w:bottom="1440" w:gutter="0" w:footer="0" w:header="0"/>
          <w:type w:val="continuous"/>
        </w:sectPr>
      </w:pP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type w:val="continuous"/>
        </w:sectPr>
      </w:pPr>
    </w:p>
    <w:bookmarkStart w:id="131" w:name="page132"/>
    <w:bookmarkEnd w:id="131"/>
    <w:p>
      <w:pPr>
        <w:ind w:left="1300"/>
        <w:spacing w:after="0"/>
        <w:rPr>
          <w:sz w:val="20"/>
          <w:szCs w:val="20"/>
          <w:color w:val="auto"/>
        </w:rPr>
      </w:pPr>
      <w:r>
        <w:rPr>
          <w:rFonts w:ascii="Times New Roman" w:cs="Times New Roman" w:eastAsia="Times New Roman" w:hAnsi="Times New Roman"/>
          <w:sz w:val="18"/>
          <w:szCs w:val="18"/>
          <w:color w:val="auto"/>
        </w:rPr>
        <w:t>With a copy to:</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Telephone: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200" w:lineRule="exact"/>
        <w:rPr>
          <w:sz w:val="20"/>
          <w:szCs w:val="20"/>
          <w:color w:val="auto"/>
        </w:rPr>
      </w:pPr>
    </w:p>
    <w:p>
      <w:pPr>
        <w:sectPr>
          <w:pgSz w:w="11900" w:h="16838" w:orient="portrait"/>
          <w:cols w:equalWidth="0" w:num="2">
            <w:col w:w="2420" w:space="180"/>
            <w:col w:w="8640"/>
          </w:cols>
          <w:pgMar w:left="320" w:top="121" w:right="339" w:bottom="1440" w:gutter="0" w:footer="0" w:header="0"/>
        </w:sectPr>
      </w:pPr>
    </w:p>
    <w:p>
      <w:pPr>
        <w:spacing w:after="0" w:line="7" w:lineRule="exact"/>
        <w:rPr>
          <w:sz w:val="20"/>
          <w:szCs w:val="20"/>
          <w:color w:val="auto"/>
        </w:rPr>
      </w:pPr>
    </w:p>
    <w:p>
      <w:pPr>
        <w:ind w:left="500" w:right="160"/>
        <w:spacing w:after="0" w:line="282" w:lineRule="auto"/>
        <w:rPr>
          <w:sz w:val="20"/>
          <w:szCs w:val="20"/>
          <w:color w:val="auto"/>
        </w:rPr>
      </w:pPr>
      <w:r>
        <w:rPr>
          <w:rFonts w:ascii="Times New Roman" w:cs="Times New Roman" w:eastAsia="Times New Roman" w:hAnsi="Times New Roman"/>
          <w:sz w:val="18"/>
          <w:szCs w:val="18"/>
          <w:color w:val="auto"/>
        </w:rPr>
        <w:t>For the avoidance of doubt, any notice or other communication delivered by electronic messaging system, e-mail or facsimile transmission shall be deemed to be “in writing.”</w:t>
      </w:r>
    </w:p>
    <w:p>
      <w:pPr>
        <w:spacing w:after="0" w:line="158" w:lineRule="exact"/>
        <w:rPr>
          <w:sz w:val="20"/>
          <w:szCs w:val="20"/>
          <w:color w:val="auto"/>
        </w:rPr>
      </w:pPr>
    </w:p>
    <w:p>
      <w:pPr>
        <w:ind w:left="180" w:hanging="172"/>
        <w:spacing w:after="0"/>
        <w:tabs>
          <w:tab w:leader="none" w:pos="18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Representations, Warranties and Agreements</w:t>
      </w:r>
      <w:r>
        <w:rPr>
          <w:rFonts w:ascii="Times New Roman" w:cs="Times New Roman" w:eastAsia="Times New Roman" w:hAnsi="Times New Roman"/>
          <w:sz w:val="18"/>
          <w:szCs w:val="18"/>
          <w:u w:val="single" w:color="auto"/>
          <w:color w:val="auto"/>
        </w:rPr>
        <w:t>:</w:t>
      </w:r>
    </w:p>
    <w:p>
      <w:pPr>
        <w:spacing w:after="0" w:line="229" w:lineRule="exact"/>
        <w:rPr>
          <w:rFonts w:ascii="Times New Roman" w:cs="Times New Roman" w:eastAsia="Times New Roman" w:hAnsi="Times New Roman"/>
          <w:sz w:val="18"/>
          <w:szCs w:val="18"/>
          <w:color w:val="auto"/>
        </w:rPr>
      </w:pPr>
    </w:p>
    <w:p>
      <w:pPr>
        <w:ind w:firstLine="646"/>
        <w:spacing w:after="0" w:line="282" w:lineRule="auto"/>
        <w:tabs>
          <w:tab w:leader="none" w:pos="886"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representations and warranties in the Agreement and those contained elsewhere herein, Counterparty represents and warrants to and for the benefit of, and agrees with, Dealer as follows:</w:t>
      </w:r>
    </w:p>
    <w:p>
      <w:pPr>
        <w:spacing w:after="0" w:line="161" w:lineRule="exact"/>
        <w:rPr>
          <w:rFonts w:ascii="Times New Roman" w:cs="Times New Roman" w:eastAsia="Times New Roman" w:hAnsi="Times New Roman"/>
          <w:sz w:val="18"/>
          <w:szCs w:val="18"/>
          <w:color w:val="auto"/>
        </w:rPr>
      </w:pPr>
    </w:p>
    <w:p>
      <w:pPr>
        <w:jc w:val="both"/>
        <w:ind w:left="660" w:firstLine="320"/>
        <w:spacing w:after="0" w:line="258" w:lineRule="auto"/>
        <w:tabs>
          <w:tab w:leader="none" w:pos="1211" w:val="left"/>
        </w:tabs>
        <w:numPr>
          <w:ilvl w:val="2"/>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Trade Date, all reports and other documents filed by Counterparty with the Securities and Exchange Commission pursuant to the Exchange Act and the Australian Securities and Investments Commission (“</w:t>
      </w:r>
      <w:r>
        <w:rPr>
          <w:rFonts w:ascii="Times New Roman" w:cs="Times New Roman" w:eastAsia="Times New Roman" w:hAnsi="Times New Roman"/>
          <w:sz w:val="18"/>
          <w:szCs w:val="18"/>
          <w:b w:val="1"/>
          <w:bCs w:val="1"/>
          <w:color w:val="auto"/>
        </w:rPr>
        <w:t>ASIC</w:t>
      </w:r>
      <w:r>
        <w:rPr>
          <w:rFonts w:ascii="Times New Roman" w:cs="Times New Roman" w:eastAsia="Times New Roman" w:hAnsi="Times New Roman"/>
          <w:sz w:val="18"/>
          <w:szCs w:val="18"/>
          <w:color w:val="auto"/>
        </w:rPr>
        <w:t>”) pursuant to the Corporations Act, in each case, when considered as a whole (with the more recent such reports and documents deemed to amend inconsistent statements contained in any earlier such reports and documents), do not contain any untrue statement of a material fact or any omission of a material fact required to be stated therein or necessary to make the statements therein, in the light of the circumstances in which they were made, not misleading.</w:t>
      </w:r>
    </w:p>
    <w:p>
      <w:pPr>
        <w:spacing w:after="0" w:line="183" w:lineRule="exact"/>
        <w:rPr>
          <w:rFonts w:ascii="Times New Roman" w:cs="Times New Roman" w:eastAsia="Times New Roman" w:hAnsi="Times New Roman"/>
          <w:sz w:val="18"/>
          <w:szCs w:val="18"/>
          <w:color w:val="auto"/>
        </w:rPr>
      </w:pPr>
    </w:p>
    <w:p>
      <w:pPr>
        <w:jc w:val="both"/>
        <w:ind w:left="660" w:firstLine="320"/>
        <w:spacing w:after="0" w:line="256" w:lineRule="auto"/>
        <w:tabs>
          <w:tab w:leader="none" w:pos="1256" w:val="left"/>
        </w:tabs>
        <w:numPr>
          <w:ilvl w:val="2"/>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Trade Date, (A) the Shares or securities that are convertible into, or exchangeable or exercisable for Shares, are not, and shall not be, subject to a “restricted period,” as such term is defined in Regulation M under the Exchange Act (“</w:t>
      </w:r>
      <w:r>
        <w:rPr>
          <w:rFonts w:ascii="Times New Roman" w:cs="Times New Roman" w:eastAsia="Times New Roman" w:hAnsi="Times New Roman"/>
          <w:sz w:val="18"/>
          <w:szCs w:val="18"/>
          <w:b w:val="1"/>
          <w:bCs w:val="1"/>
          <w:color w:val="auto"/>
        </w:rPr>
        <w:t>Regulation M</w:t>
      </w:r>
      <w:r>
        <w:rPr>
          <w:rFonts w:ascii="Times New Roman" w:cs="Times New Roman" w:eastAsia="Times New Roman" w:hAnsi="Times New Roman"/>
          <w:sz w:val="18"/>
          <w:szCs w:val="18"/>
          <w:color w:val="auto"/>
        </w:rPr>
        <w:t>”), and (B) Counterparty is not engaged in any “distribution,” as such term is defined in Regulation M, in either case, other than (i) a distribution meeting the requirements of the exceptions set forth in Rules 101(b)(10) and 102(b)(7) or Rule 102(c)(1)(i) of Regulation M and (ii) any such “restricted period” and/or distribution that may be considered to exist as a result of the Issuer’s existing at-the-market Share issuance program. Counterparty shall not, until the third Exchange Business Day immediately following the Trade Date, engage in any such distribution.</w:t>
      </w:r>
    </w:p>
    <w:p>
      <w:pPr>
        <w:spacing w:after="0" w:line="187" w:lineRule="exact"/>
        <w:rPr>
          <w:rFonts w:ascii="Times New Roman" w:cs="Times New Roman" w:eastAsia="Times New Roman" w:hAnsi="Times New Roman"/>
          <w:sz w:val="18"/>
          <w:szCs w:val="18"/>
          <w:color w:val="auto"/>
        </w:rPr>
      </w:pPr>
    </w:p>
    <w:p>
      <w:pPr>
        <w:jc w:val="both"/>
        <w:ind w:left="660" w:firstLine="320"/>
        <w:spacing w:after="0" w:line="258" w:lineRule="auto"/>
        <w:tabs>
          <w:tab w:leader="none" w:pos="1300" w:val="left"/>
        </w:tabs>
        <w:numPr>
          <w:ilvl w:val="2"/>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Trade Date, neither Counterparty nor any “affiliate” or “affiliated purchaser” (each as defined in Rule 10b-18 of the Exchange Act (“</w:t>
      </w:r>
      <w:r>
        <w:rPr>
          <w:rFonts w:ascii="Times New Roman" w:cs="Times New Roman" w:eastAsia="Times New Roman" w:hAnsi="Times New Roman"/>
          <w:sz w:val="18"/>
          <w:szCs w:val="18"/>
          <w:b w:val="1"/>
          <w:bCs w:val="1"/>
          <w:color w:val="auto"/>
        </w:rPr>
        <w:t>Rule 10b-18</w:t>
      </w:r>
      <w:r>
        <w:rPr>
          <w:rFonts w:ascii="Times New Roman" w:cs="Times New Roman" w:eastAsia="Times New Roman" w:hAnsi="Times New Roman"/>
          <w:sz w:val="18"/>
          <w:szCs w:val="18"/>
          <w:color w:val="auto"/>
        </w:rPr>
        <w:t>”)) shall directly or indirectly (including, without limitation, by means of any cash-settled or other derivative instrument) purchase, offer to purchase, place any bid or limit order that would effect a purchase of, or commence any tender offer relating to, any Shares (or an equivalent interest, including a unit of beneficial interest in a trust or limited partnership or a depository share) or any security convertible into or exchangeable or exercisable for Shares.</w:t>
      </w:r>
    </w:p>
    <w:p>
      <w:pPr>
        <w:spacing w:after="0" w:line="183" w:lineRule="exact"/>
        <w:rPr>
          <w:rFonts w:ascii="Times New Roman" w:cs="Times New Roman" w:eastAsia="Times New Roman" w:hAnsi="Times New Roman"/>
          <w:sz w:val="18"/>
          <w:szCs w:val="18"/>
          <w:color w:val="auto"/>
        </w:rPr>
      </w:pPr>
    </w:p>
    <w:p>
      <w:pPr>
        <w:jc w:val="both"/>
        <w:ind w:left="660" w:firstLine="320"/>
        <w:spacing w:after="0" w:line="258" w:lineRule="auto"/>
        <w:tabs>
          <w:tab w:leader="none" w:pos="1301" w:val="left"/>
        </w:tabs>
        <w:numPr>
          <w:ilvl w:val="2"/>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Section 13.1 of the Equity Definitions, Counterparty acknowledges that neither Dealer nor any of its affiliates is making any representations or warranties or taking any position or expressing any view with respect to the treatment of the Transaction under any accounting standards including ASC Topic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ASC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480, Distinguishing Liabilities from Equity </w:t>
      </w:r>
      <w:r>
        <w:rPr>
          <w:rFonts w:ascii="Times New Roman" w:cs="Times New Roman" w:eastAsia="Times New Roman" w:hAnsi="Times New Roman"/>
          <w:sz w:val="18"/>
          <w:szCs w:val="18"/>
          <w:color w:val="auto"/>
        </w:rPr>
        <w:t>and ASC</w:t>
      </w:r>
      <w:r>
        <w:rPr>
          <w:rFonts w:ascii="Times New Roman" w:cs="Times New Roman" w:eastAsia="Times New Roman" w:hAnsi="Times New Roman"/>
          <w:sz w:val="18"/>
          <w:szCs w:val="18"/>
          <w:i w:val="1"/>
          <w:iCs w:val="1"/>
          <w:color w:val="auto"/>
        </w:rPr>
        <w:t xml:space="preserve"> 815-40, Derivatives and Hedging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Contracts in Entity’s Own Equity </w:t>
      </w:r>
      <w:r>
        <w:rPr>
          <w:rFonts w:ascii="Times New Roman" w:cs="Times New Roman" w:eastAsia="Times New Roman" w:hAnsi="Times New Roman"/>
          <w:sz w:val="18"/>
          <w:szCs w:val="18"/>
          <w:color w:val="auto"/>
        </w:rPr>
        <w:t>(or any successor issue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w:t>
      </w:r>
    </w:p>
    <w:p>
      <w:pPr>
        <w:spacing w:after="0" w:line="183" w:lineRule="exact"/>
        <w:rPr>
          <w:rFonts w:ascii="Times New Roman" w:cs="Times New Roman" w:eastAsia="Times New Roman" w:hAnsi="Times New Roman"/>
          <w:sz w:val="18"/>
          <w:szCs w:val="18"/>
          <w:color w:val="auto"/>
        </w:rPr>
      </w:pPr>
    </w:p>
    <w:p>
      <w:pPr>
        <w:ind w:left="660" w:right="20" w:firstLine="320"/>
        <w:spacing w:after="0" w:line="282" w:lineRule="auto"/>
        <w:tabs>
          <w:tab w:leader="none" w:pos="1293" w:val="left"/>
        </w:tabs>
        <w:numPr>
          <w:ilvl w:val="2"/>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Section 3(a)(iii) of the Agreement, the Transaction will not violate Rule 13e-1 or Rule 13e-4 under the Exchange Act.</w:t>
      </w:r>
    </w:p>
    <w:p>
      <w:pPr>
        <w:spacing w:after="0" w:line="161" w:lineRule="exact"/>
        <w:rPr>
          <w:rFonts w:ascii="Times New Roman" w:cs="Times New Roman" w:eastAsia="Times New Roman" w:hAnsi="Times New Roman"/>
          <w:sz w:val="18"/>
          <w:szCs w:val="18"/>
          <w:color w:val="auto"/>
        </w:rPr>
      </w:pPr>
    </w:p>
    <w:p>
      <w:pPr>
        <w:ind w:left="660" w:right="20" w:firstLine="320"/>
        <w:spacing w:after="0" w:line="282" w:lineRule="auto"/>
        <w:tabs>
          <w:tab w:leader="none" w:pos="1313" w:val="left"/>
        </w:tabs>
        <w:numPr>
          <w:ilvl w:val="2"/>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Trade Date, Counterparty shall deliver to Dealer a resolution of Counterparty’s board of directors authorizing the Transaction.</w:t>
      </w:r>
    </w:p>
    <w:p>
      <w:pPr>
        <w:spacing w:after="0" w:line="161" w:lineRule="exact"/>
        <w:rPr>
          <w:rFonts w:ascii="Times New Roman" w:cs="Times New Roman" w:eastAsia="Times New Roman" w:hAnsi="Times New Roman"/>
          <w:sz w:val="18"/>
          <w:szCs w:val="18"/>
          <w:color w:val="auto"/>
        </w:rPr>
      </w:pPr>
    </w:p>
    <w:p>
      <w:pPr>
        <w:jc w:val="both"/>
        <w:ind w:left="660" w:firstLine="320"/>
        <w:spacing w:after="0" w:line="261" w:lineRule="auto"/>
        <w:tabs>
          <w:tab w:leader="none" w:pos="1355" w:val="left"/>
        </w:tabs>
        <w:numPr>
          <w:ilvl w:val="2"/>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is not entering into this Confirmation or amending or taking any action in respect of this Transaction to create actual or apparent trading activity in the Shares (or any security convertible into or exchangeable for Shares) or to raise or depress or otherwise manipulate the price of the Shares (or any security convertible into or exchangeable for Shares) or otherwise in violation of the Exchange Act and/or the Corporations Act.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2" w:name="page133"/>
    <w:bookmarkEnd w:id="132"/>
    <w:p>
      <w:pPr>
        <w:ind w:left="660" w:right="20" w:firstLine="320"/>
        <w:spacing w:after="0" w:line="282" w:lineRule="auto"/>
        <w:tabs>
          <w:tab w:leader="none" w:pos="1400" w:val="left"/>
        </w:tabs>
        <w:numPr>
          <w:ilvl w:val="2"/>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is not, and after giving effect to the transactions contemplated hereby will not be, required to register as, an “investment company” as such term is defined in the Investment Company Act of 1940, as amended.</w:t>
      </w:r>
    </w:p>
    <w:p>
      <w:pPr>
        <w:spacing w:after="0" w:line="161" w:lineRule="exact"/>
        <w:rPr>
          <w:rFonts w:ascii="Times New Roman" w:cs="Times New Roman" w:eastAsia="Times New Roman" w:hAnsi="Times New Roman"/>
          <w:sz w:val="18"/>
          <w:szCs w:val="18"/>
          <w:color w:val="auto"/>
        </w:rPr>
      </w:pPr>
    </w:p>
    <w:p>
      <w:pPr>
        <w:jc w:val="both"/>
        <w:ind w:left="660" w:firstLine="320"/>
        <w:spacing w:after="0" w:line="258" w:lineRule="auto"/>
        <w:tabs>
          <w:tab w:leader="none" w:pos="1294" w:val="left"/>
        </w:tabs>
        <w:numPr>
          <w:ilvl w:val="2"/>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and immediately after each of the Trade Date and the Premium Payment Date: Counterparty is able to pay its debts as and when they fall due for payment or is otherwise not presumed or deemed to be insolvent (including as such term is defined under either or both of: (1) Section 101(32) of the U.S. Bankruptcy Code (Title 11 of the United States Code) (the “</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and (2) the Corporations Act); and, Counterparty would be able to purchase the aggregate Number of Shares for the Transaction in compliance with the laws of the jurisdiction of Counterparty’s incorporation (assuming receipt of the Counterparty Shareholder Purchase Approval).</w:t>
      </w:r>
    </w:p>
    <w:p>
      <w:pPr>
        <w:spacing w:after="0" w:line="183" w:lineRule="exact"/>
        <w:rPr>
          <w:rFonts w:ascii="Times New Roman" w:cs="Times New Roman" w:eastAsia="Times New Roman" w:hAnsi="Times New Roman"/>
          <w:sz w:val="18"/>
          <w:szCs w:val="18"/>
          <w:color w:val="auto"/>
        </w:rPr>
      </w:pPr>
    </w:p>
    <w:p>
      <w:pPr>
        <w:jc w:val="both"/>
        <w:ind w:left="660" w:firstLine="320"/>
        <w:spacing w:after="0" w:line="258" w:lineRule="auto"/>
        <w:tabs>
          <w:tab w:leader="none" w:pos="1251" w:val="left"/>
        </w:tabs>
        <w:numPr>
          <w:ilvl w:val="2"/>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Counterparty’s knowledge, no U.S. state or local law, rule, regulation or regulatory order applicable to the Shares would give rise to any reporting, consent, registration or other requirement (including without limitation a requirement to obtain prior approval from any person or entity) as a result of Dealer or its affiliates owning or holding (however defined)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representation shall be made by Counterparty with respect to any rules and regulations applicable to Dealer (including any rules and regulations of the Financial Industry Regulatory Authority, Inc.) arising from Dealer’s status as a regulated entity under applicable law.</w:t>
      </w:r>
    </w:p>
    <w:p>
      <w:pPr>
        <w:spacing w:after="0" w:line="183" w:lineRule="exact"/>
        <w:rPr>
          <w:rFonts w:ascii="Times New Roman" w:cs="Times New Roman" w:eastAsia="Times New Roman" w:hAnsi="Times New Roman"/>
          <w:sz w:val="18"/>
          <w:szCs w:val="18"/>
          <w:color w:val="auto"/>
        </w:rPr>
      </w:pPr>
    </w:p>
    <w:p>
      <w:pPr>
        <w:jc w:val="both"/>
        <w:ind w:left="660" w:firstLine="320"/>
        <w:spacing w:after="0" w:line="261" w:lineRule="auto"/>
        <w:tabs>
          <w:tab w:leader="none" w:pos="1327" w:val="left"/>
        </w:tabs>
        <w:numPr>
          <w:ilvl w:val="2"/>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(A) is capable of evaluating investment risks independently, both in general and with regard to all transactions and investment strategies involving a security or securities; (B) will exercise independent judgment in evaluating the recommendations of any broker-dealer or its associated persons, unless it has otherwise notified the broker-dealer in writing; and (C) has total assets of at least USD 50 million as of the date hereof.</w:t>
      </w:r>
    </w:p>
    <w:p>
      <w:pPr>
        <w:spacing w:after="0" w:line="179" w:lineRule="exact"/>
        <w:rPr>
          <w:rFonts w:ascii="Times New Roman" w:cs="Times New Roman" w:eastAsia="Times New Roman" w:hAnsi="Times New Roman"/>
          <w:sz w:val="18"/>
          <w:szCs w:val="18"/>
          <w:color w:val="auto"/>
        </w:rPr>
      </w:pPr>
    </w:p>
    <w:p>
      <w:pPr>
        <w:ind w:right="20" w:firstLine="656"/>
        <w:spacing w:after="0" w:line="282" w:lineRule="auto"/>
        <w:tabs>
          <w:tab w:leader="none" w:pos="922"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Dealer and Counterparty agrees and represents that it is an “eligible contract participant” as defined in Section 1a(18) of the U.S. Commodity Exchange Act, as amended.</w:t>
      </w:r>
    </w:p>
    <w:p>
      <w:pPr>
        <w:spacing w:after="0" w:line="161" w:lineRule="exact"/>
        <w:rPr>
          <w:rFonts w:ascii="Times New Roman" w:cs="Times New Roman" w:eastAsia="Times New Roman" w:hAnsi="Times New Roman"/>
          <w:sz w:val="18"/>
          <w:szCs w:val="18"/>
          <w:color w:val="auto"/>
        </w:rPr>
      </w:pPr>
    </w:p>
    <w:p>
      <w:pPr>
        <w:jc w:val="both"/>
        <w:ind w:firstLine="656"/>
        <w:spacing w:after="0" w:line="253" w:lineRule="auto"/>
        <w:tabs>
          <w:tab w:leader="none" w:pos="897"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Dealer and Counterparty acknowledges that the offer and sale of the Transaction to it is intended to be exempt from registration under the Securities Act, by virtue of Section 4(a)(2) thereof. Accordingly, Counterparty represents and warrants to Dealer that (i) it has the financial ability to bear the economic risk of its investment in the Transaction and is able to bear a total loss of its investment and its investments in and liabilities in respect of the Transaction, which it understands are not readily marketable, are not disproportionate to its net worth, and it is able to bear any loss in connection with the Transaction, including the loss of its entire investment in the Transaction, (ii) it is an “accredited investor” as that term is defined in Regulation D as promulgated under the Securities Act, (iii) it is entering into the Transaction for its own account and without a view to the distribution or resale thereof, (iv) the assignment, transfer or other disposition of the Transaction has not been and will not be registered under the Securities Act and is restricted under this Confirmation, the Securities Act and state securities laws, and (v) its financial condition is such that it has no need for liquidity with respect to its investment in the Transaction and no need to dispose of any portion thereof to satisfy any existing or contemplated undertaking or indebtedness and is capable of assessing the merits of and understanding (on its own behalf or through independent professional advice), and understands and accepts, the terms, conditions and risks of the Transaction.</w:t>
      </w:r>
    </w:p>
    <w:p>
      <w:pPr>
        <w:spacing w:after="0" w:line="191" w:lineRule="exact"/>
        <w:rPr>
          <w:rFonts w:ascii="Times New Roman" w:cs="Times New Roman" w:eastAsia="Times New Roman" w:hAnsi="Times New Roman"/>
          <w:sz w:val="18"/>
          <w:szCs w:val="18"/>
          <w:color w:val="auto"/>
        </w:rPr>
      </w:pPr>
    </w:p>
    <w:p>
      <w:pPr>
        <w:jc w:val="both"/>
        <w:ind w:firstLine="656"/>
        <w:spacing w:after="0" w:line="261" w:lineRule="auto"/>
        <w:tabs>
          <w:tab w:leader="none" w:pos="949"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Dealer and Counterparty agrees and acknowledges that Dealer is a “financial institution,” “swap participant” and “financial participant” within the meaning of Sections 101(22), 101(53C) and 101(22A) of the Bankruptcy Code. The parties hereto further agree and acknowledge</w:t>
      </w:r>
    </w:p>
    <w:p>
      <w:pPr>
        <w:jc w:val="both"/>
        <w:ind w:firstLine="8"/>
        <w:spacing w:after="0" w:line="252" w:lineRule="auto"/>
        <w:tabs>
          <w:tab w:leader="none" w:pos="315"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this Confirmation is (i) a “securities contract,” as such term is defined in Section 741(7) of the Bankruptcy Code, with respect to which each payment and delivery hereunder or in connection herewith is a “termination value,” “payment amount” or “other transfer obligation” within the meaning of Section 362 of the Bankruptcy Code and a “settlement payment” within the meaning of Section 546 of the Bankruptcy Code, and (ii) a “swap agreement,” as such term is defined in Section 101(53B) of the Bankruptcy Code, with respect to which each payment and delivery hereunder or in connection herewith is a “termination value,” “payment amount” or “other transfer obligation” within the meaning of Section 362 of the Bankruptcy Code and a “transfer” within the meaning of Section 546 of the Bankruptcy Code, and (B) that Dealer is entitled to the protections afforded by, among other sections, Sections 362(b)(6), 362(b)(17), 362(b)(27), 362(o), 546(e), 546(g), 546(j), 548(d)(2), 555, 560 and 561 of the Bankruptcy Code.</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3" w:name="page134"/>
    <w:bookmarkEnd w:id="133"/>
    <w:p>
      <w:pPr>
        <w:ind w:firstLine="656"/>
        <w:spacing w:after="0" w:line="282" w:lineRule="auto"/>
        <w:tabs>
          <w:tab w:leader="none" w:pos="893"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condition to the effectiveness of the Transaction, Counterparty shall deliver to Dealer an opinion of counsel, dated as of the Effective Date and reasonably acceptable to Dealer in form and substance, with respect to the matters set forth in Section 3(a)(i), (ii), (iii) and (iv) of the Agreement.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74"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understands that notwithstanding any other relationship between Counterparty and Dealer and its affiliates, in connection with the Transaction and any other over-the-counter derivative transactions between Counterparty and Dealer or its affiliates, Dealer or its affiliates is acting as principal and is not a fiduciary or advisor in respect of any such transaction, including any entry, exercise, amendment, unwind or termination thereof.</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22"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acknowledges and agrees to be bound by the Conduct Rules of the Financial Industry Regulatory Authority, Inc. applicable to transactions in options, and further agrees not to violate the position and exercise limits set forth therein.</w:t>
      </w:r>
    </w:p>
    <w:p>
      <w:pPr>
        <w:spacing w:after="0" w:line="161" w:lineRule="exact"/>
        <w:rPr>
          <w:rFonts w:ascii="Times New Roman" w:cs="Times New Roman" w:eastAsia="Times New Roman" w:hAnsi="Times New Roman"/>
          <w:sz w:val="18"/>
          <w:szCs w:val="18"/>
          <w:color w:val="auto"/>
        </w:rPr>
      </w:pPr>
    </w:p>
    <w:p>
      <w:pPr>
        <w:ind w:right="20" w:firstLine="656"/>
        <w:spacing w:after="0" w:line="283" w:lineRule="auto"/>
        <w:tabs>
          <w:tab w:leader="none" w:pos="907"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represents and warrants that it has received, read and understands the OTC Options Risk Disclosure Statement and a copy of the most recent disclosure pamphlet prepared by The Options Clearing Corporation entitled “Characteristics and Risks of Standardized Options”.]</w:t>
      </w:r>
      <w:r>
        <w:rPr>
          <w:rFonts w:ascii="Times New Roman" w:cs="Times New Roman" w:eastAsia="Times New Roman" w:hAnsi="Times New Roman"/>
          <w:sz w:val="29"/>
          <w:szCs w:val="29"/>
          <w:color w:val="auto"/>
          <w:vertAlign w:val="superscript"/>
        </w:rPr>
        <w:t>7</w:t>
      </w:r>
    </w:p>
    <w:p>
      <w:pPr>
        <w:spacing w:after="0" w:line="10" w:lineRule="exact"/>
        <w:rPr>
          <w:rFonts w:ascii="Times New Roman" w:cs="Times New Roman" w:eastAsia="Times New Roman" w:hAnsi="Times New Roman"/>
          <w:sz w:val="18"/>
          <w:szCs w:val="18"/>
          <w:color w:val="auto"/>
        </w:rPr>
      </w:pPr>
    </w:p>
    <w:p>
      <w:pPr>
        <w:jc w:val="both"/>
        <w:ind w:firstLine="656"/>
        <w:spacing w:after="0" w:line="253" w:lineRule="auto"/>
        <w:tabs>
          <w:tab w:leader="none" w:pos="886"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It is not entering into the Transaction on behalf of or for the accounts of any other person or entity, and will not transfer or assign its obligations under the Transaction or any portion of such obligations to any other person or entity except in compliance with applicable laws and the terms of the Transaction; (ii) it understands that the Transaction is subject to complex risks which may arise without warning and may at times be volatile, and that losses may occur quickly and in unanticipated magnitude; (iii) it is authorized to enter into the Transaction and such action does not violate any laws of its jurisdiction of incorporation, organization or residence (including, but not limited to, any applicable position or exercise limits set by any self-regulatory organization, either acting alone or in concert with others) or the terms of any agreement to which it is a party; (iv) it has consulted with its legal advisor(s) and has reached its own conclusions about the Transaction, and any legal, regulatory, tax, accounting or economic consequences arising from the Transaction; (v) it has concluded that the Transaction is suitable in light of its own investment objectives, financial condition and expertise; and (vi) neither Dealer nor any of its affiliates has advised it with respect to any legal, regulatory, tax, accounting or economic consequences arising from the Transaction, and neither Dealer nor any of its affiliates is acting as agent, or advisor for Counterparty in connection with the Transaction.</w:t>
      </w:r>
    </w:p>
    <w:p>
      <w:pPr>
        <w:spacing w:after="0" w:line="194" w:lineRule="exact"/>
        <w:rPr>
          <w:rFonts w:ascii="Times New Roman" w:cs="Times New Roman" w:eastAsia="Times New Roman" w:hAnsi="Times New Roman"/>
          <w:sz w:val="18"/>
          <w:szCs w:val="18"/>
          <w:color w:val="auto"/>
        </w:rPr>
      </w:pPr>
    </w:p>
    <w:p>
      <w:pPr>
        <w:ind w:right="100" w:firstLine="656"/>
        <w:spacing w:after="0" w:line="282" w:lineRule="auto"/>
        <w:tabs>
          <w:tab w:leader="none" w:pos="863"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representations and warranties in the Agreement and those contained elsewhere herein, Counterparty represents and warrants to, and agrees with, Dealer that:</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928"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and, to the best of its knowledge, any individual who is its officer (as defined in the Corporations Act) or any other person who has authority to take any action in respect of this Transaction (a “</w:t>
      </w:r>
      <w:r>
        <w:rPr>
          <w:rFonts w:ascii="Times New Roman" w:cs="Times New Roman" w:eastAsia="Times New Roman" w:hAnsi="Times New Roman"/>
          <w:sz w:val="18"/>
          <w:szCs w:val="18"/>
          <w:b w:val="1"/>
          <w:bCs w:val="1"/>
          <w:color w:val="auto"/>
        </w:rPr>
        <w:t>Relevant Individual</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1960" w:hanging="494"/>
        <w:spacing w:after="0" w:line="266" w:lineRule="auto"/>
        <w:tabs>
          <w:tab w:leader="none" w:pos="1960" w:val="left"/>
        </w:tabs>
        <w:numPr>
          <w:ilvl w:val="2"/>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in possession of any inside information or material non-public information, howsoever defined under all applicable laws and regulations in each relevant jurisdiction (including, but not limited to, Australia and the U.S.) regarding the Counterparty or the Shares (“</w:t>
      </w:r>
      <w:r>
        <w:rPr>
          <w:rFonts w:ascii="Times New Roman" w:cs="Times New Roman" w:eastAsia="Times New Roman" w:hAnsi="Times New Roman"/>
          <w:sz w:val="18"/>
          <w:szCs w:val="18"/>
          <w:b w:val="1"/>
          <w:bCs w:val="1"/>
          <w:color w:val="auto"/>
        </w:rPr>
        <w:t>MNPI</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960" w:hanging="494"/>
        <w:spacing w:after="0"/>
        <w:tabs>
          <w:tab w:leader="none" w:pos="1960" w:val="left"/>
        </w:tabs>
        <w:numPr>
          <w:ilvl w:val="2"/>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seek to terminate, amend or otherwise modify the Transaction while in possession of any MNPI; and/or</w:t>
      </w:r>
    </w:p>
    <w:p>
      <w:pPr>
        <w:spacing w:after="0" w:line="225" w:lineRule="exact"/>
        <w:rPr>
          <w:rFonts w:ascii="Times New Roman" w:cs="Times New Roman" w:eastAsia="Times New Roman" w:hAnsi="Times New Roman"/>
          <w:sz w:val="18"/>
          <w:szCs w:val="18"/>
          <w:color w:val="auto"/>
        </w:rPr>
      </w:pPr>
    </w:p>
    <w:p>
      <w:pPr>
        <w:ind w:left="1960" w:hanging="494"/>
        <w:spacing w:after="0" w:line="282" w:lineRule="auto"/>
        <w:tabs>
          <w:tab w:leader="none" w:pos="1960" w:val="left"/>
        </w:tabs>
        <w:numPr>
          <w:ilvl w:val="2"/>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up until immediately after termination of the Transaction, will not be engaged in market manipulation or in insider dealing under any applicable legislation in any relevant jurisdiction (including, but not limited to, Australia and the U.S.),</w:t>
      </w:r>
    </w:p>
    <w:p>
      <w:pPr>
        <w:spacing w:after="0" w:line="161"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each case, where doing so would breach an applicable law or regulation;</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2041"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will comply with all reporting requirements and make any filings and disclosures relating to the Transaction required to be made by it under applicable laws and regulations and the rules of any Exchange, including without limitation, to the extent applicable, the Corporations Act and </w:t>
      </w:r>
      <w:r>
        <w:rPr>
          <w:rFonts w:ascii="Times New Roman" w:cs="Times New Roman" w:eastAsia="Times New Roman" w:hAnsi="Times New Roman"/>
          <w:sz w:val="18"/>
          <w:szCs w:val="18"/>
          <w:i w:val="1"/>
          <w:iCs w:val="1"/>
          <w:color w:val="auto"/>
        </w:rPr>
        <w:t>Australian Securities and Investments Commission Act 2001</w:t>
      </w:r>
      <w:r>
        <w:rPr>
          <w:rFonts w:ascii="Times New Roman" w:cs="Times New Roman" w:eastAsia="Times New Roman" w:hAnsi="Times New Roman"/>
          <w:sz w:val="18"/>
          <w:szCs w:val="18"/>
          <w:color w:val="auto"/>
        </w:rPr>
        <w:t xml:space="preserve"> (Cth) (“</w:t>
      </w:r>
      <w:r>
        <w:rPr>
          <w:rFonts w:ascii="Times New Roman" w:cs="Times New Roman" w:eastAsia="Times New Roman" w:hAnsi="Times New Roman"/>
          <w:sz w:val="18"/>
          <w:szCs w:val="18"/>
          <w:b w:val="1"/>
          <w:bCs w:val="1"/>
          <w:color w:val="auto"/>
        </w:rPr>
        <w:t>ASIC Act</w:t>
      </w:r>
      <w:r>
        <w:rPr>
          <w:rFonts w:ascii="Times New Roman" w:cs="Times New Roman" w:eastAsia="Times New Roman" w:hAnsi="Times New Roman"/>
          <w:sz w:val="18"/>
          <w:szCs w:val="18"/>
          <w:color w:val="auto"/>
        </w:rPr>
        <w:t>”) and regulations promulgated thereunder. By entering into the Transaction, each party agrees to such disclosure and releases the other party and any of its subsidiaries and Affiliates from any duty of confidentiality owed to it in respect of such information for the purpose of such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142303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55" w:lineRule="exact"/>
        <w:rPr>
          <w:sz w:val="20"/>
          <w:szCs w:val="20"/>
          <w:color w:val="auto"/>
        </w:rPr>
      </w:pPr>
    </w:p>
    <w:p>
      <w:pPr>
        <w:ind w:left="120" w:hanging="112"/>
        <w:spacing w:after="0"/>
        <w:tabs>
          <w:tab w:leader="none" w:pos="120" w:val="left"/>
        </w:tabs>
        <w:numPr>
          <w:ilvl w:val="0"/>
          <w:numId w:val="16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 only for FINRA regulated dealers.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4" w:name="page135"/>
    <w:bookmarkEnd w:id="134"/>
    <w:p>
      <w:pPr>
        <w:jc w:val="both"/>
        <w:ind w:left="660" w:firstLine="644"/>
        <w:spacing w:after="0" w:line="266" w:lineRule="auto"/>
        <w:tabs>
          <w:tab w:leader="none" w:pos="2091"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its obligations under the Transaction (and this Confirmation) will not violate any applicable law or regulation, including but not limited to, any short selling restrictions, applicable to Counterparty, and Counterparty is not engaging in the Transaction contemplated hereunder with the intent to impermissibly avoid any such restrictions; and</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202"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entering into of the Transaction and any amendment to, or termination of, the Transaction and any related action in connection with the exercise of any rights under the Transaction by it will not cause or result in Counterparty violating any provision of Division 3 of Part 7.10 and section 606 of the Corporations Act.</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Counterparty acknowledges that Dealer is entering into the Transaction in express reliance upon the representations, warranties and undertakings set out in, and other terms of, this Confirmation and Agreement. Counterparty undertakes promptly to inform Dealer if any such representation is or becomes untrue or incorrect.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Counterparty makes the representations in Sections 7(j)(i) to (iv) above:</w:t>
      </w:r>
    </w:p>
    <w:p>
      <w:pPr>
        <w:spacing w:after="0" w:line="225" w:lineRule="exact"/>
        <w:rPr>
          <w:sz w:val="20"/>
          <w:szCs w:val="20"/>
          <w:color w:val="auto"/>
        </w:rPr>
      </w:pPr>
    </w:p>
    <w:p>
      <w:pPr>
        <w:ind w:left="1940" w:hanging="636"/>
        <w:spacing w:after="0"/>
        <w:tabs>
          <w:tab w:leader="none" w:pos="194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Trade Date;</w:t>
      </w:r>
    </w:p>
    <w:p>
      <w:pPr>
        <w:spacing w:after="0" w:line="225" w:lineRule="exact"/>
        <w:rPr>
          <w:sz w:val="20"/>
          <w:szCs w:val="20"/>
          <w:color w:val="auto"/>
        </w:rPr>
      </w:pPr>
    </w:p>
    <w:p>
      <w:pPr>
        <w:ind w:left="2040" w:hanging="736"/>
        <w:spacing w:after="0"/>
        <w:tabs>
          <w:tab w:leader="none" w:pos="204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each day on which it makes any election for the purposes of Settlement Method Election and/or takes any actions under</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8(b); and</w:t>
      </w:r>
    </w:p>
    <w:p>
      <w:pPr>
        <w:spacing w:after="0" w:line="207" w:lineRule="exact"/>
        <w:rPr>
          <w:sz w:val="20"/>
          <w:szCs w:val="20"/>
          <w:color w:val="auto"/>
        </w:rPr>
      </w:pPr>
    </w:p>
    <w:p>
      <w:pPr>
        <w:ind w:left="1920" w:hanging="616"/>
        <w:spacing w:after="0"/>
        <w:tabs>
          <w:tab w:leader="none" w:pos="1920" w:val="left"/>
        </w:tabs>
        <w:numPr>
          <w:ilvl w:val="3"/>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each day on which it receives and/or cancels any Shares in accordance with this Confirmation.</w:t>
      </w:r>
    </w:p>
    <w:p>
      <w:pPr>
        <w:spacing w:after="0" w:line="225" w:lineRule="exact"/>
        <w:rPr>
          <w:rFonts w:ascii="Times New Roman" w:cs="Times New Roman" w:eastAsia="Times New Roman" w:hAnsi="Times New Roman"/>
          <w:sz w:val="18"/>
          <w:szCs w:val="18"/>
          <w:color w:val="auto"/>
        </w:rPr>
      </w:pPr>
    </w:p>
    <w:p>
      <w:pPr>
        <w:ind w:right="140" w:firstLine="656"/>
        <w:spacing w:after="0" w:line="255" w:lineRule="auto"/>
        <w:tabs>
          <w:tab w:leader="none" w:pos="903"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(i) shall provide evidence of a valid Counterparty Shareholder Purchase Approval or a copy of each Annual Buy-back Mandate Renewal relating to Net Share Settlement of this Transaction to Dealer within five Business Days after obtaining such Counterparty Shareholder Purchase Approval or such Annual Buy-back Mandate Renewal, as applicable and (ii) if the Annual Buy-back Mandate Renewal is not obtained at any general meeting of Counterparty to be held during the term of this Transaction, shall within two Local Business Days of the close of such general meeting inform Dealer that the Counterparty Shareholder Purchase Approval has lapsed. For the avoidance of doubt, this Section 6(k) shall not apply at any time at which the laws of Counterparty’s jurisdiction of organization permit Counterparty’s purchase of Shares pursuant to the Transaction (including as a result of Counterparty being a corporation organized under the laws of the United States, any State thereof or the District of Columbia).</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867"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represents and warrants to and for the benefit of, and undertakes to, Dealer that on the Trade Date, the assets of the Counterparty do not consist wholly or principally of real property situated in Australia for the purposes of Division 855 of the Income Tax Assessment Act 1997 (Cth).</w:t>
      </w:r>
    </w:p>
    <w:p>
      <w:pPr>
        <w:spacing w:after="0" w:line="157"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Other Provisions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Right to Extend</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660" w:firstLine="320"/>
        <w:spacing w:after="0" w:line="253" w:lineRule="auto"/>
        <w:tabs>
          <w:tab w:leader="none" w:pos="1217" w:val="left"/>
        </w:tabs>
        <w:numPr>
          <w:ilvl w:val="2"/>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 may divide any Component into additional Components and designate the Expiration Date and the Number of Options for each such Component if Dealer determines, in good faith and a commercially reasonable manner, that such further division would be necessary or advisable to (i) preserve a Hypothetical Dealer’s hedging or hedge unwind activity with respect to the Transaction in light of existing liquidity conditions or to enable such a Hypothetical Dealer to purchase or sell Shares or enter into swap or other derivatives transactions with respect to Shares in connection with its commercially reasonable hedging, hedge unwind or settlement activity with respect to the Transaction in a manner that would, if such Hypothetical Dealer were Counterparty or an affiliated purchaser of Counterparty, be compliant and consistent with applicable legal, regulatory or self-regulatory requirements generally applicable to transactions of the type of the Transaction, including any requirement, policies or procedures relating to the Hypothetical Dealer’s hedging activities hereunder (“</w:t>
      </w:r>
      <w:r>
        <w:rPr>
          <w:rFonts w:ascii="Times New Roman" w:cs="Times New Roman" w:eastAsia="Times New Roman" w:hAnsi="Times New Roman"/>
          <w:sz w:val="18"/>
          <w:szCs w:val="18"/>
          <w:b w:val="1"/>
          <w:bCs w:val="1"/>
          <w:color w:val="auto"/>
        </w:rPr>
        <w:t>Relevant Laws</w:t>
      </w:r>
      <w:r>
        <w:rPr>
          <w:rFonts w:ascii="Times New Roman" w:cs="Times New Roman" w:eastAsia="Times New Roman" w:hAnsi="Times New Roman"/>
          <w:sz w:val="18"/>
          <w:szCs w:val="18"/>
          <w:color w:val="auto"/>
        </w:rPr>
        <w:t xml:space="preserve">” for the purposes of this Section 8(a)), or with related policies and procedures adopted by the Hypothetical Dealer in good faith so long as such policies and procedures are generally applicable in similar situations and applied in a non-discriminatory manner or (ii) to comply with any Relevant Laws;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any Expiration Date for any Component be postponed to a date later than the Final Termination Date.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5" w:name="page136"/>
    <w:bookmarkEnd w:id="135"/>
    <w:p>
      <w:pPr>
        <w:jc w:val="both"/>
        <w:ind w:left="660" w:firstLine="320"/>
        <w:spacing w:after="0" w:line="256" w:lineRule="auto"/>
        <w:tabs>
          <w:tab w:leader="none" w:pos="125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may, if Counterparty determines based on the advice of counsel, in good faith and in a commercially reasonable manner, that any of the representations to be repeated on the Settlement Date, in the case that the Settlement Method is Net Share Settlement, may be incorrect or misleading, postpone the Settlement Date until the earlier of (x) 90 days after the scheduled Settlement Date and (y) the date on which Counterparty makes such representations to Dealer (which representations Counterparty shall make promptly upon determining it is able to do so). If the Settlement Date shall not have occurred by such 90th day, then an Additional Termination Event shall occur in respect of the Transaction with Counterparty as the sole Affected Party.</w:t>
      </w:r>
    </w:p>
    <w:p>
      <w:pPr>
        <w:spacing w:after="0" w:line="185" w:lineRule="exact"/>
        <w:rPr>
          <w:rFonts w:ascii="Times New Roman" w:cs="Times New Roman" w:eastAsia="Times New Roman" w:hAnsi="Times New Roman"/>
          <w:sz w:val="18"/>
          <w:szCs w:val="18"/>
          <w:color w:val="auto"/>
        </w:rPr>
      </w:pPr>
    </w:p>
    <w:p>
      <w:pPr>
        <w:jc w:val="both"/>
        <w:ind w:firstLine="656"/>
        <w:spacing w:after="0" w:line="235" w:lineRule="auto"/>
        <w:tabs>
          <w:tab w:leader="none" w:pos="93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Additional Termination Events</w:t>
      </w:r>
      <w:r>
        <w:rPr>
          <w:rFonts w:ascii="Times New Roman" w:cs="Times New Roman" w:eastAsia="Times New Roman" w:hAnsi="Times New Roman"/>
          <w:sz w:val="18"/>
          <w:szCs w:val="18"/>
          <w:color w:val="auto"/>
        </w:rPr>
        <w:t>. Promptly (but in any event within ten Scheduled Trading Days) following any repurchase, redemption,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or conversion of any of Counterparty’s 1.00% Convertible Senior Notes due 2033 (the “</w:t>
      </w:r>
      <w:r>
        <w:rPr>
          <w:rFonts w:ascii="Times New Roman" w:cs="Times New Roman" w:eastAsia="Times New Roman" w:hAnsi="Times New Roman"/>
          <w:sz w:val="18"/>
          <w:szCs w:val="18"/>
          <w:b w:val="1"/>
          <w:bCs w:val="1"/>
          <w:color w:val="auto"/>
        </w:rPr>
        <w:t>Convertible Notes</w:t>
      </w:r>
      <w:r>
        <w:rPr>
          <w:rFonts w:ascii="Times New Roman" w:cs="Times New Roman" w:eastAsia="Times New Roman" w:hAnsi="Times New Roman"/>
          <w:sz w:val="18"/>
          <w:szCs w:val="18"/>
          <w:color w:val="auto"/>
        </w:rPr>
        <w:t>”) issued pursuant to Counterparty’s indenture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[to be]</w:t>
      </w:r>
      <w:r>
        <w:rPr>
          <w:rFonts w:ascii="Times New Roman" w:cs="Times New Roman" w:eastAsia="Times New Roman" w:hAnsi="Times New Roman"/>
          <w:sz w:val="29"/>
          <w:szCs w:val="29"/>
          <w:color w:val="auto"/>
          <w:vertAlign w:val="superscript"/>
        </w:rPr>
        <w:t>8</w:t>
      </w:r>
      <w:r>
        <w:rPr>
          <w:rFonts w:ascii="Times New Roman" w:cs="Times New Roman" w:eastAsia="Times New Roman" w:hAnsi="Times New Roman"/>
          <w:sz w:val="18"/>
          <w:szCs w:val="18"/>
          <w:color w:val="auto"/>
        </w:rPr>
        <w:t xml:space="preserve"> dated May 14, 2026 between Counterparty and U.S. Bank Trust Company, National Association, as trustee, Counterparty may notify Dealer in writing of (i) such repurchase, redemption, exchange or conversion, (ii) the number of Convertible Notes so repurchased, redeemed or converted, (iii) the number of Shares underlying each USD 1,000 principal amount of Convertible Notes and (iv) the number of Options as to which Counterparty elects to exercise its termination rights under this Section 8(b) (any such notice, a “</w:t>
      </w:r>
      <w:r>
        <w:rPr>
          <w:rFonts w:ascii="Times New Roman" w:cs="Times New Roman" w:eastAsia="Times New Roman" w:hAnsi="Times New Roman"/>
          <w:sz w:val="18"/>
          <w:szCs w:val="18"/>
          <w:b w:val="1"/>
          <w:bCs w:val="1"/>
          <w:color w:val="auto"/>
        </w:rPr>
        <w:t>Repurchase Notification</w:t>
      </w:r>
      <w:r>
        <w:rPr>
          <w:rFonts w:ascii="Times New Roman" w:cs="Times New Roman" w:eastAsia="Times New Roman" w:hAnsi="Times New Roman"/>
          <w:sz w:val="18"/>
          <w:szCs w:val="18"/>
          <w:color w:val="auto"/>
        </w:rPr>
        <w:t>” and any such event, a “</w:t>
      </w:r>
      <w:r>
        <w:rPr>
          <w:rFonts w:ascii="Times New Roman" w:cs="Times New Roman" w:eastAsia="Times New Roman" w:hAnsi="Times New Roman"/>
          <w:sz w:val="18"/>
          <w:szCs w:val="18"/>
          <w:b w:val="1"/>
          <w:bCs w:val="1"/>
          <w:color w:val="auto"/>
        </w:rPr>
        <w:t>Repurchase Event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“Repurchase Notification” delivered to Dealer pursuant to the Base Capped Call Transaction Confirmation letter agreement dated May 13, 2026 between Dealer and Counterparty (the “</w:t>
      </w:r>
      <w:r>
        <w:rPr>
          <w:rFonts w:ascii="Times New Roman" w:cs="Times New Roman" w:eastAsia="Times New Roman" w:hAnsi="Times New Roman"/>
          <w:sz w:val="18"/>
          <w:szCs w:val="18"/>
          <w:b w:val="1"/>
          <w:bCs w:val="1"/>
          <w:color w:val="auto"/>
        </w:rPr>
        <w:t>Base Call Option Confirmation</w:t>
      </w:r>
      <w:r>
        <w:rPr>
          <w:rFonts w:ascii="Times New Roman" w:cs="Times New Roman" w:eastAsia="Times New Roman" w:hAnsi="Times New Roman"/>
          <w:sz w:val="18"/>
          <w:szCs w:val="18"/>
          <w:color w:val="auto"/>
        </w:rPr>
        <w:t xml:space="preserve">”) shall be deemed to be a Repurchase Notification pursuant to this Confirmation and the terms of such Repurchase Notification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to this Confirmation]</w:t>
      </w:r>
      <w:r>
        <w:rPr>
          <w:rFonts w:ascii="Times New Roman" w:cs="Times New Roman" w:eastAsia="Times New Roman" w:hAnsi="Times New Roman"/>
          <w:sz w:val="29"/>
          <w:szCs w:val="29"/>
          <w:color w:val="auto"/>
          <w:vertAlign w:val="superscript"/>
        </w:rPr>
        <w:t>9</w:t>
      </w:r>
      <w:r>
        <w:rPr>
          <w:rFonts w:ascii="Times New Roman" w:cs="Times New Roman" w:eastAsia="Times New Roman" w:hAnsi="Times New Roman"/>
          <w:sz w:val="18"/>
          <w:szCs w:val="18"/>
          <w:color w:val="auto"/>
        </w:rPr>
        <w:t xml:space="preserve">. Notwithstanding anything to the contrary in this Confirmation, the receipt by Dealer from Counterparty of (x) any Repurchase Notification, within the applicable time period set forth in the preceding sentence, (y) a written representation and warranty by Counterparty that, as of the date of such Repurchase Notification, Counterparty is not in possession of any material non-public information regarding Counterparty or the Shares, and (z) a written representation and warranty by Counterparty that the aggregate Repurchase Options, together with any options being terminated concurrently under other capped call transactions entered into in connection with the issuance of the Convertible Notes, will not exceed the number of Shares underlying the Convertible Notes specified in such Repurchase Notification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the Option Entitlement, shall constitute an Additional Termination Event as provided in this paragraph. Upon receipt of any such Repurchase Notification and the related written representations and warranties, Dealer shall promptly designate an Exchange Business Day following receipt of such Repurchase Notification as an Early Termination Date with respect to the portion of this Transaction corresponding to a number of Options (the “</w:t>
      </w:r>
      <w:r>
        <w:rPr>
          <w:rFonts w:ascii="Times New Roman" w:cs="Times New Roman" w:eastAsia="Times New Roman" w:hAnsi="Times New Roman"/>
          <w:sz w:val="18"/>
          <w:szCs w:val="18"/>
          <w:b w:val="1"/>
          <w:bCs w:val="1"/>
          <w:color w:val="auto"/>
        </w:rPr>
        <w:t>Repurchase Options</w:t>
      </w:r>
      <w:r>
        <w:rPr>
          <w:rFonts w:ascii="Times New Roman" w:cs="Times New Roman" w:eastAsia="Times New Roman" w:hAnsi="Times New Roman"/>
          <w:sz w:val="18"/>
          <w:szCs w:val="18"/>
          <w:color w:val="auto"/>
        </w:rPr>
        <w:t xml:space="preserve">”) equal to the lesser of (A) [(x)] the number of Options specified in such Repurchase Notification [,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(y) the number of “Repurchase Options” (as defined in the Base Call Option Confirmation), if any, that relate to such Convertible Notes (and for the purposes of determining whether any Options under this Confirmation or under, and as defined in, the Base Call Option Confirmation will be among the Repurchase Options hereunder or under, and as defined in, the Base Call Option Confirmation, the number of Convertible Notes specified in such Repurchase Notification shall be allocated first to the Base Call Option Confirmation until all Options thereunder are exercised or terminated)]</w:t>
      </w:r>
      <w:r>
        <w:rPr>
          <w:rFonts w:ascii="Times New Roman" w:cs="Times New Roman" w:eastAsia="Times New Roman" w:hAnsi="Times New Roman"/>
          <w:sz w:val="29"/>
          <w:szCs w:val="29"/>
          <w:color w:val="auto"/>
          <w:vertAlign w:val="superscript"/>
        </w:rPr>
        <w:t>10</w:t>
      </w:r>
      <w:r>
        <w:rPr>
          <w:rFonts w:ascii="Times New Roman" w:cs="Times New Roman" w:eastAsia="Times New Roman" w:hAnsi="Times New Roman"/>
          <w:sz w:val="18"/>
          <w:szCs w:val="18"/>
          <w:color w:val="auto"/>
        </w:rPr>
        <w:t xml:space="preserve"> and (B) the aggregate Number of Options as of the date Dealer designates such Early Termination Date and, as of such date, the aggregate Number of Options shall be reduced by the number of Repurchase Options on a pro rata basis across all Components, as determined by the Calculation Agent. Any payment hereunder with respect to such termination shall be calculated pursuant to Section 6 of the Agreement as if (1) an Early Termination Date had been designated in respect of a Transaction having terms identical to this Transaction and an aggregate Number of Options equal to the number of Repurchase Options, (2) Counterparty were the sole Affected Party with respect to such Additional Termination Event and (3) the terminated portion of the Transaction were the sole Affected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142303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91" w:lineRule="exact"/>
        <w:rPr>
          <w:sz w:val="20"/>
          <w:szCs w:val="20"/>
          <w:color w:val="auto"/>
        </w:rPr>
      </w:pPr>
    </w:p>
    <w:p>
      <w:pPr>
        <w:ind w:left="120" w:hanging="112"/>
        <w:spacing w:after="0"/>
        <w:tabs>
          <w:tab w:leader="none" w:pos="120" w:val="left"/>
        </w:tabs>
        <w:numPr>
          <w:ilvl w:val="0"/>
          <w:numId w:val="17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 if the Indenture is not completed at the time of the Confirmation.</w:t>
      </w:r>
    </w:p>
    <w:p>
      <w:pPr>
        <w:spacing w:after="0" w:line="1" w:lineRule="exact"/>
        <w:rPr>
          <w:rFonts w:ascii="Times New Roman" w:cs="Times New Roman" w:eastAsia="Times New Roman" w:hAnsi="Times New Roman"/>
          <w:sz w:val="30"/>
          <w:szCs w:val="30"/>
          <w:color w:val="auto"/>
          <w:vertAlign w:val="superscript"/>
        </w:rPr>
      </w:pPr>
    </w:p>
    <w:p>
      <w:pPr>
        <w:spacing w:after="0" w:line="180"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5"/>
          <w:szCs w:val="25"/>
          <w:color w:val="auto"/>
          <w:vertAlign w:val="superscript"/>
        </w:rPr>
        <w:t>9</w:t>
      </w:r>
      <w:r>
        <w:rPr>
          <w:rFonts w:ascii="Times New Roman" w:cs="Times New Roman" w:eastAsia="Times New Roman" w:hAnsi="Times New Roman"/>
          <w:sz w:val="16"/>
          <w:szCs w:val="16"/>
          <w:color w:val="auto"/>
        </w:rPr>
        <w:t xml:space="preserve"> Include in Additional Call Option Confirmation only.</w:t>
      </w:r>
    </w:p>
    <w:p>
      <w:pPr>
        <w:spacing w:after="0"/>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10</w:t>
      </w:r>
      <w:r>
        <w:rPr>
          <w:rFonts w:ascii="Times New Roman" w:cs="Times New Roman" w:eastAsia="Times New Roman" w:hAnsi="Times New Roman"/>
          <w:sz w:val="18"/>
          <w:szCs w:val="18"/>
          <w:color w:val="auto"/>
        </w:rPr>
        <w:t xml:space="preserve"> Include in Additional Call Option Confirmation only.</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6" w:name="page137"/>
    <w:bookmarkEnd w:id="136"/>
    <w:p>
      <w:pPr>
        <w:jc w:val="both"/>
        <w:ind w:firstLine="656"/>
        <w:spacing w:after="0" w:line="252" w:lineRule="auto"/>
        <w:tabs>
          <w:tab w:leader="none" w:pos="892"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Alternative Calculations and Payment on Early Termination and on Certain Extraordinary Events</w:t>
      </w:r>
      <w:r>
        <w:rPr>
          <w:rFonts w:ascii="Times New Roman" w:cs="Times New Roman" w:eastAsia="Times New Roman" w:hAnsi="Times New Roman"/>
          <w:sz w:val="18"/>
          <w:szCs w:val="18"/>
          <w:color w:val="auto"/>
        </w:rPr>
        <w:t>. Solely on a Physical Settlement Date, if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Early Termination Date (whether as a result of an Event of Default or a Termination Event) occurs or is designated with respect to the Transaction or (b) the Transaction is cancelled or terminated upon the occurrence of an Extraordinary Event (except as a result of (i) a Nationalization, Insolvency or Merger Event in which the consideration to be paid to all holders of Shares consists solely of cash, (ii) a Merger Event or Tender Offer that is within Counterparty’s control, or (iii) an Event of Default in which Counterparty is the Defaulting Party or a Termination Event in which Counterparty is the Affected Party, which Event of Default or Termination Event resulted from an event or events within Counterparty’s control), and if Dealer would owe any amount to Counterparty pursuant to Section 6(d)(ii) and 6(e) of the Agreement or any Cancellation Amount pursuant to Article 12 of the Equity Definitions (any such amount, a “</w:t>
      </w:r>
      <w:r>
        <w:rPr>
          <w:rFonts w:ascii="Times New Roman" w:cs="Times New Roman" w:eastAsia="Times New Roman" w:hAnsi="Times New Roman"/>
          <w:sz w:val="18"/>
          <w:szCs w:val="18"/>
          <w:b w:val="1"/>
          <w:bCs w:val="1"/>
          <w:color w:val="auto"/>
        </w:rPr>
        <w:t>Payment Obligation</w:t>
      </w:r>
      <w:r>
        <w:rPr>
          <w:rFonts w:ascii="Times New Roman" w:cs="Times New Roman" w:eastAsia="Times New Roman" w:hAnsi="Times New Roman"/>
          <w:sz w:val="18"/>
          <w:szCs w:val="18"/>
          <w:color w:val="auto"/>
        </w:rPr>
        <w:t>”), then Dealer shall satisfy the Payment Obligation by the Share Termination Alternative (as defined below), unless (a) Counterparty gives irrevocable telephonic notice to Dealer, confirmed in writing within one Scheduled Trading Day, no later than 12:00 p.m. (New York City time) on the Merger Date, Tender Offer Date, Announcement Date (in the case of a Nationalization, Insolvency or Delisting), Early Termination Date or date of cancellation, as applicable, of its election that the Share Termination Alternative shall not apply, (b) as of the date of such election, Counterparty represents that it is not in possession of any material non-public information regarding Counterparty or the Shares, and that such election is being made in good faith and not as part of a plan or scheme to evade compliance with the federal securities laws, and (c) Dealer agrees, in its commercially reasonable discretion, to such election, in which case the provisions of Section 12.7 or Section 12.9 of the Equity Definitions, or the provisions of Section 6(d)(ii) and 6(e) of the Agreement, as the case may be, shall apply. For the avoidance of doubt, at any time, the Share Termination Alternative shall not apply on a date that is not a Physical Settlement Date, and any amounts due in respect of a date that is not a Physical Settlement Date as a result of any cancellation or termination of the Transaction shall be paid in cash.</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Share Termination Alternative:</w:t>
            </w:r>
          </w:p>
        </w:tc>
        <w:tc>
          <w:tcPr>
            <w:tcW w:w="8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If applicable, Dealer shall deliver to Counterparty the Share Termination Delivery Property on, or within a</w:t>
            </w:r>
          </w:p>
        </w:tc>
      </w:tr>
      <w:tr>
        <w:trPr>
          <w:trHeight w:val="216"/>
        </w:trPr>
        <w:tc>
          <w:tcPr>
            <w:tcW w:w="3060" w:type="dxa"/>
            <w:vAlign w:val="bottom"/>
          </w:tcPr>
          <w:p>
            <w:pPr>
              <w:spacing w:after="0"/>
              <w:rPr>
                <w:sz w:val="18"/>
                <w:szCs w:val="18"/>
                <w:color w:val="auto"/>
              </w:rPr>
            </w:pPr>
          </w:p>
        </w:tc>
        <w:tc>
          <w:tcPr>
            <w:tcW w:w="8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commercially reasonable period of time after, the date when the relevant Payment Obligation would</w:t>
            </w:r>
          </w:p>
        </w:tc>
      </w:tr>
      <w:tr>
        <w:trPr>
          <w:trHeight w:val="216"/>
        </w:trPr>
        <w:tc>
          <w:tcPr>
            <w:tcW w:w="3060" w:type="dxa"/>
            <w:vAlign w:val="bottom"/>
          </w:tcPr>
          <w:p>
            <w:pPr>
              <w:spacing w:after="0"/>
              <w:rPr>
                <w:sz w:val="18"/>
                <w:szCs w:val="18"/>
                <w:color w:val="auto"/>
              </w:rPr>
            </w:pPr>
          </w:p>
        </w:tc>
        <w:tc>
          <w:tcPr>
            <w:tcW w:w="8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otherwise be due pursuant to Section 12.7 or 12.9 of the Equity Definitions or Section 6(d)(ii) and 6(e) of the</w:t>
            </w:r>
          </w:p>
        </w:tc>
      </w:tr>
      <w:tr>
        <w:trPr>
          <w:trHeight w:val="216"/>
        </w:trPr>
        <w:tc>
          <w:tcPr>
            <w:tcW w:w="3060" w:type="dxa"/>
            <w:vAlign w:val="bottom"/>
          </w:tcPr>
          <w:p>
            <w:pPr>
              <w:spacing w:after="0"/>
              <w:rPr>
                <w:sz w:val="18"/>
                <w:szCs w:val="18"/>
                <w:color w:val="auto"/>
              </w:rPr>
            </w:pPr>
          </w:p>
        </w:tc>
        <w:tc>
          <w:tcPr>
            <w:tcW w:w="8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Agreement, as applicable, in satisfaction of such Payment Obligation in the manner reasonably requested by</w:t>
            </w:r>
          </w:p>
        </w:tc>
      </w:tr>
      <w:tr>
        <w:trPr>
          <w:trHeight w:val="234"/>
        </w:trPr>
        <w:tc>
          <w:tcPr>
            <w:tcW w:w="3060" w:type="dxa"/>
            <w:vAlign w:val="bottom"/>
          </w:tcPr>
          <w:p>
            <w:pPr>
              <w:spacing w:after="0"/>
              <w:rPr>
                <w:sz w:val="20"/>
                <w:szCs w:val="20"/>
                <w:color w:val="auto"/>
              </w:rPr>
            </w:pPr>
          </w:p>
        </w:tc>
        <w:tc>
          <w:tcPr>
            <w:tcW w:w="8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Counterparty free of payment.</w:t>
            </w:r>
          </w:p>
        </w:tc>
      </w:tr>
      <w:tr>
        <w:trPr>
          <w:trHeight w:val="412"/>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Share Termination Delivery Property:</w:t>
            </w:r>
          </w:p>
        </w:tc>
        <w:tc>
          <w:tcPr>
            <w:tcW w:w="8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 number of Share Termination Delivery Units, as calculated by the Calculation Agent in a commercially</w:t>
            </w:r>
          </w:p>
        </w:tc>
      </w:tr>
      <w:tr>
        <w:trPr>
          <w:trHeight w:val="218"/>
        </w:trPr>
        <w:tc>
          <w:tcPr>
            <w:tcW w:w="3060" w:type="dxa"/>
            <w:vAlign w:val="bottom"/>
          </w:tcPr>
          <w:p>
            <w:pPr>
              <w:spacing w:after="0"/>
              <w:rPr>
                <w:sz w:val="18"/>
                <w:szCs w:val="18"/>
                <w:color w:val="auto"/>
              </w:rPr>
            </w:pPr>
          </w:p>
        </w:tc>
        <w:tc>
          <w:tcPr>
            <w:tcW w:w="8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xml:space="preserve">reasonable manner, equal to the Payment Obligation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the Share Termination Unit Price. The</w:t>
            </w:r>
          </w:p>
        </w:tc>
      </w:tr>
      <w:tr>
        <w:trPr>
          <w:trHeight w:val="216"/>
        </w:trPr>
        <w:tc>
          <w:tcPr>
            <w:tcW w:w="3060" w:type="dxa"/>
            <w:vAlign w:val="bottom"/>
          </w:tcPr>
          <w:p>
            <w:pPr>
              <w:spacing w:after="0"/>
              <w:rPr>
                <w:sz w:val="18"/>
                <w:szCs w:val="18"/>
                <w:color w:val="auto"/>
              </w:rPr>
            </w:pPr>
          </w:p>
        </w:tc>
        <w:tc>
          <w:tcPr>
            <w:tcW w:w="8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Calculation Agent shall, in a commercially reasonable manner, adjust the Share Termination Delivery</w:t>
            </w:r>
          </w:p>
        </w:tc>
      </w:tr>
      <w:tr>
        <w:trPr>
          <w:trHeight w:val="216"/>
        </w:trPr>
        <w:tc>
          <w:tcPr>
            <w:tcW w:w="3060" w:type="dxa"/>
            <w:vAlign w:val="bottom"/>
          </w:tcPr>
          <w:p>
            <w:pPr>
              <w:spacing w:after="0"/>
              <w:rPr>
                <w:sz w:val="18"/>
                <w:szCs w:val="18"/>
                <w:color w:val="auto"/>
              </w:rPr>
            </w:pPr>
          </w:p>
        </w:tc>
        <w:tc>
          <w:tcPr>
            <w:tcW w:w="8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Property by replacing any fractional portion of a security therein with an amount of cash equal to the value</w:t>
            </w:r>
          </w:p>
        </w:tc>
      </w:tr>
      <w:tr>
        <w:trPr>
          <w:trHeight w:val="234"/>
        </w:trPr>
        <w:tc>
          <w:tcPr>
            <w:tcW w:w="3060" w:type="dxa"/>
            <w:vAlign w:val="bottom"/>
          </w:tcPr>
          <w:p>
            <w:pPr>
              <w:spacing w:after="0"/>
              <w:rPr>
                <w:sz w:val="20"/>
                <w:szCs w:val="20"/>
                <w:color w:val="auto"/>
              </w:rPr>
            </w:pPr>
          </w:p>
        </w:tc>
        <w:tc>
          <w:tcPr>
            <w:tcW w:w="8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of such fractional security based on the values used to calculate the Share Termination Unit Price.</w:t>
            </w:r>
          </w:p>
        </w:tc>
      </w:tr>
      <w:tr>
        <w:trPr>
          <w:trHeight w:val="414"/>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Share Termination Unit Price:</w:t>
            </w:r>
          </w:p>
        </w:tc>
        <w:tc>
          <w:tcPr>
            <w:tcW w:w="8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value of property contained in one Share Termination Delivery Unit, as determined by the Calculation</w:t>
            </w:r>
          </w:p>
        </w:tc>
      </w:tr>
      <w:tr>
        <w:trPr>
          <w:trHeight w:val="216"/>
        </w:trPr>
        <w:tc>
          <w:tcPr>
            <w:tcW w:w="3060" w:type="dxa"/>
            <w:vAlign w:val="bottom"/>
          </w:tcPr>
          <w:p>
            <w:pPr>
              <w:spacing w:after="0"/>
              <w:rPr>
                <w:sz w:val="18"/>
                <w:szCs w:val="18"/>
                <w:color w:val="auto"/>
              </w:rPr>
            </w:pPr>
          </w:p>
        </w:tc>
        <w:tc>
          <w:tcPr>
            <w:tcW w:w="8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Agent in its discretion by commercially reasonable means and notified by the Calculation Agent to Dealer at</w:t>
            </w:r>
          </w:p>
        </w:tc>
      </w:tr>
      <w:tr>
        <w:trPr>
          <w:trHeight w:val="216"/>
        </w:trPr>
        <w:tc>
          <w:tcPr>
            <w:tcW w:w="3060" w:type="dxa"/>
            <w:vAlign w:val="bottom"/>
          </w:tcPr>
          <w:p>
            <w:pPr>
              <w:spacing w:after="0"/>
              <w:rPr>
                <w:sz w:val="18"/>
                <w:szCs w:val="18"/>
                <w:color w:val="auto"/>
              </w:rPr>
            </w:pPr>
          </w:p>
        </w:tc>
        <w:tc>
          <w:tcPr>
            <w:tcW w:w="8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time of notification of the Payment Obligation. For the avoidance of doubt, the parties agree that in</w:t>
            </w:r>
          </w:p>
        </w:tc>
      </w:tr>
      <w:tr>
        <w:trPr>
          <w:trHeight w:val="216"/>
        </w:trPr>
        <w:tc>
          <w:tcPr>
            <w:tcW w:w="3060" w:type="dxa"/>
            <w:vAlign w:val="bottom"/>
          </w:tcPr>
          <w:p>
            <w:pPr>
              <w:spacing w:after="0"/>
              <w:rPr>
                <w:sz w:val="18"/>
                <w:szCs w:val="18"/>
                <w:color w:val="auto"/>
              </w:rPr>
            </w:pPr>
          </w:p>
        </w:tc>
        <w:tc>
          <w:tcPr>
            <w:tcW w:w="8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determining the Share Termination Delivery Unit Price the Calculation Agent may consider a variety of</w:t>
            </w:r>
          </w:p>
        </w:tc>
      </w:tr>
      <w:tr>
        <w:trPr>
          <w:trHeight w:val="216"/>
        </w:trPr>
        <w:tc>
          <w:tcPr>
            <w:tcW w:w="3060" w:type="dxa"/>
            <w:vAlign w:val="bottom"/>
          </w:tcPr>
          <w:p>
            <w:pPr>
              <w:spacing w:after="0"/>
              <w:rPr>
                <w:sz w:val="18"/>
                <w:szCs w:val="18"/>
                <w:color w:val="auto"/>
              </w:rPr>
            </w:pPr>
          </w:p>
        </w:tc>
        <w:tc>
          <w:tcPr>
            <w:tcW w:w="8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factors, including the market price of the Share Termination Delivery Units and/or the purchase price paid in</w:t>
            </w:r>
          </w:p>
        </w:tc>
      </w:tr>
      <w:tr>
        <w:trPr>
          <w:trHeight w:val="234"/>
        </w:trPr>
        <w:tc>
          <w:tcPr>
            <w:tcW w:w="3060" w:type="dxa"/>
            <w:vAlign w:val="bottom"/>
          </w:tcPr>
          <w:p>
            <w:pPr>
              <w:spacing w:after="0"/>
              <w:rPr>
                <w:sz w:val="20"/>
                <w:szCs w:val="20"/>
                <w:color w:val="auto"/>
              </w:rPr>
            </w:pPr>
          </w:p>
        </w:tc>
        <w:tc>
          <w:tcPr>
            <w:tcW w:w="8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connection with the commercially reasonable purchase of Share Termination Delivery Property.</w:t>
            </w:r>
          </w:p>
        </w:tc>
      </w:tr>
      <w:tr>
        <w:trPr>
          <w:trHeight w:val="414"/>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Share Termination Delivery Unit:</w:t>
            </w:r>
          </w:p>
        </w:tc>
        <w:tc>
          <w:tcPr>
            <w:tcW w:w="8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One Share or, if the Shares have changed into cash or any other property or the right to receive cash or any</w:t>
            </w:r>
          </w:p>
        </w:tc>
      </w:tr>
      <w:tr>
        <w:trPr>
          <w:trHeight w:val="216"/>
        </w:trPr>
        <w:tc>
          <w:tcPr>
            <w:tcW w:w="3060" w:type="dxa"/>
            <w:vAlign w:val="bottom"/>
          </w:tcPr>
          <w:p>
            <w:pPr>
              <w:spacing w:after="0"/>
              <w:rPr>
                <w:sz w:val="18"/>
                <w:szCs w:val="18"/>
                <w:color w:val="auto"/>
              </w:rPr>
            </w:pPr>
          </w:p>
        </w:tc>
        <w:tc>
          <w:tcPr>
            <w:tcW w:w="8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property as the result of a Nationalization, Insolvency or Merger Event (any such cash or other</w:t>
            </w:r>
          </w:p>
        </w:tc>
      </w:tr>
      <w:tr>
        <w:trPr>
          <w:trHeight w:val="216"/>
        </w:trPr>
        <w:tc>
          <w:tcPr>
            <w:tcW w:w="3060" w:type="dxa"/>
            <w:vAlign w:val="bottom"/>
          </w:tcPr>
          <w:p>
            <w:pPr>
              <w:spacing w:after="0"/>
              <w:rPr>
                <w:sz w:val="18"/>
                <w:szCs w:val="18"/>
                <w:color w:val="auto"/>
              </w:rPr>
            </w:pPr>
          </w:p>
        </w:tc>
        <w:tc>
          <w:tcPr>
            <w:tcW w:w="8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property, the “Exchange Property”), a unit consisting of the type and amount of such Exchange Property</w:t>
            </w:r>
          </w:p>
        </w:tc>
      </w:tr>
      <w:tr>
        <w:trPr>
          <w:trHeight w:val="216"/>
        </w:trPr>
        <w:tc>
          <w:tcPr>
            <w:tcW w:w="3060" w:type="dxa"/>
            <w:vAlign w:val="bottom"/>
          </w:tcPr>
          <w:p>
            <w:pPr>
              <w:spacing w:after="0"/>
              <w:rPr>
                <w:sz w:val="18"/>
                <w:szCs w:val="18"/>
                <w:color w:val="auto"/>
              </w:rPr>
            </w:pPr>
          </w:p>
        </w:tc>
        <w:tc>
          <w:tcPr>
            <w:tcW w:w="8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received by a holder of one Share (without consideration of any requirement to pay cash or other</w:t>
            </w:r>
          </w:p>
        </w:tc>
      </w:tr>
      <w:tr>
        <w:trPr>
          <w:trHeight w:val="216"/>
        </w:trPr>
        <w:tc>
          <w:tcPr>
            <w:tcW w:w="3060" w:type="dxa"/>
            <w:vAlign w:val="bottom"/>
          </w:tcPr>
          <w:p>
            <w:pPr>
              <w:spacing w:after="0"/>
              <w:rPr>
                <w:sz w:val="18"/>
                <w:szCs w:val="18"/>
                <w:color w:val="auto"/>
              </w:rPr>
            </w:pPr>
          </w:p>
        </w:tc>
        <w:tc>
          <w:tcPr>
            <w:tcW w:w="8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consideration in lieu of fractional amounts of any securities) in such Nationalization, Insolvency or Merger</w:t>
            </w:r>
          </w:p>
        </w:tc>
      </w:tr>
      <w:tr>
        <w:trPr>
          <w:trHeight w:val="234"/>
        </w:trPr>
        <w:tc>
          <w:tcPr>
            <w:tcW w:w="3060" w:type="dxa"/>
            <w:vAlign w:val="bottom"/>
          </w:tcPr>
          <w:p>
            <w:pPr>
              <w:spacing w:after="0"/>
              <w:rPr>
                <w:sz w:val="20"/>
                <w:szCs w:val="20"/>
                <w:color w:val="auto"/>
              </w:rPr>
            </w:pPr>
          </w:p>
        </w:tc>
        <w:tc>
          <w:tcPr>
            <w:tcW w:w="8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Event, as determined by the Calculation Agent.</w:t>
            </w:r>
          </w:p>
        </w:tc>
      </w:tr>
      <w:tr>
        <w:trPr>
          <w:trHeight w:val="557"/>
        </w:trPr>
        <w:tc>
          <w:tcPr>
            <w:tcW w:w="3060" w:type="dxa"/>
            <w:vAlign w:val="bottom"/>
          </w:tcPr>
          <w:p>
            <w:pPr>
              <w:spacing w:after="0"/>
              <w:rPr>
                <w:sz w:val="24"/>
                <w:szCs w:val="24"/>
                <w:color w:val="auto"/>
              </w:rPr>
            </w:pPr>
          </w:p>
        </w:tc>
        <w:tc>
          <w:tcPr>
            <w:tcW w:w="8180" w:type="dxa"/>
            <w:vAlign w:val="bottom"/>
          </w:tcPr>
          <w:p>
            <w:pPr>
              <w:ind w:left="2500"/>
              <w:spacing w:after="0"/>
              <w:rPr>
                <w:sz w:val="20"/>
                <w:szCs w:val="20"/>
                <w:color w:val="auto"/>
              </w:rPr>
            </w:pPr>
            <w:r>
              <w:rPr>
                <w:rFonts w:ascii="Times New Roman" w:cs="Times New Roman" w:eastAsia="Times New Roman" w:hAnsi="Times New Roman"/>
                <w:sz w:val="14"/>
                <w:szCs w:val="14"/>
                <w:color w:val="auto"/>
              </w:rPr>
              <w:t>18</w:t>
            </w:r>
          </w:p>
        </w:tc>
      </w:tr>
      <w:tr>
        <w:trPr>
          <w:trHeight w:val="44"/>
        </w:trPr>
        <w:tc>
          <w:tcPr>
            <w:tcW w:w="3060" w:type="dxa"/>
            <w:vAlign w:val="bottom"/>
            <w:tcBorders>
              <w:bottom w:val="single" w:sz="8" w:color="auto"/>
            </w:tcBorders>
          </w:tcPr>
          <w:p>
            <w:pPr>
              <w:spacing w:after="0"/>
              <w:rPr>
                <w:sz w:val="3"/>
                <w:szCs w:val="3"/>
                <w:color w:val="auto"/>
              </w:rPr>
            </w:pPr>
          </w:p>
        </w:tc>
        <w:tc>
          <w:tcPr>
            <w:tcW w:w="818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9"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color w:val="auto"/>
        </w:rPr>
        <w:t>Failure to Deliver: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Applicable</w:t>
      </w:r>
    </w:p>
    <w:p>
      <w:pPr>
        <w:spacing w:after="0" w:line="200" w:lineRule="exact"/>
        <w:rPr>
          <w:sz w:val="20"/>
          <w:szCs w:val="20"/>
          <w:color w:val="auto"/>
        </w:rPr>
      </w:pPr>
    </w:p>
    <w:p>
      <w:pPr>
        <w:sectPr>
          <w:pgSz w:w="11900" w:h="16838" w:orient="portrait"/>
          <w:cols w:equalWidth="0" w:num="2">
            <w:col w:w="2660" w:space="720"/>
            <w:col w:w="7860"/>
          </w:cols>
          <w:pgMar w:left="320" w:top="121" w:right="339" w:bottom="1440" w:gutter="0" w:footer="0" w:header="0"/>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Applicable Provisions: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Share Termination Alternative is applicable, the provisions of Sections 9.8, 9.9 and 9.11 (as modified above) of the Equity Definitions and the provisions set forth opposite the caption “Representation and Agreement” in Section 2 will be applicable, except that all references in such provisions to “Physically-settled” shall be read as references to “Share Termination Settled” and all references to “Shares” shall be read as references to “Share Termination Delivery Units”. “Share Termination Settled” in relation to the Transaction means that the Share Termination Alternative is applicable to the Transaction.</w:t>
      </w:r>
    </w:p>
    <w:p>
      <w:pPr>
        <w:spacing w:after="0" w:line="185" w:lineRule="exact"/>
        <w:rPr>
          <w:sz w:val="20"/>
          <w:szCs w:val="20"/>
          <w:color w:val="auto"/>
        </w:rPr>
      </w:pPr>
    </w:p>
    <w:p>
      <w:pPr>
        <w:sectPr>
          <w:pgSz w:w="11900" w:h="16838" w:orient="portrait"/>
          <w:cols w:equalWidth="0" w:num="2">
            <w:col w:w="2660" w:space="720"/>
            <w:col w:w="7860"/>
          </w:cols>
          <w:pgMar w:left="320" w:top="121" w:right="339" w:bottom="1440" w:gutter="0" w:footer="0" w:header="0"/>
          <w:type w:val="continuous"/>
        </w:sectPr>
      </w:pPr>
    </w:p>
    <w:p>
      <w:pPr>
        <w:jc w:val="both"/>
        <w:ind w:firstLine="656"/>
        <w:spacing w:after="0" w:line="251" w:lineRule="auto"/>
        <w:tabs>
          <w:tab w:leader="none" w:pos="903"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Disposition of Hedge Shares</w:t>
      </w:r>
      <w:r>
        <w:rPr>
          <w:rFonts w:ascii="Times New Roman" w:cs="Times New Roman" w:eastAsia="Times New Roman" w:hAnsi="Times New Roman"/>
          <w:sz w:val="18"/>
          <w:szCs w:val="18"/>
          <w:color w:val="auto"/>
        </w:rPr>
        <w:t>. Counterparty hereby agrees that if, in the good faith reasonable judgment of Dealer, based on the advice of legal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counsel, the Shares acquired by Dealer for the purpose of effecting a commercially reasonable hedge of its obligations pursuant to the Transaction (the “</w:t>
      </w:r>
      <w:r>
        <w:rPr>
          <w:rFonts w:ascii="Times New Roman" w:cs="Times New Roman" w:eastAsia="Times New Roman" w:hAnsi="Times New Roman"/>
          <w:sz w:val="18"/>
          <w:szCs w:val="18"/>
          <w:b w:val="1"/>
          <w:bCs w:val="1"/>
          <w:color w:val="auto"/>
        </w:rPr>
        <w:t>Hedge Shares</w:t>
      </w:r>
      <w:r>
        <w:rPr>
          <w:rFonts w:ascii="Times New Roman" w:cs="Times New Roman" w:eastAsia="Times New Roman" w:hAnsi="Times New Roman"/>
          <w:sz w:val="18"/>
          <w:szCs w:val="18"/>
          <w:color w:val="auto"/>
        </w:rPr>
        <w:t xml:space="preserve">”) cannot be sold in the U.S. public market by Dealer without registration under the Securities Act, Counterparty shall, at its election: (i) in order to allow Dealer to sell the Hedge Shares in a registered offering, make available to Dealer an effective registration statement under the Securities Act to cover the resale of such Hedge Shares and (A) enter into an agreement, in form and substance reasonably satisfactory to Dealer, substantially in the form of an underwriting agreement for a registered offering for companies of a similar size in a similar industry, (B) provide accountant’s “comfort” letters in customary form for registered offerings of equity securities for companies of a similar size in a similar industry, (C) provide disclosure opinions of nationally recognized outside counsel to Counterparty in customary form for registered offerings of equity securities for companies of a similar size in a similar industry, (D) provide other customary opinions, certificates and closing documents customary in form for registered offerings of equity securities for companies of a similar size in a similar industry and (E) afford Dealer a reasonable opportunity to conduct a “due diligence” investigation with respect to Counterparty customary in scope for underwritten offerings of equity securities for companies of a similar size in a similar industry;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Counterparty elects clause (i) above but Dealer, in its sole reasonable discretion, is not satisfied with access to due diligence materials, the results of its due diligence investigation, or the procedures and documentation for the registered offering referred to above, then clause (ii) or clause (iii) of this Section 8(d) shall apply at the election of Counterparty;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Dealer has given Counterparty reasonable notice of its determination and provided Counterparty with reasonable opportunity to satisfy Dealer’s concerns; (ii) in order to allow Dealer to sell the Hedge Shares in a private placement, enter into a private placement agreement substantially similar to private placement purchase agreements customary for private placements of equity securities of companies of a similar size in a similar industry, in form and substance commercially reasonably satisfactory to Dealer using reasonable best efforts to include customary representations, covenants, blue sky and other governmental filings and/or registrations, indemnities to Dealer, due diligence rights (for Dealer or any designated buyer of the Hedge Shares from Dealer), opinions and certificates and such other documentation as is customary for private placements agreements of equity securities of companies of a similar size in a similar industry, as is reasonably acceptable to Dealer (in which case, the Calculation Agent shall make any adjustments to the terms of the Transaction that are necessary, in its good faith and commercially reasonable judgment, to compensate Dealer for any customary liquidity discount from the public market price of the Shares incurred on the sale of Hedge Shares in a private placement);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“comfort letter” or accountants’ consent shall be required to be delivered in connection with any private placements; or (iii) at any time on a Physical Settlement Date, purchase the Hedge Shares from Dealer at the then-prevailing market price at one or more times on such Exchange Business Days, and in the amounts, requested by Dealer.</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8" w:name="page139"/>
    <w:bookmarkEnd w:id="138"/>
    <w:p>
      <w:pPr>
        <w:jc w:val="both"/>
        <w:ind w:firstLine="656"/>
        <w:spacing w:after="0" w:line="251" w:lineRule="auto"/>
        <w:tabs>
          <w:tab w:leader="none" w:pos="892"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Repurchase Notices</w:t>
      </w:r>
      <w:r>
        <w:rPr>
          <w:rFonts w:ascii="Times New Roman" w:cs="Times New Roman" w:eastAsia="Times New Roman" w:hAnsi="Times New Roman"/>
          <w:sz w:val="18"/>
          <w:szCs w:val="18"/>
          <w:color w:val="auto"/>
        </w:rPr>
        <w:t>. If at any time Counterparty is subject to Section 16 of the Exchange Act, Counterparty shall, at least one Scheduled Valid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Day prior to any day on which Counterparty intends to effect any repurchase of Shares, give Dealer written notice of such repurchase (a “</w:t>
      </w:r>
      <w:r>
        <w:rPr>
          <w:rFonts w:ascii="Times New Roman" w:cs="Times New Roman" w:eastAsia="Times New Roman" w:hAnsi="Times New Roman"/>
          <w:sz w:val="18"/>
          <w:szCs w:val="18"/>
          <w:b w:val="1"/>
          <w:bCs w:val="1"/>
          <w:color w:val="auto"/>
        </w:rPr>
        <w:t>Repurchase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on such day if, following such repurchase, the Notice Percentage would reasonably be expected to be (i) greater than 11.34% and (ii) greater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0.5% than the Notice Percentage included in the immediately preceding Repurchase Notice (or, in the case of the first such Repurchase Notice, greater than the Notice Percentage as of the date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any repurchases of Shares pursuant to a plan under Rule 10b5-1 under the Exchange Act, Counterparty may elect to satisfy such requirement by promptly providing Dealer with advance written notice on or prior to any such day of entry into such plan, the maximum number of Shares that may be purchased thereunder and the approximate dates or periods during which such purchases may occur (with such maximum number of Shares deemed repurchased on the date of such notice for purposes of this Section 8(e)), in each case so long as such advance written notice shall not contain any material non-public information with respect to the Issuer or the Shares. The “</w:t>
      </w:r>
      <w:r>
        <w:rPr>
          <w:rFonts w:ascii="Times New Roman" w:cs="Times New Roman" w:eastAsia="Times New Roman" w:hAnsi="Times New Roman"/>
          <w:sz w:val="18"/>
          <w:szCs w:val="18"/>
          <w:b w:val="1"/>
          <w:bCs w:val="1"/>
          <w:color w:val="auto"/>
        </w:rPr>
        <w:t>Notice Percentage</w:t>
      </w:r>
      <w:r>
        <w:rPr>
          <w:rFonts w:ascii="Times New Roman" w:cs="Times New Roman" w:eastAsia="Times New Roman" w:hAnsi="Times New Roman"/>
          <w:sz w:val="18"/>
          <w:szCs w:val="18"/>
          <w:color w:val="auto"/>
        </w:rPr>
        <w:t xml:space="preserve">” as of any day is the fraction, expressed as a percentage, the numerator of which is the aggregate Number of Shares,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aggregate number of Shares underlying any other call options sold by Dealer to Counterparty and the denominator of which is the number of Shares outstanding on such day. In the event that Counterparty fails to provide Dealer with a Repurchase Notice on the day and in the manner specified in this Section 8(e) then Counterparty agrees to indemnify and hold harmless Dealer, its affiliates and their respective directors, officers, employees, agents and controlling persons (Dealer and each such person being an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from and against any and all commercially reasonable losses (including, if applicable, direct losses relating to Dealer’s commercially reasonable hedging activities as a consequence of becoming, or of the risk of becoming, a Section 16 “insider” or otherwise obtaining “inside information” as defined in the Corporations Act, including without limitation, any forbearance from hedging activities or cessation of hedging activities and any losses in connection therewith with respect to the Transaction), claims, damages and liabilities (or actions in respect thereof), joint or several, to which such Indemnified Party may become subject under applicable securities laws, including without limitation, Section 16 of the Exchange Act or under any U.S. state or federal law, regulation or regulatory order, or, if applicable, under the Corporations Act, ASIC Act or any other law, regulation or regulatory order of an Australian law, in each case relating to or arising out of such failure. If for any reason the foregoing indemnification is unavailable to any Indemnified Party or insufficient to hold harmless any Indemnified Party, then Counterparty shall contribute, to the maximum extent permitted by law, to the amount paid or payable by the Indemnified Party as a result of such loss, claim, damage or liability. In addition, Counterparty will reimburse any Indemnified Party for all commercially reasonable expenses (including commercially reasonable outside counsel fees and expenses) as they are incurred (after notice to Counterparty) in connection with the investigation of, preparation for or defense or settlement of any pending or threatened claim or any action, suit or proceeding arising therefrom, whether or not such Indemnified Party is a party thereto and whether or not such claim, action, suit or proceeding is initiated or brought by or on behalf of Counterparty, in each case relating to or arising out of such failure. Counterparty shall be relieved from liability under this Section 8(e) to the extent that the Indemnified Party fails promptly to notify Counterparty of any action commenced against it in respect of which indemnity may be sought hereunder (it being understood that any such notice delivered within 30 calendar days of the commencement of any such action shall be deemed to have been delivered promptly for such purpose), if and to the extent that Counterparty is materially prejudiced by such delayed notification. This indemnity shall survive the completion of the Transaction contemplated by this Confirmation and any assignment and delegation of the Transaction made pursuant to this Confirmation or the Agreement and shall inure to the benefit of any permitted assignee of Dealer. Counterparty will not be liable under this indemnity provision to the extent any loss, claim, damage, liability or expense is conclusively found in a final and non-appealable judgment by a court of competent jurisdiction to have resulted from Dealer’s gross negligence or willful misconduct.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9" w:name="page140"/>
    <w:bookmarkEnd w:id="139"/>
    <w:p>
      <w:pPr>
        <w:jc w:val="both"/>
        <w:ind w:firstLine="656"/>
        <w:spacing w:after="0" w:line="251" w:lineRule="auto"/>
        <w:tabs>
          <w:tab w:leader="none" w:pos="886"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Transfer and Assignment</w:t>
      </w:r>
      <w:r>
        <w:rPr>
          <w:rFonts w:ascii="Times New Roman" w:cs="Times New Roman" w:eastAsia="Times New Roman" w:hAnsi="Times New Roman"/>
          <w:sz w:val="18"/>
          <w:szCs w:val="18"/>
          <w:color w:val="auto"/>
        </w:rPr>
        <w:t>. Either party may transfer or assign any of its rights or obligations under the Transaction with the prior written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consent of the non-transferring party, such consent not to be unreasonably withheld or delayed;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Dealer may transfer or assign its rights and obligations hereunder, in whole or in part, without Counterparty’s consent, to any affiliate of Dealer (a “</w:t>
      </w:r>
      <w:r>
        <w:rPr>
          <w:rFonts w:ascii="Times New Roman" w:cs="Times New Roman" w:eastAsia="Times New Roman" w:hAnsi="Times New Roman"/>
          <w:sz w:val="18"/>
          <w:szCs w:val="18"/>
          <w:b w:val="1"/>
          <w:bCs w:val="1"/>
          <w:color w:val="auto"/>
        </w:rPr>
        <w:t>Designated Transferee</w:t>
      </w:r>
      <w:r>
        <w:rPr>
          <w:rFonts w:ascii="Times New Roman" w:cs="Times New Roman" w:eastAsia="Times New Roman" w:hAnsi="Times New Roman"/>
          <w:sz w:val="18"/>
          <w:szCs w:val="18"/>
          <w:color w:val="auto"/>
        </w:rPr>
        <w:t xml:space="preserve">”) (A) whose obligations would be guaranteed by Dealer or Dealer’s ultimate parent or (B) that has, or whose obligations would be guaranteed by a person with, in either case under this clause (B), a rating for its long-term, unsecured and unsubordinated indebtedness at least equivalent to Dealer’s (or its guarantor’s) at the time of such transfer or assignment,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in the case of this clause (B), in no event shall the credit rating of the Designated Transferee or of its guarantor (whichever is higher) be lower than A3 from Moody’s Investors Service, Inc. or its successor or A- from S&amp;P Global Ratings, a division of S&amp;P Global Inc., or its successor;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 Dealer will notify Counterparty in writing prior to or promptly after any proposed transfer or assignment to a Designated Transferee, (ii) after any such transfer or assignment, Counterparty will not, as a result of any withholding or deduction made by the transferee or assignee as a result of any tax, receive from such transferee or assignee on any payment date or delivery date (after accounting for amounts paid under Section 2(d)(i)(4) of the Agreement as well as such withholding or deduction from the payment or delivery) an amount or a number of Shares, as applicable, lower than the amount or the number of Shares, as applicable, that Counterparty would have received in the absence of such transfer or assignment, and (iii) Dealer shall cause the transferee or assignee to make such Payee Tax Representations as are reasonably acceptable to Counterparty and provide Counterparty with a complete and accurate U.S. Internal Revenue Service Form W-9 or W-8 (as applicable), and any other tax documentation as may be reasonably requested by Counterparty, prior to becoming a party to the Transaction to permit Counterparty to determine that results described in clause (ii) will not occur upon or after such transfer or assignment. At any time at which (1) the Equity Percentage exceeds 8.0% or (2) Dealer, Dealer Group (as defined below) or any person whose ownership position would be aggregated with that of Dealer or Dealer Group (Dealer, Dealer Group or any such person, a “</w:t>
      </w:r>
      <w:r>
        <w:rPr>
          <w:rFonts w:ascii="Times New Roman" w:cs="Times New Roman" w:eastAsia="Times New Roman" w:hAnsi="Times New Roman"/>
          <w:sz w:val="18"/>
          <w:szCs w:val="18"/>
          <w:b w:val="1"/>
          <w:bCs w:val="1"/>
          <w:color w:val="auto"/>
        </w:rPr>
        <w:t>Dealer Person</w:t>
      </w:r>
      <w:r>
        <w:rPr>
          <w:rFonts w:ascii="Times New Roman" w:cs="Times New Roman" w:eastAsia="Times New Roman" w:hAnsi="Times New Roman"/>
          <w:sz w:val="18"/>
          <w:szCs w:val="18"/>
          <w:color w:val="auto"/>
        </w:rPr>
        <w:t>”) under any applicable “business combinations statute” or other federal, state or local law, rule, regulation or regulatory order or organizational documents or contracts of Counterparty applicable to ownership of Shares (“</w:t>
      </w:r>
      <w:r>
        <w:rPr>
          <w:rFonts w:ascii="Times New Roman" w:cs="Times New Roman" w:eastAsia="Times New Roman" w:hAnsi="Times New Roman"/>
          <w:sz w:val="18"/>
          <w:szCs w:val="18"/>
          <w:b w:val="1"/>
          <w:bCs w:val="1"/>
          <w:color w:val="auto"/>
        </w:rPr>
        <w:t>Applicable Restrictions</w:t>
      </w:r>
      <w:r>
        <w:rPr>
          <w:rFonts w:ascii="Times New Roman" w:cs="Times New Roman" w:eastAsia="Times New Roman" w:hAnsi="Times New Roman"/>
          <w:sz w:val="18"/>
          <w:szCs w:val="18"/>
          <w:color w:val="auto"/>
        </w:rPr>
        <w:t xml:space="preserve">”), owns, beneficially owns, constructively owns, controls, holds the power to vote or otherwise meets a relevant definition of ownership in excess of a number of Shares equal to (x) the number of Shares that would give rise to reporting, registration, filing or notification obligations or other requirements (including obtaining prior approval by a state or federal regulator) of a Dealer Person under Applicable Restrictions and with respect to which such requirements have not been met or the relevant approval has not been received, or could result in an adverse effect on a Dealer Person, under any Applicable Restriction, as determined by Dealer in its reasonable discretion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(y) 1% of the number of Shares outstanding on the date of determination (either such condition described in clause</w:t>
      </w:r>
    </w:p>
    <w:p>
      <w:pPr>
        <w:spacing w:after="0" w:line="9" w:lineRule="exact"/>
        <w:rPr>
          <w:rFonts w:ascii="Times New Roman" w:cs="Times New Roman" w:eastAsia="Times New Roman" w:hAnsi="Times New Roman"/>
          <w:sz w:val="18"/>
          <w:szCs w:val="18"/>
          <w:color w:val="auto"/>
        </w:rPr>
      </w:pPr>
    </w:p>
    <w:p>
      <w:pPr>
        <w:jc w:val="both"/>
        <w:ind w:firstLine="8"/>
        <w:spacing w:after="0" w:line="251" w:lineRule="auto"/>
        <w:tabs>
          <w:tab w:leader="none" w:pos="268"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(2), an “</w:t>
      </w:r>
      <w:r>
        <w:rPr>
          <w:rFonts w:ascii="Times New Roman" w:cs="Times New Roman" w:eastAsia="Times New Roman" w:hAnsi="Times New Roman"/>
          <w:sz w:val="18"/>
          <w:szCs w:val="18"/>
          <w:b w:val="1"/>
          <w:bCs w:val="1"/>
          <w:color w:val="auto"/>
        </w:rPr>
        <w:t>Excess Ownership Position</w:t>
      </w:r>
      <w:r>
        <w:rPr>
          <w:rFonts w:ascii="Times New Roman" w:cs="Times New Roman" w:eastAsia="Times New Roman" w:hAnsi="Times New Roman"/>
          <w:sz w:val="18"/>
          <w:szCs w:val="18"/>
          <w:color w:val="auto"/>
        </w:rPr>
        <w:t>”), if Dealer, in its commercially reasonable discretion, is unable to effect a transfer or assignment to a third party in accordance with the requirements set forth above after its commercially reasonable efforts on pricing and terms and within a time period reasonably acceptable to Dealer such that an Excess Ownership Position no longer exists, Dealer may designate any Scheduled Valid Day as an Early Termination Date with respect to a portion (the “</w:t>
      </w:r>
      <w:r>
        <w:rPr>
          <w:rFonts w:ascii="Times New Roman" w:cs="Times New Roman" w:eastAsia="Times New Roman" w:hAnsi="Times New Roman"/>
          <w:sz w:val="18"/>
          <w:szCs w:val="18"/>
          <w:b w:val="1"/>
          <w:bCs w:val="1"/>
          <w:color w:val="auto"/>
        </w:rPr>
        <w:t>Terminated Portion</w:t>
      </w:r>
      <w:r>
        <w:rPr>
          <w:rFonts w:ascii="Times New Roman" w:cs="Times New Roman" w:eastAsia="Times New Roman" w:hAnsi="Times New Roman"/>
          <w:sz w:val="18"/>
          <w:szCs w:val="18"/>
          <w:color w:val="auto"/>
        </w:rPr>
        <w:t>”) of the Transaction, such that an Excess Ownership Position no longer exists following such partial termination. In the event that Dealer so designates an Early Termination Date with respect to a portion of the Transaction, a payment or delivery shall be made pursuant to Section 6 of the Agreement and Section 8(c) of this Confirmation as if (i) an Early Termination Date had been designated in respect of a Transaction having terms identical to the Terminated Portion of the Transaction, (ii) Counterparty were the sole Affected Party with respect to such partial termination, (iii) such portion of the Transaction were the only Terminated Transaction and (iv) Dealer were the party entitled to designate an Early Termination Date pursuant to Section 6(b) of the Agreement and to determine the amount payable pursuant to Section 6(e) of the Agreement. The “</w:t>
      </w:r>
      <w:r>
        <w:rPr>
          <w:rFonts w:ascii="Times New Roman" w:cs="Times New Roman" w:eastAsia="Times New Roman" w:hAnsi="Times New Roman"/>
          <w:sz w:val="18"/>
          <w:szCs w:val="18"/>
          <w:b w:val="1"/>
          <w:bCs w:val="1"/>
          <w:color w:val="auto"/>
        </w:rPr>
        <w:t>Equity Percentage</w:t>
      </w:r>
      <w:r>
        <w:rPr>
          <w:rFonts w:ascii="Times New Roman" w:cs="Times New Roman" w:eastAsia="Times New Roman" w:hAnsi="Times New Roman"/>
          <w:sz w:val="18"/>
          <w:szCs w:val="18"/>
          <w:color w:val="auto"/>
        </w:rPr>
        <w:t>” as of any day is the fraction, expressed as a percentage, (A) the numerator of which is the number of Shares that Dealer and any of its affiliates or any other person subject to aggregation with Dealer for purposes of the “beneficial ownership” test under Section 13 of the Exchange Act, or any “group” (within the meaning of Rule 13d-5(b)(1) under the Exchange Act) of which Dealer is or may be deemed to be a part (collectively, “</w:t>
      </w:r>
      <w:r>
        <w:rPr>
          <w:rFonts w:ascii="Times New Roman" w:cs="Times New Roman" w:eastAsia="Times New Roman" w:hAnsi="Times New Roman"/>
          <w:sz w:val="18"/>
          <w:szCs w:val="18"/>
          <w:b w:val="1"/>
          <w:bCs w:val="1"/>
          <w:color w:val="auto"/>
        </w:rPr>
        <w:t>Dealer Group</w:t>
      </w:r>
      <w:r>
        <w:rPr>
          <w:rFonts w:ascii="Times New Roman" w:cs="Times New Roman" w:eastAsia="Times New Roman" w:hAnsi="Times New Roman"/>
          <w:sz w:val="18"/>
          <w:szCs w:val="18"/>
          <w:color w:val="auto"/>
        </w:rPr>
        <w:t>”) “beneficially owns” (within the meaning of Section 13 of the Exchange Act), without duplication, on such day (or, to the extent that Counterparty is subject to Section 16 of the Exchange Act and, for any reason, the equivalent calculation under Section 16 of the Exchange Act and the rules and regulations thereunder results in a higher number, such higher number) and (B) the denominator of which is the number of Shares outstanding on such day.</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case of a transfer or assignment by Counterparty of its rights and obligations hereunder and under the Agreement, in whole or in part (any such Options so transferred or assigned, the “</w:t>
      </w:r>
      <w:r>
        <w:rPr>
          <w:rFonts w:ascii="Times New Roman" w:cs="Times New Roman" w:eastAsia="Times New Roman" w:hAnsi="Times New Roman"/>
          <w:sz w:val="18"/>
          <w:szCs w:val="18"/>
          <w:b w:val="1"/>
          <w:bCs w:val="1"/>
          <w:color w:val="auto"/>
        </w:rPr>
        <w:t>Transfer Options</w:t>
      </w:r>
      <w:r>
        <w:rPr>
          <w:rFonts w:ascii="Times New Roman" w:cs="Times New Roman" w:eastAsia="Times New Roman" w:hAnsi="Times New Roman"/>
          <w:sz w:val="18"/>
          <w:szCs w:val="18"/>
          <w:color w:val="auto"/>
        </w:rPr>
        <w:t>”), to any party, withholding of such consent by Dealer shall not be considered unreasonable if such transfer or assignment does not meet the reasonable conditions that Dealer may impose including, but not limited, to the following conditions:</w:t>
      </w:r>
    </w:p>
    <w:p>
      <w:pPr>
        <w:spacing w:after="0" w:line="180" w:lineRule="exact"/>
        <w:rPr>
          <w:sz w:val="20"/>
          <w:szCs w:val="20"/>
          <w:color w:val="auto"/>
        </w:rPr>
      </w:pPr>
    </w:p>
    <w:p>
      <w:pPr>
        <w:ind w:left="660" w:right="20" w:firstLine="320"/>
        <w:spacing w:after="0" w:line="282" w:lineRule="auto"/>
        <w:tabs>
          <w:tab w:leader="none" w:pos="130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Transfer Options, Counterparty shall not be released from its notice and indemnification obligations pursuant to Section 8(e) or any obligations under Section 2 (regarding Extraordinary Events) or 8(d) of this Confirmation;</w:t>
      </w:r>
    </w:p>
    <w:p>
      <w:pPr>
        <w:spacing w:after="0" w:line="161"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left="660" w:firstLine="320"/>
        <w:spacing w:after="0" w:line="258" w:lineRule="auto"/>
        <w:tabs>
          <w:tab w:leader="none" w:pos="1313"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transfer or assignment shall be effected on terms, including any commercially reasonable undertakings by such third party (including, but not limited to, undertakings with respect to compliance with applicable securities laws in a manner that, in the reasonable judgment of Dealer, will not expose Dealer to material risks under applicable securities laws) and execution of any documentation and delivery of customary legal opinions with respect to securities laws and other matters by such third party and Counterparty as are reasonably requested and reasonably satisfactory to Dealer;</w:t>
      </w:r>
    </w:p>
    <w:p>
      <w:pPr>
        <w:spacing w:after="0" w:line="183" w:lineRule="exact"/>
        <w:rPr>
          <w:rFonts w:ascii="Times New Roman" w:cs="Times New Roman" w:eastAsia="Times New Roman" w:hAnsi="Times New Roman"/>
          <w:sz w:val="18"/>
          <w:szCs w:val="18"/>
          <w:color w:val="auto"/>
        </w:rPr>
      </w:pPr>
    </w:p>
    <w:p>
      <w:pPr>
        <w:jc w:val="both"/>
        <w:ind w:left="660" w:firstLine="320"/>
        <w:spacing w:after="0" w:line="261" w:lineRule="auto"/>
        <w:tabs>
          <w:tab w:leader="none" w:pos="129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 will not, as a result of such transfer or assignment, be required to pay or deliver, as applicable, on any payment date or delivery date (after accounting for amounts paid under Section 2(d)(i)(4) of the Agreement) an amount or a number of Shares, as applicable, greater than an amount or the number of Shares, as applicable, that Dealer would have been required to pay or deliver to Counterparty in the absence of such transfer or assignment;</w:t>
      </w:r>
    </w:p>
    <w:p>
      <w:pPr>
        <w:sectPr>
          <w:pgSz w:w="11900" w:h="16838" w:orient="portrait"/>
          <w:cols w:equalWidth="0" w:num="1">
            <w:col w:w="11240"/>
          </w:cols>
          <w:pgMar w:left="320" w:top="119" w:right="339" w:bottom="1440" w:gutter="0" w:footer="0" w:header="0"/>
        </w:sect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40" w:name="page141"/>
    <w:bookmarkEnd w:id="140"/>
    <w:p>
      <w:pPr>
        <w:ind w:left="1260" w:hanging="280"/>
        <w:spacing w:after="0"/>
        <w:tabs>
          <w:tab w:leader="none" w:pos="126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Potential Event of Default or Termination Event will not occur as a result of such transfer or assignment;</w:t>
      </w:r>
    </w:p>
    <w:p>
      <w:pPr>
        <w:spacing w:after="0" w:line="225" w:lineRule="exact"/>
        <w:rPr>
          <w:rFonts w:ascii="Times New Roman" w:cs="Times New Roman" w:eastAsia="Times New Roman" w:hAnsi="Times New Roman"/>
          <w:sz w:val="18"/>
          <w:szCs w:val="18"/>
          <w:color w:val="auto"/>
        </w:rPr>
      </w:pPr>
    </w:p>
    <w:p>
      <w:pPr>
        <w:jc w:val="both"/>
        <w:ind w:left="660" w:firstLine="320"/>
        <w:spacing w:after="0" w:line="261" w:lineRule="auto"/>
        <w:tabs>
          <w:tab w:leader="none" w:pos="1254"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shall have caused the transferee or assignee to make such Payee Tax Representations as are reasonably acceptable to Dealer and to provide a properly executed U.S. Internal Revenue Service Form W-9 or applicable Form W-8 and any such tax documentation as may be reasonably requested by Dealer to permit Dealer to determine that results described in clause (D) will not occur upon or after such transfer or assignment; and</w:t>
      </w:r>
    </w:p>
    <w:p>
      <w:pPr>
        <w:spacing w:after="0" w:line="179" w:lineRule="exact"/>
        <w:rPr>
          <w:rFonts w:ascii="Times New Roman" w:cs="Times New Roman" w:eastAsia="Times New Roman" w:hAnsi="Times New Roman"/>
          <w:sz w:val="18"/>
          <w:szCs w:val="18"/>
          <w:color w:val="auto"/>
        </w:rPr>
      </w:pPr>
    </w:p>
    <w:p>
      <w:pPr>
        <w:ind w:left="660" w:firstLine="320"/>
        <w:spacing w:after="0" w:line="282" w:lineRule="auto"/>
        <w:tabs>
          <w:tab w:leader="none" w:pos="1302"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shall be responsible for all commercially reasonable costs and expenses, including reasonable counsel fees, incurred by Dealer in connection with such transfer or assignment.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Notwithstanding any other provision in this Confirmation to the contrary requiring or allowing Dealer to purchase, sell, receive or deliver any Shares or other securities, or make or receive any payment in cash, to or from Counterparty, Dealer may designate any of its affiliates to purchase, sell, receive or deliver such Shares or other securities, or to make or receive such payment in cash, and otherwise to perform Dealer’s obligations in respect of the Transaction and any such designee may assume such obligations. For the avoidance of doubt, the representations and covenants with respect to Sections 8(t) and 8(u)(ii) shall remain unaffected by such designation. Dealer shall be discharged of its obligations to Counterparty to the extent of any such performance.</w:t>
      </w:r>
    </w:p>
    <w:p>
      <w:pPr>
        <w:spacing w:after="0" w:line="185" w:lineRule="exact"/>
        <w:rPr>
          <w:sz w:val="20"/>
          <w:szCs w:val="20"/>
          <w:color w:val="auto"/>
        </w:rPr>
      </w:pPr>
    </w:p>
    <w:p>
      <w:pPr>
        <w:jc w:val="both"/>
        <w:ind w:firstLine="656"/>
        <w:spacing w:after="0" w:line="257" w:lineRule="auto"/>
        <w:tabs>
          <w:tab w:leader="none" w:pos="93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Staggered Settlement</w:t>
      </w:r>
      <w:r>
        <w:rPr>
          <w:rFonts w:ascii="Times New Roman" w:cs="Times New Roman" w:eastAsia="Times New Roman" w:hAnsi="Times New Roman"/>
          <w:sz w:val="18"/>
          <w:szCs w:val="18"/>
          <w:color w:val="auto"/>
        </w:rPr>
        <w:t>. If Dealer determines reasonably and in good faith based on the reasonable advice of counsel (a) with respect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legal and regulatory requirements, including any requirements relating to a Hypothetical Dealer’s Applicable Hedge Positions, that it would not be practicable or advisable to deliver, or to acquire Shares to deliver, any or all of the Shares to be delivered by Dealer on the Settlement Date or (b) that the number of Shares required to be delivered to Counterparty hereunder on the Settlement Date would result in an Excess Ownership Position, then Dealer may, by notice to Counterparty prior to the Settlement Date (a “</w:t>
      </w:r>
      <w:r>
        <w:rPr>
          <w:rFonts w:ascii="Times New Roman" w:cs="Times New Roman" w:eastAsia="Times New Roman" w:hAnsi="Times New Roman"/>
          <w:sz w:val="18"/>
          <w:szCs w:val="18"/>
          <w:b w:val="1"/>
          <w:bCs w:val="1"/>
          <w:color w:val="auto"/>
        </w:rPr>
        <w:t>Nominal Settlement Date</w:t>
      </w:r>
      <w:r>
        <w:rPr>
          <w:rFonts w:ascii="Times New Roman" w:cs="Times New Roman" w:eastAsia="Times New Roman" w:hAnsi="Times New Roman"/>
          <w:sz w:val="18"/>
          <w:szCs w:val="18"/>
          <w:color w:val="auto"/>
        </w:rPr>
        <w:t>”), elect to deliver any Shares due to be delivered on two or more dates (each, a “</w:t>
      </w:r>
      <w:r>
        <w:rPr>
          <w:rFonts w:ascii="Times New Roman" w:cs="Times New Roman" w:eastAsia="Times New Roman" w:hAnsi="Times New Roman"/>
          <w:sz w:val="18"/>
          <w:szCs w:val="18"/>
          <w:b w:val="1"/>
          <w:bCs w:val="1"/>
          <w:color w:val="auto"/>
        </w:rPr>
        <w:t>Staggered Settlement Date</w:t>
      </w:r>
      <w:r>
        <w:rPr>
          <w:rFonts w:ascii="Times New Roman" w:cs="Times New Roman" w:eastAsia="Times New Roman" w:hAnsi="Times New Roman"/>
          <w:sz w:val="18"/>
          <w:szCs w:val="18"/>
          <w:color w:val="auto"/>
        </w:rPr>
        <w:t>”) or at two or more times on the Nominal Settlement Date as follows:</w:t>
      </w:r>
    </w:p>
    <w:p>
      <w:pPr>
        <w:spacing w:after="0" w:line="184" w:lineRule="exact"/>
        <w:rPr>
          <w:rFonts w:ascii="Times New Roman" w:cs="Times New Roman" w:eastAsia="Times New Roman" w:hAnsi="Times New Roman"/>
          <w:sz w:val="18"/>
          <w:szCs w:val="18"/>
          <w:color w:val="auto"/>
        </w:rPr>
      </w:pPr>
    </w:p>
    <w:p>
      <w:pPr>
        <w:jc w:val="both"/>
        <w:ind w:left="660" w:firstLine="320"/>
        <w:spacing w:after="0" w:line="266" w:lineRule="auto"/>
        <w:tabs>
          <w:tab w:leader="none" w:pos="1222"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such notice, Dealer will specify to Counterparty the related Staggered Settlement Dates (each of which will be on or prior to such Nominal Settlement Date) or delivery times and how it will allocate the Shares it is required to deliver hereunder on the Settlement Date among the Staggered Settlement Dates or delivery times; and</w:t>
      </w:r>
    </w:p>
    <w:p>
      <w:pPr>
        <w:spacing w:after="0" w:line="175" w:lineRule="exact"/>
        <w:rPr>
          <w:rFonts w:ascii="Times New Roman" w:cs="Times New Roman" w:eastAsia="Times New Roman" w:hAnsi="Times New Roman"/>
          <w:sz w:val="18"/>
          <w:szCs w:val="18"/>
          <w:color w:val="auto"/>
        </w:rPr>
      </w:pPr>
    </w:p>
    <w:p>
      <w:pPr>
        <w:jc w:val="both"/>
        <w:ind w:left="660" w:firstLine="320"/>
        <w:spacing w:after="0" w:line="266" w:lineRule="auto"/>
        <w:tabs>
          <w:tab w:leader="none" w:pos="1262"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number of Shares that Dealer will deliver to Counterparty hereunder on all such Staggered Settlement Dates and delivery times will equal the number of Shares that Dealer would otherwise be required to deliver on such Nominal Settlement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any Staggered Settlement Date be a date later than the Final Termination Date.</w:t>
      </w:r>
    </w:p>
    <w:p>
      <w:pPr>
        <w:spacing w:after="0" w:line="173" w:lineRule="exact"/>
        <w:rPr>
          <w:rFonts w:ascii="Times New Roman" w:cs="Times New Roman" w:eastAsia="Times New Roman" w:hAnsi="Times New Roman"/>
          <w:sz w:val="18"/>
          <w:szCs w:val="18"/>
          <w:color w:val="auto"/>
        </w:rPr>
      </w:pPr>
    </w:p>
    <w:p>
      <w:pPr>
        <w:jc w:val="both"/>
        <w:ind w:firstLine="656"/>
        <w:spacing w:after="0" w:line="267" w:lineRule="auto"/>
        <w:tabs>
          <w:tab w:leader="none" w:pos="903"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Tax Disclosure</w:t>
      </w:r>
      <w:r>
        <w:rPr>
          <w:rFonts w:ascii="Times New Roman" w:cs="Times New Roman" w:eastAsia="Times New Roman" w:hAnsi="Times New Roman"/>
          <w:sz w:val="18"/>
          <w:szCs w:val="18"/>
          <w:color w:val="auto"/>
        </w:rPr>
        <w:t>. Effective from the date of commencement of discussions concerning the Transaction, Counterparty and each of its employees,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representatives, or other agents may disclose to any and all persons, without limitation of any kind, the tax treatment and tax structure of the Transaction and all materials of any kind (including opinions or other tax analyses) that are provided to Counterparty relating to such tax treatment and tax structure.</w:t>
      </w:r>
    </w:p>
    <w:p>
      <w:pPr>
        <w:spacing w:after="0" w:line="173" w:lineRule="exact"/>
        <w:rPr>
          <w:rFonts w:ascii="Times New Roman" w:cs="Times New Roman" w:eastAsia="Times New Roman" w:hAnsi="Times New Roman"/>
          <w:sz w:val="18"/>
          <w:szCs w:val="18"/>
          <w:color w:val="auto"/>
        </w:rPr>
      </w:pPr>
    </w:p>
    <w:p>
      <w:pPr>
        <w:jc w:val="both"/>
        <w:ind w:firstLine="656"/>
        <w:spacing w:after="0" w:line="267" w:lineRule="auto"/>
        <w:tabs>
          <w:tab w:leader="none" w:pos="876"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No Netting and Set-off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provisions of Section 2(c) of the Agreement shall not apply to the Transaction. Each party waives any and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it may have to set-off delivery or payment obligations it owes to the other party under the Transaction against any delivery or payment obligations owed to it by the other party, whether arising under the Agreement, under any other agreement between parties hereto, by operation of law or otherwise.</w:t>
      </w:r>
    </w:p>
    <w:p>
      <w:pPr>
        <w:spacing w:after="0" w:line="173" w:lineRule="exact"/>
        <w:rPr>
          <w:rFonts w:ascii="Times New Roman" w:cs="Times New Roman" w:eastAsia="Times New Roman" w:hAnsi="Times New Roman"/>
          <w:sz w:val="18"/>
          <w:szCs w:val="18"/>
          <w:color w:val="auto"/>
        </w:rPr>
      </w:pPr>
    </w:p>
    <w:p>
      <w:pPr>
        <w:jc w:val="both"/>
        <w:ind w:firstLine="656"/>
        <w:spacing w:after="0" w:line="257" w:lineRule="auto"/>
        <w:tabs>
          <w:tab w:leader="none" w:pos="863"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Equity Rights</w:t>
      </w:r>
      <w:r>
        <w:rPr>
          <w:rFonts w:ascii="Times New Roman" w:cs="Times New Roman" w:eastAsia="Times New Roman" w:hAnsi="Times New Roman"/>
          <w:sz w:val="18"/>
          <w:szCs w:val="18"/>
          <w:color w:val="auto"/>
        </w:rPr>
        <w:t>. Dealer acknowledges and agrees that this Confirmation is not intended to convey to it rights with respect to the Transaction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senior to the claims of shareholders in the event of Counterparty’s bankruptcy. For the avoidance of doubt, the parties agree that the preceding sentence shall not apply at any time other than during Counterparty’s bankruptcy to any claim arising as a result of a breach by Counterparty of any of its obligations under this Confirmation or the Agreement. For the avoidance of doubt, the parties acknowledge that the obligations of Counterparty under this Confirmation are not secured by any collateral that would otherwise secure the obligations of Counterparty herein under or pursuant to any other agreement.</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1" w:name="page142"/>
    <w:bookmarkEnd w:id="141"/>
    <w:p>
      <w:pPr>
        <w:jc w:val="both"/>
        <w:ind w:firstLine="656"/>
        <w:spacing w:after="0" w:line="239" w:lineRule="auto"/>
        <w:tabs>
          <w:tab w:leader="none" w:pos="916"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Early Unwind</w:t>
      </w:r>
      <w:r>
        <w:rPr>
          <w:rFonts w:ascii="Times New Roman" w:cs="Times New Roman" w:eastAsia="Times New Roman" w:hAnsi="Times New Roman"/>
          <w:sz w:val="18"/>
          <w:szCs w:val="18"/>
          <w:color w:val="auto"/>
        </w:rPr>
        <w:t>. In the event the sale of the [“Firm Securities”]</w:t>
      </w:r>
      <w:r>
        <w:rPr>
          <w:rFonts w:ascii="Times New Roman" w:cs="Times New Roman" w:eastAsia="Times New Roman" w:hAnsi="Times New Roman"/>
          <w:sz w:val="29"/>
          <w:szCs w:val="29"/>
          <w:color w:val="auto"/>
          <w:vertAlign w:val="superscript"/>
        </w:rPr>
        <w:t>11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 Securities”]</w:t>
      </w:r>
      <w:r>
        <w:rPr>
          <w:rFonts w:ascii="Times New Roman" w:cs="Times New Roman" w:eastAsia="Times New Roman" w:hAnsi="Times New Roman"/>
          <w:sz w:val="29"/>
          <w:szCs w:val="29"/>
          <w:color w:val="auto"/>
          <w:vertAlign w:val="superscript"/>
        </w:rPr>
        <w:t>12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defined in the Purchase Agreement dated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11, 2026, among Counterparty and J.P. Morgan Securities LLC, Goldman Sachs &amp; Co. LLC and Citigroup Global Markets Inc., as representatives of the Initial Purchasers party thereto (the “</w:t>
      </w:r>
      <w:r>
        <w:rPr>
          <w:rFonts w:ascii="Times New Roman" w:cs="Times New Roman" w:eastAsia="Times New Roman" w:hAnsi="Times New Roman"/>
          <w:sz w:val="18"/>
          <w:szCs w:val="18"/>
          <w:b w:val="1"/>
          <w:bCs w:val="1"/>
          <w:color w:val="auto"/>
        </w:rPr>
        <w:t>Initial Purchasers</w:t>
      </w:r>
      <w:r>
        <w:rPr>
          <w:rFonts w:ascii="Times New Roman" w:cs="Times New Roman" w:eastAsia="Times New Roman" w:hAnsi="Times New Roman"/>
          <w:sz w:val="18"/>
          <w:szCs w:val="18"/>
          <w:color w:val="auto"/>
        </w:rPr>
        <w:t>”)) is not consummated with the Initial Purchasers for any reason by 5:00 p.m. (New York City time) on the Premium Payment Date, or such later date as agreed upon by the parties (the Premium Payment Date or such later date, the “</w:t>
      </w:r>
      <w:r>
        <w:rPr>
          <w:rFonts w:ascii="Times New Roman" w:cs="Times New Roman" w:eastAsia="Times New Roman" w:hAnsi="Times New Roman"/>
          <w:sz w:val="18"/>
          <w:szCs w:val="18"/>
          <w:b w:val="1"/>
          <w:bCs w:val="1"/>
          <w:color w:val="auto"/>
        </w:rPr>
        <w:t>Early Unwind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the Transaction shall automatically terminate (the “</w:t>
      </w:r>
      <w:r>
        <w:rPr>
          <w:rFonts w:ascii="Times New Roman" w:cs="Times New Roman" w:eastAsia="Times New Roman" w:hAnsi="Times New Roman"/>
          <w:sz w:val="18"/>
          <w:szCs w:val="18"/>
          <w:b w:val="1"/>
          <w:bCs w:val="1"/>
          <w:color w:val="auto"/>
        </w:rPr>
        <w:t>Early Unwind</w:t>
      </w:r>
      <w:r>
        <w:rPr>
          <w:rFonts w:ascii="Times New Roman" w:cs="Times New Roman" w:eastAsia="Times New Roman" w:hAnsi="Times New Roman"/>
          <w:sz w:val="18"/>
          <w:szCs w:val="18"/>
          <w:color w:val="auto"/>
        </w:rPr>
        <w:t>”) on the Early Unwind Date and (i) the Transaction and all of the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and obligations of Dealer and Counterparty under the Transaction shall be cancelled and terminated and (ii) each party shall be released and discharged by the other party from and agrees not to make any claim against the other party with respect to any obligations or liabilities of the other party arising out of and to be performed in connection with the Transaction either prior to or after the Early Unwind Date. Each of Dealer and Counterparty represents and acknowledges to the other that, upon an Early Unwind, all obligations with respect to the Transaction shall be deemed fully and finally discharged.</w:t>
      </w:r>
    </w:p>
    <w:p>
      <w:pPr>
        <w:spacing w:after="0" w:line="196" w:lineRule="exact"/>
        <w:rPr>
          <w:rFonts w:ascii="Times New Roman" w:cs="Times New Roman" w:eastAsia="Times New Roman" w:hAnsi="Times New Roman"/>
          <w:sz w:val="18"/>
          <w:szCs w:val="18"/>
          <w:color w:val="auto"/>
        </w:rPr>
      </w:pPr>
    </w:p>
    <w:p>
      <w:pPr>
        <w:jc w:val="both"/>
        <w:ind w:firstLine="656"/>
        <w:spacing w:after="0" w:line="257" w:lineRule="auto"/>
        <w:tabs>
          <w:tab w:leader="none" w:pos="863"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Wall Street Transparency and Accountability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connection with Section 739 of the Wall Street Transparency and Accountability Act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2010 (“</w:t>
      </w:r>
      <w:r>
        <w:rPr>
          <w:rFonts w:ascii="Times New Roman" w:cs="Times New Roman" w:eastAsia="Times New Roman" w:hAnsi="Times New Roman"/>
          <w:sz w:val="18"/>
          <w:szCs w:val="18"/>
          <w:b w:val="1"/>
          <w:bCs w:val="1"/>
          <w:color w:val="auto"/>
        </w:rPr>
        <w:t>WSTAA</w:t>
      </w:r>
      <w:r>
        <w:rPr>
          <w:rFonts w:ascii="Times New Roman" w:cs="Times New Roman" w:eastAsia="Times New Roman" w:hAnsi="Times New Roman"/>
          <w:sz w:val="18"/>
          <w:szCs w:val="18"/>
          <w:color w:val="auto"/>
        </w:rPr>
        <w:t>”), the parties hereby agree that neither the enactment of WSTAA or any regulation under the WSTAA, nor any requirement under WSTAA or an amendment made by WSTAA, shall limit or otherwise impair either party’s otherwise applicable rights to terminate, renegotiate, modify, amend or supplement this Confirmation or the Agreement, as applicable, arising from a termination event, force majeure, illegality, increased costs, regulatory change or similar event under this Confirmation, the Equity Definitions incorporated herein, or the Agreement (including, but not limited to, rights arising from Change in Law, Hedging Disruption, an Excess Ownership Position, or Illegality (as defined in the Agreement)).</w:t>
      </w:r>
    </w:p>
    <w:p>
      <w:pPr>
        <w:spacing w:after="0" w:line="182"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Amendments to Equity Definitions</w:t>
      </w:r>
      <w:r>
        <w:rPr>
          <w:rFonts w:ascii="Times New Roman" w:cs="Times New Roman" w:eastAsia="Times New Roman" w:hAnsi="Times New Roman"/>
          <w:sz w:val="18"/>
          <w:szCs w:val="18"/>
          <w:color w:val="auto"/>
        </w:rPr>
        <w:t>. The following amendments shall be made to the Equity Definitions:</w:t>
      </w:r>
    </w:p>
    <w:p>
      <w:pPr>
        <w:spacing w:after="0" w:line="227" w:lineRule="exact"/>
        <w:rPr>
          <w:rFonts w:ascii="Times New Roman" w:cs="Times New Roman" w:eastAsia="Times New Roman" w:hAnsi="Times New Roman"/>
          <w:sz w:val="18"/>
          <w:szCs w:val="18"/>
          <w:color w:val="auto"/>
        </w:rPr>
      </w:pPr>
    </w:p>
    <w:p>
      <w:pPr>
        <w:ind w:left="660" w:right="20" w:firstLine="320"/>
        <w:spacing w:after="0" w:line="282" w:lineRule="auto"/>
        <w:tabs>
          <w:tab w:leader="none" w:pos="1207"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for purposes of applying the Equity Definitions and for purposes of this Confirmation, any reference in the Equity Definitions to a Strike Price shall be deemed to be a reference to either of the Strike Price or the Cap Price, or both, as appropriate;</w:t>
      </w:r>
    </w:p>
    <w:p>
      <w:pPr>
        <w:spacing w:after="0" w:line="161" w:lineRule="exact"/>
        <w:rPr>
          <w:rFonts w:ascii="Times New Roman" w:cs="Times New Roman" w:eastAsia="Times New Roman" w:hAnsi="Times New Roman"/>
          <w:sz w:val="18"/>
          <w:szCs w:val="18"/>
          <w:color w:val="auto"/>
        </w:rPr>
      </w:pPr>
    </w:p>
    <w:p>
      <w:pPr>
        <w:jc w:val="both"/>
        <w:ind w:left="660" w:firstLine="320"/>
        <w:spacing w:after="0" w:line="252" w:lineRule="auto"/>
        <w:tabs>
          <w:tab w:leader="none" w:pos="1272"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any adjustment under Section 11.2(c) of the Equity Definitions, the first sentence of Section 11.2(c) of the Equity Definitions, prior to clause (A) thereof, is hereby amended to read as follows: “If “Calculation Agent Adjustment” is specified as the Method of Adjustment in the related Confirmation of a Share Option Transaction, then following the announcement or occurrence of any Potential Adjustment Event, the Calculation Agent will determine whether such Potential Adjustment Event has, in the commercially reasonable judgment of the Calculation Agent, a material economic effect on the theoretical value of the relevant Shares or options on the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event is not based on (x) an observable market, other than the market for Counterparty’s own stock or (y) an observable index, other than an index calculated and measured solely by reference to Counterparty’s own operations) and, if so, will (i) make appropriate adjustment(s), if any, determined in a commercially reasonable manner, to any one or more of:”, and the portion of such sentence immediately preceding clause (ii) thereof is hereby amended by deleting the words “diluting or concentrative” and the words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adjustments will be made to account solely for changes in volatility, expected dividends, stock loan rate or liquidity relative to the relevant Shares)” and replacing such latter phrase with the words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solely in the case of Sections 11.2(e)(i), (ii)(A) and (iv), no adjustments will be made to account solely for changes in volatility, expected dividends, stock loan rate, or liquidity relative to the relevant Shares as determined by the Calculation Agent in a commercially reasonable manner, but, for the avoidance of doubt, solely in the case of Sections 11.2(e)(ii)(B) through (D), (iii), (v), (vi) and (vii), adjustments may be made to account solely for changes in volatility, expected dividends, stock loan rate or liquidity relative to the relevant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142303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91" w:lineRule="exact"/>
        <w:rPr>
          <w:sz w:val="20"/>
          <w:szCs w:val="20"/>
          <w:color w:val="auto"/>
        </w:rPr>
      </w:pPr>
    </w:p>
    <w:p>
      <w:pPr>
        <w:ind w:left="200" w:hanging="192"/>
        <w:spacing w:after="0"/>
        <w:tabs>
          <w:tab w:leader="none" w:pos="200" w:val="left"/>
        </w:tabs>
        <w:numPr>
          <w:ilvl w:val="0"/>
          <w:numId w:val="18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Insert for Base Call Option Confirmation.</w:t>
      </w:r>
    </w:p>
    <w:p>
      <w:pPr>
        <w:spacing w:after="0" w:line="1" w:lineRule="exact"/>
        <w:rPr>
          <w:rFonts w:ascii="Times New Roman" w:cs="Times New Roman" w:eastAsia="Times New Roman" w:hAnsi="Times New Roman"/>
          <w:sz w:val="28"/>
          <w:szCs w:val="28"/>
          <w:color w:val="auto"/>
          <w:vertAlign w:val="superscript"/>
        </w:rPr>
      </w:pPr>
    </w:p>
    <w:p>
      <w:pPr>
        <w:ind w:left="200" w:hanging="192"/>
        <w:spacing w:after="0" w:line="194" w:lineRule="auto"/>
        <w:tabs>
          <w:tab w:leader="none" w:pos="200" w:val="left"/>
        </w:tabs>
        <w:numPr>
          <w:ilvl w:val="0"/>
          <w:numId w:val="18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Additional Call Option Confirmation.</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42" w:name="page143"/>
    <w:bookmarkEnd w:id="142"/>
    <w:p>
      <w:pPr>
        <w:jc w:val="both"/>
        <w:ind w:left="660" w:firstLine="320"/>
        <w:spacing w:after="0" w:line="258" w:lineRule="auto"/>
        <w:tabs>
          <w:tab w:leader="none" w:pos="1308"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11.2(a) of the Equity Definitions is hereby amended by (1) deleting the words “in the determination of the Calculation Agent, a diluting or concentrative effect on the theoretical value of the relevant Shares” and replacing these words with “in the commercially reasonable judgment of the Calculation Agent, a material economic effect on the theoretical value of the Shares or options on such Shares”; and (2) adding at the end thereof “;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event is not based on (i) an observable market, other than the market for Counterparty’s own stock or (ii) an observable index, other than an index calculated and measured solely by reference to Counterparty’s own operations”;</w:t>
      </w:r>
    </w:p>
    <w:p>
      <w:pPr>
        <w:spacing w:after="0" w:line="183" w:lineRule="exact"/>
        <w:rPr>
          <w:rFonts w:ascii="Times New Roman" w:cs="Times New Roman" w:eastAsia="Times New Roman" w:hAnsi="Times New Roman"/>
          <w:sz w:val="18"/>
          <w:szCs w:val="18"/>
          <w:color w:val="auto"/>
        </w:rPr>
      </w:pPr>
    </w:p>
    <w:p>
      <w:pPr>
        <w:jc w:val="both"/>
        <w:ind w:left="660" w:firstLine="320"/>
        <w:spacing w:after="0" w:line="258" w:lineRule="auto"/>
        <w:tabs>
          <w:tab w:leader="none" w:pos="1296"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11.2(e)(vii) of the Equity Definitions is hereby amended and restated as follows: “any other corporate event involving the Issuer that in the commercially reasonable judgment of the Calculation Agent has a material economic effect on the theoretical value of the Shares or options on the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corporate event involving the Issuer is not based on (a) an observable market, other than the market for Counterparty’s own stock or (b) an observable index, other than an index calculated and measured solely by reference to Counterparty’s own operations.”;</w:t>
      </w:r>
    </w:p>
    <w:p>
      <w:pPr>
        <w:spacing w:after="0" w:line="183" w:lineRule="exact"/>
        <w:rPr>
          <w:rFonts w:ascii="Times New Roman" w:cs="Times New Roman" w:eastAsia="Times New Roman" w:hAnsi="Times New Roman"/>
          <w:sz w:val="18"/>
          <w:szCs w:val="18"/>
          <w:color w:val="auto"/>
        </w:rPr>
      </w:pPr>
    </w:p>
    <w:p>
      <w:pPr>
        <w:ind w:left="660" w:firstLine="320"/>
        <w:spacing w:after="0" w:line="282" w:lineRule="auto"/>
        <w:tabs>
          <w:tab w:leader="none" w:pos="1259"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12.7(b) of the Equity Definitions is hereby amended by deleting the words “(and in any event within five Exchange Business Days) by the parties after” appearing after the words “agreed promptly” and replacing with the words “by the parties on or prior to”; and</w:t>
      </w:r>
    </w:p>
    <w:p>
      <w:pPr>
        <w:spacing w:after="0" w:line="161" w:lineRule="exact"/>
        <w:rPr>
          <w:rFonts w:ascii="Times New Roman" w:cs="Times New Roman" w:eastAsia="Times New Roman" w:hAnsi="Times New Roman"/>
          <w:sz w:val="18"/>
          <w:szCs w:val="18"/>
          <w:color w:val="auto"/>
        </w:rPr>
      </w:pPr>
    </w:p>
    <w:p>
      <w:pPr>
        <w:ind w:left="1280" w:hanging="300"/>
        <w:spacing w:after="0"/>
        <w:tabs>
          <w:tab w:leader="none" w:pos="128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“Extraordinary Dividend” (as such term is used in the Equity Definitions) means any cash dividend on the Shares.</w:t>
      </w:r>
    </w:p>
    <w:p>
      <w:pPr>
        <w:spacing w:after="0" w:line="22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Governing Law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THE AGREEMENT, THIS CONFIRMATION AND ALL MATTERS ARISING IN CONNECTION WITH THE</w:t>
      </w:r>
    </w:p>
    <w:p>
      <w:pPr>
        <w:spacing w:after="0" w:line="31" w:lineRule="exact"/>
        <w:rPr>
          <w:rFonts w:ascii="Times New Roman" w:cs="Times New Roman" w:eastAsia="Times New Roman" w:hAnsi="Times New Roman"/>
          <w:sz w:val="18"/>
          <w:szCs w:val="18"/>
          <w:color w:val="auto"/>
        </w:rPr>
      </w:pPr>
    </w:p>
    <w:p>
      <w:pPr>
        <w:jc w:val="both"/>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AGREEMENT AND THIS CONFIRMATION SHALL BE GOVERNED BY, AND CONSTRUED AND ENFORCED IN ACCORDANCE WITH, THE LAWS OF THE STATE OF NEW YORK (WITHOUT REFERENCE TO ITS CHOICE OF LAW DOCTRINE, OTHER THAN TITLE 14 OF ARTICLE 5 OF THE NEW YORK GENERAL OBLIGATIONS LAW). THE PARTIES HERETO IRREVOCABLY SUBMIT TO THE EXCLUSIVE JURISDICTION OF THE FEDERAL AND STATE COURTS LOCATED IN THE BOROUGH OF MANHATTAN, IN THE CITY OF NEW YORK IN ANY SUIT OR PROCEEDING ARISING OUT OF OR RELATING TO THE AGREEMENT, THIS CONFIRMATION OR ANY TRANSACTIONS CONTEMPLATED HEREBY. DEALER AND COUNTERPARTY INTEND THAT THIS TRANSACTION BE ENTERED INTO, AND THIS CONFIRMATION BE EXECUTED, IN THE STATE OF NEW YORK.</w:t>
      </w:r>
    </w:p>
    <w:p>
      <w:pPr>
        <w:spacing w:after="0" w:line="186" w:lineRule="exact"/>
        <w:rPr>
          <w:rFonts w:ascii="Times New Roman" w:cs="Times New Roman" w:eastAsia="Times New Roman" w:hAnsi="Times New Roman"/>
          <w:sz w:val="18"/>
          <w:szCs w:val="18"/>
          <w:color w:val="auto"/>
        </w:rPr>
      </w:pPr>
    </w:p>
    <w:p>
      <w:pPr>
        <w:jc w:val="both"/>
        <w:ind w:firstLine="656"/>
        <w:spacing w:after="0" w:line="267" w:lineRule="auto"/>
        <w:tabs>
          <w:tab w:leader="none" w:pos="903"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Amendment to the Agreement</w:t>
      </w:r>
      <w:r>
        <w:rPr>
          <w:rFonts w:ascii="Times New Roman" w:cs="Times New Roman" w:eastAsia="Times New Roman" w:hAnsi="Times New Roman"/>
          <w:sz w:val="18"/>
          <w:szCs w:val="18"/>
          <w:color w:val="auto"/>
        </w:rPr>
        <w:t>. Section 12(a) of the Agreement is hereby amended by (i) deleting the phrase “or email” in the third line thereof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(ii) deleting the phrase “or that communication is delivered (or attempted) or received, as applicable, after the close of business on a Local Business Day” in the final clause thereof.</w:t>
      </w:r>
    </w:p>
    <w:p>
      <w:pPr>
        <w:spacing w:after="0" w:line="173" w:lineRule="exact"/>
        <w:rPr>
          <w:rFonts w:ascii="Times New Roman" w:cs="Times New Roman" w:eastAsia="Times New Roman" w:hAnsi="Times New Roman"/>
          <w:sz w:val="18"/>
          <w:szCs w:val="18"/>
          <w:color w:val="auto"/>
        </w:rPr>
      </w:pPr>
    </w:p>
    <w:p>
      <w:pPr>
        <w:jc w:val="both"/>
        <w:ind w:firstLine="656"/>
        <w:spacing w:after="0" w:line="261" w:lineRule="auto"/>
        <w:tabs>
          <w:tab w:leader="none" w:pos="903"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Adjustments</w:t>
      </w:r>
      <w:r>
        <w:rPr>
          <w:rFonts w:ascii="Times New Roman" w:cs="Times New Roman" w:eastAsia="Times New Roman" w:hAnsi="Times New Roman"/>
          <w:sz w:val="18"/>
          <w:szCs w:val="18"/>
          <w:color w:val="auto"/>
        </w:rPr>
        <w:t>. For the avoidance of doubt, whenever the Calculation Agent or Determining Party is called upon to make an adjustment pursuant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terms of this Confirmation or the Equity Definitions to take into account the effect of an event, the Calculation Agent or Determining Party shall make such adjustment by reference to the effect of such event on the Hedging Party, assuming that the Hedging Party maintains a commercially reasonable hedge position.</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903"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Delivery or Receipt of Cash</w:t>
      </w:r>
      <w:r>
        <w:rPr>
          <w:rFonts w:ascii="Times New Roman" w:cs="Times New Roman" w:eastAsia="Times New Roman" w:hAnsi="Times New Roman"/>
          <w:sz w:val="18"/>
          <w:szCs w:val="18"/>
          <w:color w:val="auto"/>
        </w:rPr>
        <w:t>. For the avoidance of doubt, other than payment of the Premium by Counterparty, nothing in this Confirmation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be interpreted as requiring Counterparty to cash settle the Transaction, except in circumstances where cash settlement is within Counterparty’s control (including, without limitation, where Counterparty elects to deliver or receive cash) or in those circumstances in which holders of Shares would also receive cash.</w:t>
      </w:r>
    </w:p>
    <w:p>
      <w:pPr>
        <w:spacing w:after="0" w:line="177"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Waiver of Jury Trial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EACH PARTY HEREBY IRREVOCABLY WAIVES ANY AND ALL RIGHTS TO TRIAL BY JURY WITH</w:t>
      </w:r>
    </w:p>
    <w:p>
      <w:pPr>
        <w:spacing w:after="0" w:line="31"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RESPECT TO ANY LEGAL PROCEEDING ARISING OUT OF OR RELATING TO THE AGREEMENT, THIS CONFIRMATION OR ANY TRANSACTIONS CONTEMPLATED HEREBY.</w:t>
      </w:r>
    </w:p>
    <w:p>
      <w:pPr>
        <w:spacing w:after="0" w:line="179" w:lineRule="exact"/>
        <w:rPr>
          <w:rFonts w:ascii="Times New Roman" w:cs="Times New Roman" w:eastAsia="Times New Roman" w:hAnsi="Times New Roman"/>
          <w:sz w:val="18"/>
          <w:szCs w:val="18"/>
          <w:color w:val="auto"/>
        </w:rPr>
      </w:pPr>
    </w:p>
    <w:p>
      <w:pPr>
        <w:ind w:right="20" w:firstLine="656"/>
        <w:spacing w:after="0" w:line="284" w:lineRule="auto"/>
        <w:tabs>
          <w:tab w:leader="none" w:pos="883"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Amendment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Confirmation and the Agreement may not be modified, amended or supplemented, except in a written instrument signed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Counterparty and Dealer.</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3" w:name="page144"/>
    <w:bookmarkEnd w:id="143"/>
    <w:p>
      <w:pPr>
        <w:jc w:val="both"/>
        <w:ind w:firstLine="656"/>
        <w:spacing w:after="0" w:line="261" w:lineRule="auto"/>
        <w:tabs>
          <w:tab w:leader="none" w:pos="863"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Counterparts</w:t>
      </w:r>
      <w:r>
        <w:rPr>
          <w:rFonts w:ascii="Times New Roman" w:cs="Times New Roman" w:eastAsia="Times New Roman" w:hAnsi="Times New Roman"/>
          <w:sz w:val="18"/>
          <w:szCs w:val="18"/>
          <w:color w:val="auto"/>
        </w:rPr>
        <w:t>. This Confirmation may be executed in several counterparts, each of which shall be deemed an original but all of which together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constitute one and the same instrument. Delivery of an executed signature page by electronic transmission (e.g. “pdf” or “tif”), or any electronic signature complying with the U.S. federal ESIGN Act of 2000, Uniform Electronic Transactions Act or other applicable law, e.g., www.docusign.com, shall be effective as delivery of a manually executed counterpart hereof.</w:t>
      </w:r>
    </w:p>
    <w:p>
      <w:pPr>
        <w:spacing w:after="0" w:line="179" w:lineRule="exact"/>
        <w:rPr>
          <w:rFonts w:ascii="Times New Roman" w:cs="Times New Roman" w:eastAsia="Times New Roman" w:hAnsi="Times New Roman"/>
          <w:sz w:val="18"/>
          <w:szCs w:val="18"/>
          <w:color w:val="auto"/>
        </w:rPr>
      </w:pPr>
    </w:p>
    <w:p>
      <w:pPr>
        <w:jc w:val="both"/>
        <w:ind w:firstLine="656"/>
        <w:spacing w:after="0" w:line="227" w:lineRule="auto"/>
        <w:tabs>
          <w:tab w:leader="none" w:pos="916"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Tax Forms</w:t>
      </w:r>
      <w:r>
        <w:rPr>
          <w:rFonts w:ascii="Times New Roman" w:cs="Times New Roman" w:eastAsia="Times New Roman" w:hAnsi="Times New Roman"/>
          <w:sz w:val="18"/>
          <w:szCs w:val="18"/>
          <w:color w:val="auto"/>
        </w:rPr>
        <w:t>. For the purpose of Sections 4(a)(i) and (ii) of the Agreement, Counterparty agrees to deliver to Dealer a duly executed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completed U.S. Internal Revenue Service Form W-8BEN-E (or successor thereto) and Dealer agrees to deliver to Counterparty, as applicable, a U.S. Internal Revenue Service Form [ ]</w:t>
      </w:r>
      <w:r>
        <w:rPr>
          <w:rFonts w:ascii="Times New Roman" w:cs="Times New Roman" w:eastAsia="Times New Roman" w:hAnsi="Times New Roman"/>
          <w:sz w:val="29"/>
          <w:szCs w:val="29"/>
          <w:color w:val="auto"/>
          <w:vertAlign w:val="superscript"/>
        </w:rPr>
        <w:t>13</w:t>
      </w:r>
      <w:r>
        <w:rPr>
          <w:rFonts w:ascii="Times New Roman" w:cs="Times New Roman" w:eastAsia="Times New Roman" w:hAnsi="Times New Roman"/>
          <w:sz w:val="18"/>
          <w:szCs w:val="18"/>
          <w:color w:val="auto"/>
        </w:rPr>
        <w:t xml:space="preserve"> (or successor thereto). Such forms or documents shall be delivered upon (i) execution of this Confirmation, (ii) Counterparty or Dealer, as applicable, learning that any such tax form previously provided by it has become obsolete or incorrect, and (iii) reasonable request of the other party.</w:t>
      </w:r>
    </w:p>
    <w:p>
      <w:pPr>
        <w:spacing w:after="0" w:line="19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Payee Tax Representations</w:t>
      </w:r>
      <w:r>
        <w:rPr>
          <w:rFonts w:ascii="Times New Roman" w:cs="Times New Roman" w:eastAsia="Times New Roman" w:hAnsi="Times New Roman"/>
          <w:sz w:val="18"/>
          <w:szCs w:val="18"/>
          <w:i w:val="1"/>
          <w:iCs w:val="1"/>
          <w:color w:val="auto"/>
        </w:rPr>
        <w:t>.</w:t>
      </w:r>
    </w:p>
    <w:p>
      <w:pPr>
        <w:spacing w:after="0" w:line="227" w:lineRule="exact"/>
        <w:rPr>
          <w:rFonts w:ascii="Times New Roman" w:cs="Times New Roman" w:eastAsia="Times New Roman" w:hAnsi="Times New Roman"/>
          <w:sz w:val="18"/>
          <w:szCs w:val="18"/>
          <w:color w:val="auto"/>
        </w:rPr>
      </w:pPr>
    </w:p>
    <w:p>
      <w:pPr>
        <w:ind w:left="1200" w:hanging="220"/>
        <w:spacing w:after="0"/>
        <w:tabs>
          <w:tab w:leader="none" w:pos="1200"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Section 3(f) of the Agreement, Counterparty makes the representations below:</w:t>
      </w:r>
    </w:p>
    <w:p>
      <w:pPr>
        <w:spacing w:after="0" w:line="22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Counterparty (i) is organized under the laws of Australia, is a tax resident of Australia and is a corporation for U.S. federal income tax purposes, (ii) no payment received or to be received under the Agreement will be effectively connected with the conduct of a trade or business carried on by it at or through a permanent establishment in the United States or otherwise outside Australia and (iii) it is a “non-U.S. branch of a foreign person” as that term is used in Section 1.1441-4(a)(3)(ii) of U.S. Treasury Regulations and “foreign person” as that term is used in Section 1.6041-4(a)(4) of the United States Treasury Regulations.</w:t>
      </w:r>
    </w:p>
    <w:p>
      <w:pPr>
        <w:spacing w:after="0" w:line="183" w:lineRule="exact"/>
        <w:rPr>
          <w:sz w:val="20"/>
          <w:szCs w:val="20"/>
          <w:color w:val="auto"/>
        </w:rPr>
      </w:pPr>
    </w:p>
    <w:p>
      <w:pPr>
        <w:ind w:left="660" w:right="3060" w:firstLine="320"/>
        <w:spacing w:after="0" w:line="399" w:lineRule="auto"/>
        <w:tabs>
          <w:tab w:leader="none" w:pos="1249" w:val="left"/>
        </w:tabs>
        <w:numPr>
          <w:ilvl w:val="1"/>
          <w:numId w:val="1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purpose of Section 3(f) of the Agreement, Dealer makes the representations below: Dealer is a [_______________________________________________________________________].</w:t>
      </w:r>
      <w:r>
        <w:rPr>
          <w:rFonts w:ascii="Times New Roman" w:cs="Times New Roman" w:eastAsia="Times New Roman" w:hAnsi="Times New Roman"/>
          <w:sz w:val="28"/>
          <w:szCs w:val="28"/>
          <w:color w:val="auto"/>
          <w:vertAlign w:val="superscript"/>
        </w:rPr>
        <w:t>14</w:t>
      </w:r>
    </w:p>
    <w:p>
      <w:pPr>
        <w:spacing w:after="0" w:line="1" w:lineRule="exact"/>
        <w:rPr>
          <w:rFonts w:ascii="Times New Roman" w:cs="Times New Roman" w:eastAsia="Times New Roman" w:hAnsi="Times New Roman"/>
          <w:sz w:val="17"/>
          <w:szCs w:val="17"/>
          <w:color w:val="auto"/>
        </w:rPr>
      </w:pPr>
    </w:p>
    <w:p>
      <w:pPr>
        <w:jc w:val="both"/>
        <w:ind w:firstLine="656"/>
        <w:spacing w:after="0" w:line="256" w:lineRule="auto"/>
        <w:tabs>
          <w:tab w:leader="none" w:pos="1001"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Withholding Tax Imposed on Payments to Non-U.S. Counterparties under the United States Foreign Account Tax Compliance Provisions of the HIRE Act</w:t>
      </w:r>
      <w:r>
        <w:rPr>
          <w:rFonts w:ascii="Times New Roman" w:cs="Times New Roman" w:eastAsia="Times New Roman" w:hAnsi="Times New Roman"/>
          <w:sz w:val="18"/>
          <w:szCs w:val="18"/>
          <w:color w:val="auto"/>
        </w:rPr>
        <w:t>. “Indemnifiable Tax”, as defined in Section 14 of the Agreement, shall not include any U.S. federal withholding tax imposed or collected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FATCA (a “</w:t>
      </w:r>
      <w:r>
        <w:rPr>
          <w:rFonts w:ascii="Times New Roman" w:cs="Times New Roman" w:eastAsia="Times New Roman" w:hAnsi="Times New Roman"/>
          <w:sz w:val="18"/>
          <w:szCs w:val="18"/>
          <w:b w:val="1"/>
          <w:bCs w:val="1"/>
          <w:color w:val="auto"/>
        </w:rPr>
        <w:t>FATCA Withholding Tax</w:t>
      </w:r>
      <w:r>
        <w:rPr>
          <w:rFonts w:ascii="Times New Roman" w:cs="Times New Roman" w:eastAsia="Times New Roman" w:hAnsi="Times New Roman"/>
          <w:sz w:val="18"/>
          <w:szCs w:val="18"/>
          <w:color w:val="auto"/>
        </w:rPr>
        <w:t>”). “FATCA” is defined as Sections 1471 through 1474 of the United States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For the avoidance of doubt, a FATCA Withholding Tax is a Tax the deduction or withholding of which is required by applicable law for the purposes of Section 2(d) of the Agreement.</w:t>
      </w:r>
    </w:p>
    <w:p>
      <w:pPr>
        <w:spacing w:after="0" w:line="182" w:lineRule="exact"/>
        <w:rPr>
          <w:rFonts w:ascii="Times New Roman" w:cs="Times New Roman" w:eastAsia="Times New Roman" w:hAnsi="Times New Roman"/>
          <w:sz w:val="18"/>
          <w:szCs w:val="18"/>
          <w:color w:val="auto"/>
        </w:rPr>
      </w:pPr>
    </w:p>
    <w:p>
      <w:pPr>
        <w:jc w:val="both"/>
        <w:ind w:right="20" w:firstLine="656"/>
        <w:spacing w:after="0" w:line="261" w:lineRule="auto"/>
        <w:tabs>
          <w:tab w:leader="none" w:pos="916"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Section 871(m)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“Indemnifiable Tax”, as defined in Section 14 of the Agreement, shall not include any tax imposed on payments treated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from sources within the United States under Section 871(m) of the Code or any regulations issued thereunder. For the avoidance of doubt, any such tax imposed under Section 871(m) of the Code is a Tax the deduction or withholding of which is required by applicable law for the purposes of Section 2(d) of the Agreement</w:t>
      </w:r>
      <w:r>
        <w:rPr>
          <w:rFonts w:ascii="Times New Roman" w:cs="Times New Roman" w:eastAsia="Times New Roman" w:hAnsi="Times New Roman"/>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142303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76" w:lineRule="exact"/>
        <w:rPr>
          <w:sz w:val="20"/>
          <w:szCs w:val="20"/>
          <w:color w:val="auto"/>
        </w:rPr>
      </w:pPr>
    </w:p>
    <w:p>
      <w:pPr>
        <w:ind w:left="200" w:hanging="192"/>
        <w:spacing w:after="0"/>
        <w:tabs>
          <w:tab w:leader="none" w:pos="200" w:val="left"/>
        </w:tabs>
        <w:numPr>
          <w:ilvl w:val="0"/>
          <w:numId w:val="188"/>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To be populated with appropriate form for dealer.</w:t>
      </w:r>
    </w:p>
    <w:p>
      <w:pPr>
        <w:spacing w:after="0" w:line="1" w:lineRule="exact"/>
        <w:rPr>
          <w:rFonts w:ascii="Times New Roman" w:cs="Times New Roman" w:eastAsia="Times New Roman" w:hAnsi="Times New Roman"/>
          <w:sz w:val="28"/>
          <w:szCs w:val="28"/>
          <w:color w:val="auto"/>
          <w:vertAlign w:val="superscript"/>
        </w:rPr>
      </w:pPr>
    </w:p>
    <w:p>
      <w:pPr>
        <w:ind w:left="200" w:hanging="192"/>
        <w:spacing w:after="0" w:line="194" w:lineRule="auto"/>
        <w:tabs>
          <w:tab w:leader="none" w:pos="200" w:val="left"/>
        </w:tabs>
        <w:numPr>
          <w:ilvl w:val="0"/>
          <w:numId w:val="18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applicable Dealer tax representation.</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4" w:name="page145"/>
    <w:bookmarkEnd w:id="144"/>
    <w:p>
      <w:pPr>
        <w:jc w:val="both"/>
        <w:ind w:firstLine="656"/>
        <w:spacing w:after="0" w:line="252" w:lineRule="auto"/>
        <w:tabs>
          <w:tab w:leader="none" w:pos="903"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Agreements and Acknowledgements Regarding Hedging</w:t>
      </w:r>
      <w:r>
        <w:rPr>
          <w:rFonts w:ascii="Times New Roman" w:cs="Times New Roman" w:eastAsia="Times New Roman" w:hAnsi="Times New Roman"/>
          <w:sz w:val="18"/>
          <w:szCs w:val="18"/>
          <w:color w:val="auto"/>
        </w:rPr>
        <w:t>. Counterparty understands, acknowledges and agrees that: (A) at any time on or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final Expiration Date, Dealer and its affiliates may buy or sell Shares or other securities or buy or sell options or futures contracts or enter into swaps or other derivative securities in order to adjust its hedge position with respect to the Transaction; (B) Dealer and its affiliates also may be active in the market for Shares other than in connection with hedging activities in relation to the Transaction; (C) Dealer shall make its own determination as to whether, when or in what manner any hedging or market activities in securities of the Issuer shall be conducted and shall do so in a manner that it deems appropriate to hedge its price and market risk with respect to the Relevant Prices; and (D) any market activities of Dealer and its affiliates with respect to Shares may affect the market price and volatility of Shares, as well as the Relevant Prices, each in a manner that may be adverse to Counterparty; (E) each party’s rights and obligations under this Transaction are not dependent or conditional upon Dealer owning or having any legal or equitable interest in the Shares or any expectation of Dealer acquiring such an interest and the fact that Dealer may or may not have such an interest or an expectation of acquiring such an interest shall have no effect whatsoever on the rights and obligations of the parties under this Transaction; and (F) for the avoidance of doubt, notwithstanding any provision of the Equity Definitions: (i) neither party shall acquire any right to exercise, or control the exercise of, any voting or disposal rights relating to any Shares or to give any consent with respect to the Shares by virtue of the Transaction; (ii) the parties are not acting in concert in respect of the exercise of voting or disposal rights relating to any Shares and the parties will make their own determination independently of each other in relation to corporate actions in respect of the Issuer and any Shares that may be held by them; and (iii) there is no agreement, arrangement or understanding between the parties in relation to voting or disposal of any Shares or for the purpose of controlling or influencing the composition of the Issuer's board or the conduct of the Issuer's affairs. Without limiting the generality of the foregoing, Counterparty shall not be entitled pursuant to the Transaction, whether directly or indirectly, to vote or direct the voting of, or to give or direct the giving of any consent with respect to, any Shares (including any Shares held by or on behalf of Dealer as a hedge for the Transaction), and the parties agree that Dealer under this Transaction shall not take any such directions or instructions from the other party, or any of its officers, directors, employees, agents or representatives, as to such voting or consent.</w:t>
      </w:r>
    </w:p>
    <w:p>
      <w:pPr>
        <w:spacing w:after="0" w:line="190" w:lineRule="exact"/>
        <w:rPr>
          <w:rFonts w:ascii="Times New Roman" w:cs="Times New Roman" w:eastAsia="Times New Roman" w:hAnsi="Times New Roman"/>
          <w:sz w:val="18"/>
          <w:szCs w:val="18"/>
          <w:color w:val="auto"/>
        </w:rPr>
      </w:pPr>
    </w:p>
    <w:p>
      <w:pPr>
        <w:jc w:val="both"/>
        <w:ind w:firstLine="656"/>
        <w:spacing w:after="0" w:line="252" w:lineRule="auto"/>
        <w:tabs>
          <w:tab w:leader="none" w:pos="906"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U.S. Resolution Stay Protocol</w:t>
      </w:r>
      <w:r>
        <w:rPr>
          <w:rFonts w:ascii="Times New Roman" w:cs="Times New Roman" w:eastAsia="Times New Roman" w:hAnsi="Times New Roman"/>
          <w:sz w:val="18"/>
          <w:szCs w:val="18"/>
          <w:color w:val="auto"/>
        </w:rPr>
        <w:t>. To the extent that the QFC Stay Rules are applicable hereto, then the parties agree that (i) to the extent that prior to the date hereof both parties have adhered to the 2018 ISDA U.S. Resolution Stay Protocol (the “</w:t>
      </w:r>
      <w:r>
        <w:rPr>
          <w:rFonts w:ascii="Times New Roman" w:cs="Times New Roman" w:eastAsia="Times New Roman" w:hAnsi="Times New Roman"/>
          <w:sz w:val="18"/>
          <w:szCs w:val="18"/>
          <w:b w:val="1"/>
          <w:bCs w:val="1"/>
          <w:color w:val="auto"/>
        </w:rPr>
        <w:t>Protocol</w:t>
      </w:r>
      <w:r>
        <w:rPr>
          <w:rFonts w:ascii="Times New Roman" w:cs="Times New Roman" w:eastAsia="Times New Roman" w:hAnsi="Times New Roman"/>
          <w:sz w:val="18"/>
          <w:szCs w:val="18"/>
          <w:color w:val="auto"/>
        </w:rPr>
        <w:t>”), the terms of the Protocol are incorporated into and form a part of this Confirmation, and for such purposes this Confirmation shall be deemed a Protocol Covered Agreement and each party shall be deemed to have the same status as “Regulated Entity” and/or “Adhering Party” as applicable to it under the Protocol; (ii) to the extent that prior to the date hereof the parties have executed a separate agreement the effect of which is to amend the qualified financial contracts between them to conform with the requirements of the QFC Stay Rules (the “</w:t>
      </w:r>
      <w:r>
        <w:rPr>
          <w:rFonts w:ascii="Times New Roman" w:cs="Times New Roman" w:eastAsia="Times New Roman" w:hAnsi="Times New Roman"/>
          <w:sz w:val="18"/>
          <w:szCs w:val="18"/>
          <w:b w:val="1"/>
          <w:bCs w:val="1"/>
          <w:color w:val="auto"/>
        </w:rPr>
        <w:t>Bilateral Agreement</w:t>
      </w:r>
      <w:r>
        <w:rPr>
          <w:rFonts w:ascii="Times New Roman" w:cs="Times New Roman" w:eastAsia="Times New Roman" w:hAnsi="Times New Roman"/>
          <w:sz w:val="18"/>
          <w:szCs w:val="18"/>
          <w:color w:val="auto"/>
        </w:rPr>
        <w:t>”), the terms of the Bilateral Agreement are incorporated into and form a part of this Confirmation and each party shall be deemed to have the status of “Covered Entity” or “Counterparty Entity” (or other similar term) as applicable to it under the Bilateral Agreement; or (iii) if clause (i) and clause (ii) do not apply, the terms of Section 1 and Section 2 and the related defined terms (together, the “</w:t>
      </w:r>
      <w:r>
        <w:rPr>
          <w:rFonts w:ascii="Times New Roman" w:cs="Times New Roman" w:eastAsia="Times New Roman" w:hAnsi="Times New Roman"/>
          <w:sz w:val="18"/>
          <w:szCs w:val="18"/>
          <w:b w:val="1"/>
          <w:bCs w:val="1"/>
          <w:color w:val="auto"/>
        </w:rPr>
        <w:t>Bilateral Terms</w:t>
      </w:r>
      <w:r>
        <w:rPr>
          <w:rFonts w:ascii="Times New Roman" w:cs="Times New Roman" w:eastAsia="Times New Roman" w:hAnsi="Times New Roman"/>
          <w:sz w:val="18"/>
          <w:szCs w:val="18"/>
          <w:color w:val="auto"/>
        </w:rPr>
        <w:t>”) of the form of bilateral template entitled “Full-Length Omnibus (for use between U.S. G-SIBs and Corporate Groups)” published by ISDA on November 2, 2018 (currently available on the 2018 ISDA U.S. Resolution Stay Protocol page at www.isda.org and, a copy of which is available upon request), the effect of which is to amend the qualified financial contracts between the parties thereto to conform with the requirements of the QFC Stay Rules, are hereby incorporated into and form a part of this Confirmation, and for such purposes this Confirmation shall be deemed a “Covered Agreement,” Dealer shall be deemed a “Covered Entity” and Counterparty shall be deemed a “Counterparty Entity.” In the event that, after the date of this Confirmation, both parties hereto become adhering parties to the Protocol, the terms of the Protocol will replace the terms of this paragraph. In the event of any inconsistencies between this Confirmation and the terms of the Protocol, the Bilateral Agreement or the Bilateral Terms (each, the “</w:t>
      </w:r>
      <w:r>
        <w:rPr>
          <w:rFonts w:ascii="Times New Roman" w:cs="Times New Roman" w:eastAsia="Times New Roman" w:hAnsi="Times New Roman"/>
          <w:sz w:val="18"/>
          <w:szCs w:val="18"/>
          <w:b w:val="1"/>
          <w:bCs w:val="1"/>
          <w:color w:val="auto"/>
        </w:rPr>
        <w:t>QFC Stay Terms</w:t>
      </w:r>
      <w:r>
        <w:rPr>
          <w:rFonts w:ascii="Times New Roman" w:cs="Times New Roman" w:eastAsia="Times New Roman" w:hAnsi="Times New Roman"/>
          <w:sz w:val="18"/>
          <w:szCs w:val="18"/>
          <w:color w:val="auto"/>
        </w:rPr>
        <w:t>”), as applicable, the QFC Stay Terms will govern. Terms used in this paragraph without definition shall have the meanings assigned to them under the QFC Stay Rules. For purposes of this paragraph, references to “this Confirmation” include any related credit enhancements entered into between the parties or provided by one to the other. In addition, the parties agree that the terms of this paragraph shall be incorporated into any related covered affiliate credit enhancements, with all references to Dealer replaced by references to the covered affiliate support provider.</w:t>
      </w:r>
    </w:p>
    <w:p>
      <w:pPr>
        <w:spacing w:after="0" w:line="18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QFC Stay Rules</w:t>
      </w:r>
      <w:r>
        <w:rPr>
          <w:rFonts w:ascii="Times New Roman" w:cs="Times New Roman" w:eastAsia="Times New Roman" w:hAnsi="Times New Roman"/>
          <w:sz w:val="18"/>
          <w:szCs w:val="18"/>
          <w:color w:val="auto"/>
        </w:rPr>
        <w:t>” means the regulations codified at 12 C.F.R. 252.2, 252.81–8, 12 C.F.R. 382.1-7 and 12 C.F.R. 47.1-8, which, subject to limited exceptions, require an express recognition of the stay-and-transfer powers of the FDIC under the Federal Deposit Insurance Act and the Orderly Liquidation Authority under Title II of the Dodd Frank Wall Street Reform and Consumer Protection Act and the override of default rights related directly or indirectly to the entry of an affiliate into certain insolvency proceedings and any restrictions on the transfer of any covered affiliate credit enhancements.]</w:t>
      </w:r>
      <w:r>
        <w:rPr>
          <w:rFonts w:ascii="Times New Roman" w:cs="Times New Roman" w:eastAsia="Times New Roman" w:hAnsi="Times New Roman"/>
          <w:sz w:val="29"/>
          <w:szCs w:val="29"/>
          <w:color w:val="auto"/>
          <w:vertAlign w:val="superscript"/>
        </w:rPr>
        <w:t>15</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5" w:name="page146"/>
    <w:bookmarkEnd w:id="145"/>
    <w:p>
      <w:pPr>
        <w:jc w:val="both"/>
        <w:ind w:left="-8" w:firstLine="656"/>
        <w:spacing w:after="0" w:line="252" w:lineRule="auto"/>
        <w:tabs>
          <w:tab w:leader="none" w:pos="1423"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CARES Act</w:t>
      </w:r>
      <w:r>
        <w:rPr>
          <w:rFonts w:ascii="Times New Roman" w:cs="Times New Roman" w:eastAsia="Times New Roman" w:hAnsi="Times New Roman"/>
          <w:sz w:val="18"/>
          <w:szCs w:val="18"/>
          <w:color w:val="auto"/>
        </w:rPr>
        <w:t>. Counterparty acknowledges that the Transaction may constitute a purchase of its equity securities or a capital distribution.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Counterparty further acknowledges that, pursuant to the provisions of the Coronavirus Aid, Relief and Economic Security Act (the “</w:t>
      </w:r>
      <w:r>
        <w:rPr>
          <w:rFonts w:ascii="Times New Roman" w:cs="Times New Roman" w:eastAsia="Times New Roman" w:hAnsi="Times New Roman"/>
          <w:sz w:val="18"/>
          <w:szCs w:val="18"/>
          <w:b w:val="1"/>
          <w:bCs w:val="1"/>
          <w:color w:val="auto"/>
        </w:rPr>
        <w:t>Cares Act</w:t>
      </w:r>
      <w:r>
        <w:rPr>
          <w:rFonts w:ascii="Times New Roman" w:cs="Times New Roman" w:eastAsia="Times New Roman" w:hAnsi="Times New Roman"/>
          <w:sz w:val="18"/>
          <w:szCs w:val="18"/>
          <w:color w:val="auto"/>
        </w:rPr>
        <w:t>”), Counterparty will be required to agree to certain time-bound restrictions on its ability to purchase its equity securities or make capital distributions if it receives loans, loan guarantees or direct loans (as that term is defined in the Cares Act) under section 4003(b) of the Cares Act. Counterparty further acknowledges that it may be required to agree to certain time-bound restrictions on its ability to purchase its equity securities or make capital distributions if it receives loans, loan guarantees or direct loans (as that term is defined in the Cares Act) under programs or facilities established by the Board of Governors of the Federal Reserve System, the U.S. Department of Treasury or similar governmental entity for the purpose of providing liquidity to the financial system. Accordingly, Counterparty represents and warrants that neither it, nor any of its subsidiaries have applied, and throughout the term of this Transaction shall not apply, for a loan, loan guarantee, direct loan (as that term is defined in the Cares Act) or other investment, or to receive any financial assistance or relief (howsoever defined) under any program or facility that (a) is established under applicable law (whether in existence as of the Trade Date or subsequently enacted, adopted or amended), including without limitation the Cares Act and the Federal Reserve Act, as amended, and (b) requires under applicable law (or any regulation, guidance, interpretation or other pronouncement thereunder), as a condition of such loan, loan guarantee, direct loan (as that term is defined in the Cares Act), investment, financial assistance or relief, that Counterparty comply with any requirement to, or otherwise agree, attest, certify or warrant that it has not, as of the date specified in such condition, repurchased, or will not repurchase, any equity security of Counterparty, and that it has not, as of the date specified in such condition, made a capital distribution or will not make a capital distribution. Counterparty further represents and warrants that the Premium is not being paid, in whole or in part, directly or indirectly, with funds received under or pursuant to any program or facility, including the U.S. Small Business Administration’s “Paycheck Protection Program”, that (a) is established under applicable law, including without limitation the Cares Act and the Federal Reserve Act, as amended, and (b) requires under such applicable law (or any regulation, guidance, interpretation or other pronouncement of a governmental authority with jurisdiction for such program or facility) that such funds be used for specified or enumerated purposes that do not include the purchase of this Transaction (either by specific reference to this Transaction or by general reference to transactions with the attributes of this Transaction in all relevant respects).</w:t>
      </w:r>
    </w:p>
    <w:p>
      <w:pPr>
        <w:spacing w:after="0" w:line="187" w:lineRule="exact"/>
        <w:rPr>
          <w:rFonts w:ascii="Times New Roman" w:cs="Times New Roman" w:eastAsia="Times New Roman" w:hAnsi="Times New Roman"/>
          <w:sz w:val="18"/>
          <w:szCs w:val="18"/>
          <w:color w:val="auto"/>
        </w:rPr>
      </w:pPr>
    </w:p>
    <w:p>
      <w:pPr>
        <w:ind w:left="1392" w:hanging="744"/>
        <w:spacing w:after="0"/>
        <w:tabs>
          <w:tab w:leader="none" w:pos="1392"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Dealer Boilerplate</w:t>
      </w:r>
      <w:r>
        <w:rPr>
          <w:rFonts w:ascii="Times New Roman" w:cs="Times New Roman" w:eastAsia="Times New Roman" w:hAnsi="Times New Roman"/>
          <w:sz w:val="18"/>
          <w:szCs w:val="18"/>
          <w:color w:val="auto"/>
        </w:rPr>
        <w:t>. Insert additional Dealer boilerplate, if applicable]</w:t>
      </w:r>
    </w:p>
    <w:p>
      <w:pPr>
        <w:spacing w:after="0" w:line="225" w:lineRule="exact"/>
        <w:rPr>
          <w:sz w:val="20"/>
          <w:szCs w:val="20"/>
          <w:color w:val="auto"/>
        </w:rPr>
      </w:pPr>
    </w:p>
    <w:p>
      <w:pPr>
        <w:ind w:left="501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215900</wp:posOffset>
            </wp:positionV>
            <wp:extent cx="142303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22" w:lineRule="exact"/>
        <w:rPr>
          <w:sz w:val="20"/>
          <w:szCs w:val="20"/>
          <w:color w:val="auto"/>
        </w:rPr>
      </w:pPr>
    </w:p>
    <w:p>
      <w:pPr>
        <w:ind w:left="192" w:hanging="192"/>
        <w:spacing w:after="0"/>
        <w:tabs>
          <w:tab w:leader="none" w:pos="192" w:val="left"/>
        </w:tabs>
        <w:numPr>
          <w:ilvl w:val="0"/>
          <w:numId w:val="191"/>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Insert preferred form of US QFC Stay Rule language for each Dealer.</w:t>
      </w:r>
    </w:p>
    <w:p>
      <w:pPr>
        <w:spacing w:after="0" w:line="38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19" w:right="339" w:bottom="1440" w:gutter="0" w:footer="0" w:header="0"/>
        </w:sectPr>
      </w:pPr>
    </w:p>
    <w:bookmarkStart w:id="146" w:name="page147"/>
    <w:bookmarkEnd w:id="146"/>
    <w:p>
      <w:pPr>
        <w:ind w:firstLine="648"/>
        <w:spacing w:after="0" w:line="270" w:lineRule="auto"/>
        <w:rPr>
          <w:sz w:val="20"/>
          <w:szCs w:val="20"/>
          <w:color w:val="auto"/>
        </w:rPr>
      </w:pPr>
      <w:r>
        <w:rPr>
          <w:rFonts w:ascii="Times New Roman" w:cs="Times New Roman" w:eastAsia="Times New Roman" w:hAnsi="Times New Roman"/>
          <w:sz w:val="18"/>
          <w:szCs w:val="18"/>
          <w:color w:val="auto"/>
        </w:rPr>
        <w:t>Please confirm that the foregoing correctly sets forth the terms of our agreement by sending to us a letter or telex substantially similar to this facsimile, which letter or telex sets forth the material terms of the Transaction to which this Confirmation relates and indicates your agreement to those terms.</w:t>
      </w:r>
      <w:r>
        <w:rPr>
          <w:rFonts w:ascii="Times New Roman" w:cs="Times New Roman" w:eastAsia="Times New Roman" w:hAnsi="Times New Roman"/>
          <w:sz w:val="29"/>
          <w:szCs w:val="29"/>
          <w:color w:val="auto"/>
          <w:vertAlign w:val="superscript"/>
        </w:rPr>
        <w:t>16</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[___________]</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142303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02" w:lineRule="exact"/>
        <w:rPr>
          <w:sz w:val="20"/>
          <w:szCs w:val="20"/>
          <w:color w:val="auto"/>
        </w:rPr>
      </w:pPr>
    </w:p>
    <w:p>
      <w:pPr>
        <w:ind w:left="200" w:hanging="192"/>
        <w:spacing w:after="0"/>
        <w:tabs>
          <w:tab w:leader="none" w:pos="200" w:val="left"/>
        </w:tabs>
        <w:numPr>
          <w:ilvl w:val="0"/>
          <w:numId w:val="19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Insert applicable Dealer signature page boilerplate language.</w:t>
      </w:r>
    </w:p>
    <w:p>
      <w:pPr>
        <w:spacing w:after="0" w:line="31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[Base][Additional] Capped Call Confirmation</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320" w:top="121" w:right="699" w:bottom="1440" w:gutter="0" w:footer="0" w:header="0"/>
        </w:sectPr>
      </w:pPr>
    </w:p>
    <w:bookmarkStart w:id="147" w:name="page148"/>
    <w:bookmarkEnd w:id="147"/>
    <w:p>
      <w:pPr>
        <w:ind w:left="340"/>
        <w:spacing w:after="0"/>
        <w:rPr>
          <w:sz w:val="20"/>
          <w:szCs w:val="20"/>
          <w:color w:val="auto"/>
        </w:rPr>
      </w:pPr>
      <w:r>
        <w:rPr>
          <w:rFonts w:ascii="Times New Roman" w:cs="Times New Roman" w:eastAsia="Times New Roman" w:hAnsi="Times New Roman"/>
          <w:sz w:val="18"/>
          <w:szCs w:val="18"/>
          <w:color w:val="auto"/>
        </w:rPr>
        <w:t>Agreed and Accepted By:</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IREN LIMITED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26035</wp:posOffset>
            </wp:positionV>
            <wp:extent cx="335153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w:t>
      </w:r>
    </w:p>
    <w:p>
      <w:pPr>
        <w:spacing w:after="0" w:line="376" w:lineRule="exact"/>
        <w:rPr>
          <w:sz w:val="20"/>
          <w:szCs w:val="20"/>
          <w:color w:val="auto"/>
        </w:rPr>
      </w:pPr>
    </w:p>
    <w:p>
      <w:pPr>
        <w:jc w:val="right"/>
        <w:ind w:right="257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[Base][Additional] Capped Call Confirmation</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8"/>
          <w:szCs w:val="18"/>
          <w:b w:val="1"/>
          <w:bCs w:val="1"/>
          <w:color w:val="auto"/>
        </w:rPr>
        <w:t>Schedule 1</w:t>
      </w:r>
      <w:r>
        <w:rPr>
          <w:rFonts w:ascii="Times New Roman" w:cs="Times New Roman" w:eastAsia="Times New Roman" w:hAnsi="Times New Roman"/>
          <w:sz w:val="29"/>
          <w:szCs w:val="29"/>
          <w:b w:val="1"/>
          <w:bCs w:val="1"/>
          <w:color w:val="auto"/>
          <w:vertAlign w:val="superscript"/>
        </w:rPr>
        <w:t>17</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142303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20" w:lineRule="exact"/>
        <w:rPr>
          <w:sz w:val="20"/>
          <w:szCs w:val="20"/>
          <w:color w:val="auto"/>
        </w:rPr>
      </w:pPr>
    </w:p>
    <w:p>
      <w:pPr>
        <w:ind w:left="200" w:hanging="192"/>
        <w:spacing w:after="0"/>
        <w:tabs>
          <w:tab w:leader="none" w:pos="200" w:val="left"/>
        </w:tabs>
        <w:numPr>
          <w:ilvl w:val="0"/>
          <w:numId w:val="19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NTD: Include if applicable.</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Schedule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each Component of the Transaction, the Number of Options and Expiration Date is set forth below.</w:t>
      </w:r>
    </w:p>
    <w:p>
      <w:pPr>
        <w:spacing w:after="0" w:line="212"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Component Number</w:t>
            </w:r>
          </w:p>
        </w:tc>
        <w:tc>
          <w:tcPr>
            <w:tcW w:w="37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Number of Options</w:t>
            </w:r>
          </w:p>
        </w:tc>
        <w:tc>
          <w:tcPr>
            <w:tcW w:w="1320" w:type="dxa"/>
            <w:vAlign w:val="bottom"/>
          </w:tcPr>
          <w:p>
            <w:pPr>
              <w:spacing w:after="0"/>
              <w:rPr>
                <w:sz w:val="17"/>
                <w:szCs w:val="17"/>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Expiration Date</w:t>
            </w:r>
          </w:p>
        </w:tc>
      </w:tr>
      <w:tr>
        <w:trPr>
          <w:trHeight w:val="20"/>
        </w:trPr>
        <w:tc>
          <w:tcPr>
            <w:tcW w:w="148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[____]</w:t>
            </w:r>
          </w:p>
        </w:tc>
        <w:tc>
          <w:tcPr>
            <w:tcW w:w="1160" w:type="dxa"/>
            <w:vAlign w:val="bottom"/>
          </w:tcPr>
          <w:p>
            <w:pPr>
              <w:spacing w:after="0"/>
              <w:rPr>
                <w:sz w:val="18"/>
                <w:szCs w:val="18"/>
                <w:color w:val="auto"/>
              </w:rPr>
            </w:pPr>
          </w:p>
        </w:tc>
        <w:tc>
          <w:tcPr>
            <w:tcW w:w="2600" w:type="dxa"/>
            <w:vAlign w:val="bottom"/>
            <w:gridSpan w:val="3"/>
          </w:tcPr>
          <w:p>
            <w:pPr>
              <w:jc w:val="center"/>
              <w:ind w:left="1090"/>
              <w:spacing w:after="0"/>
              <w:rPr>
                <w:sz w:val="20"/>
                <w:szCs w:val="20"/>
                <w:color w:val="auto"/>
              </w:rPr>
            </w:pPr>
            <w:r>
              <w:rPr>
                <w:rFonts w:ascii="Times New Roman" w:cs="Times New Roman" w:eastAsia="Times New Roman" w:hAnsi="Times New Roman"/>
                <w:sz w:val="18"/>
                <w:szCs w:val="18"/>
                <w:color w:val="auto"/>
              </w:rPr>
              <w:t>October 18, 2033</w:t>
            </w:r>
          </w:p>
        </w:tc>
      </w:tr>
      <w:tr>
        <w:trPr>
          <w:trHeight w:val="216"/>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180" w:type="dxa"/>
            <w:vAlign w:val="bottom"/>
          </w:tcPr>
          <w:p>
            <w:pPr>
              <w:spacing w:after="0"/>
              <w:rPr>
                <w:sz w:val="18"/>
                <w:szCs w:val="18"/>
                <w:color w:val="auto"/>
              </w:rPr>
            </w:pPr>
          </w:p>
        </w:tc>
        <w:tc>
          <w:tcPr>
            <w:tcW w:w="2560" w:type="dxa"/>
            <w:vAlign w:val="bottom"/>
            <w:gridSpan w:val="2"/>
          </w:tcPr>
          <w:p>
            <w:pPr>
              <w:jc w:val="center"/>
              <w:ind w:left="1070"/>
              <w:spacing w:after="0"/>
              <w:rPr>
                <w:sz w:val="20"/>
                <w:szCs w:val="20"/>
                <w:color w:val="auto"/>
              </w:rPr>
            </w:pPr>
            <w:r>
              <w:rPr>
                <w:rFonts w:ascii="Times New Roman" w:cs="Times New Roman" w:eastAsia="Times New Roman" w:hAnsi="Times New Roman"/>
                <w:sz w:val="18"/>
                <w:szCs w:val="18"/>
                <w:color w:val="auto"/>
                <w:w w:val="99"/>
              </w:rPr>
              <w:t>[____]</w:t>
            </w:r>
          </w:p>
        </w:tc>
        <w:tc>
          <w:tcPr>
            <w:tcW w:w="1160" w:type="dxa"/>
            <w:vAlign w:val="bottom"/>
          </w:tcPr>
          <w:p>
            <w:pPr>
              <w:spacing w:after="0"/>
              <w:rPr>
                <w:sz w:val="18"/>
                <w:szCs w:val="18"/>
                <w:color w:val="auto"/>
              </w:rPr>
            </w:pPr>
          </w:p>
        </w:tc>
        <w:tc>
          <w:tcPr>
            <w:tcW w:w="2600" w:type="dxa"/>
            <w:vAlign w:val="bottom"/>
            <w:gridSpan w:val="3"/>
          </w:tcPr>
          <w:p>
            <w:pPr>
              <w:jc w:val="center"/>
              <w:ind w:left="1090"/>
              <w:spacing w:after="0"/>
              <w:rPr>
                <w:sz w:val="20"/>
                <w:szCs w:val="20"/>
                <w:color w:val="auto"/>
              </w:rPr>
            </w:pPr>
            <w:r>
              <w:rPr>
                <w:rFonts w:ascii="Times New Roman" w:cs="Times New Roman" w:eastAsia="Times New Roman" w:hAnsi="Times New Roman"/>
                <w:sz w:val="18"/>
                <w:szCs w:val="18"/>
                <w:color w:val="auto"/>
              </w:rPr>
              <w:t>October 19, 2033</w:t>
            </w:r>
          </w:p>
        </w:tc>
      </w:tr>
      <w:tr>
        <w:trPr>
          <w:trHeight w:val="216"/>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180" w:type="dxa"/>
            <w:vAlign w:val="bottom"/>
          </w:tcPr>
          <w:p>
            <w:pPr>
              <w:spacing w:after="0"/>
              <w:rPr>
                <w:sz w:val="18"/>
                <w:szCs w:val="18"/>
                <w:color w:val="auto"/>
              </w:rPr>
            </w:pPr>
          </w:p>
        </w:tc>
        <w:tc>
          <w:tcPr>
            <w:tcW w:w="2560" w:type="dxa"/>
            <w:vAlign w:val="bottom"/>
            <w:gridSpan w:val="2"/>
          </w:tcPr>
          <w:p>
            <w:pPr>
              <w:jc w:val="center"/>
              <w:ind w:left="1070"/>
              <w:spacing w:after="0"/>
              <w:rPr>
                <w:sz w:val="20"/>
                <w:szCs w:val="20"/>
                <w:color w:val="auto"/>
              </w:rPr>
            </w:pPr>
            <w:r>
              <w:rPr>
                <w:rFonts w:ascii="Times New Roman" w:cs="Times New Roman" w:eastAsia="Times New Roman" w:hAnsi="Times New Roman"/>
                <w:sz w:val="18"/>
                <w:szCs w:val="18"/>
                <w:color w:val="auto"/>
                <w:w w:val="99"/>
              </w:rPr>
              <w:t>[____]</w:t>
            </w:r>
          </w:p>
        </w:tc>
        <w:tc>
          <w:tcPr>
            <w:tcW w:w="1160" w:type="dxa"/>
            <w:vAlign w:val="bottom"/>
          </w:tcPr>
          <w:p>
            <w:pPr>
              <w:spacing w:after="0"/>
              <w:rPr>
                <w:sz w:val="18"/>
                <w:szCs w:val="18"/>
                <w:color w:val="auto"/>
              </w:rPr>
            </w:pPr>
          </w:p>
        </w:tc>
        <w:tc>
          <w:tcPr>
            <w:tcW w:w="2600" w:type="dxa"/>
            <w:vAlign w:val="bottom"/>
            <w:gridSpan w:val="3"/>
          </w:tcPr>
          <w:p>
            <w:pPr>
              <w:jc w:val="center"/>
              <w:ind w:left="1090"/>
              <w:spacing w:after="0"/>
              <w:rPr>
                <w:sz w:val="20"/>
                <w:szCs w:val="20"/>
                <w:color w:val="auto"/>
              </w:rPr>
            </w:pPr>
            <w:r>
              <w:rPr>
                <w:rFonts w:ascii="Times New Roman" w:cs="Times New Roman" w:eastAsia="Times New Roman" w:hAnsi="Times New Roman"/>
                <w:sz w:val="18"/>
                <w:szCs w:val="18"/>
                <w:color w:val="auto"/>
              </w:rPr>
              <w:t>October 20, 2033</w:t>
            </w:r>
          </w:p>
        </w:tc>
      </w:tr>
      <w:tr>
        <w:trPr>
          <w:trHeight w:val="216"/>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180" w:type="dxa"/>
            <w:vAlign w:val="bottom"/>
          </w:tcPr>
          <w:p>
            <w:pPr>
              <w:spacing w:after="0"/>
              <w:rPr>
                <w:sz w:val="18"/>
                <w:szCs w:val="18"/>
                <w:color w:val="auto"/>
              </w:rPr>
            </w:pPr>
          </w:p>
        </w:tc>
        <w:tc>
          <w:tcPr>
            <w:tcW w:w="2560" w:type="dxa"/>
            <w:vAlign w:val="bottom"/>
            <w:gridSpan w:val="2"/>
          </w:tcPr>
          <w:p>
            <w:pPr>
              <w:jc w:val="center"/>
              <w:ind w:left="1070"/>
              <w:spacing w:after="0"/>
              <w:rPr>
                <w:sz w:val="20"/>
                <w:szCs w:val="20"/>
                <w:color w:val="auto"/>
              </w:rPr>
            </w:pPr>
            <w:r>
              <w:rPr>
                <w:rFonts w:ascii="Times New Roman" w:cs="Times New Roman" w:eastAsia="Times New Roman" w:hAnsi="Times New Roman"/>
                <w:sz w:val="18"/>
                <w:szCs w:val="18"/>
                <w:color w:val="auto"/>
                <w:w w:val="99"/>
              </w:rPr>
              <w:t>[____]</w:t>
            </w:r>
          </w:p>
        </w:tc>
        <w:tc>
          <w:tcPr>
            <w:tcW w:w="1160" w:type="dxa"/>
            <w:vAlign w:val="bottom"/>
          </w:tcPr>
          <w:p>
            <w:pPr>
              <w:spacing w:after="0"/>
              <w:rPr>
                <w:sz w:val="18"/>
                <w:szCs w:val="18"/>
                <w:color w:val="auto"/>
              </w:rPr>
            </w:pPr>
          </w:p>
        </w:tc>
        <w:tc>
          <w:tcPr>
            <w:tcW w:w="2600" w:type="dxa"/>
            <w:vAlign w:val="bottom"/>
            <w:gridSpan w:val="3"/>
          </w:tcPr>
          <w:p>
            <w:pPr>
              <w:jc w:val="center"/>
              <w:ind w:left="1090"/>
              <w:spacing w:after="0"/>
              <w:rPr>
                <w:sz w:val="20"/>
                <w:szCs w:val="20"/>
                <w:color w:val="auto"/>
              </w:rPr>
            </w:pPr>
            <w:r>
              <w:rPr>
                <w:rFonts w:ascii="Times New Roman" w:cs="Times New Roman" w:eastAsia="Times New Roman" w:hAnsi="Times New Roman"/>
                <w:sz w:val="18"/>
                <w:szCs w:val="18"/>
                <w:color w:val="auto"/>
              </w:rPr>
              <w:t>October 21, 2033</w:t>
            </w:r>
          </w:p>
        </w:tc>
      </w:tr>
      <w:tr>
        <w:trPr>
          <w:trHeight w:val="216"/>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180" w:type="dxa"/>
            <w:vAlign w:val="bottom"/>
          </w:tcPr>
          <w:p>
            <w:pPr>
              <w:spacing w:after="0"/>
              <w:rPr>
                <w:sz w:val="18"/>
                <w:szCs w:val="18"/>
                <w:color w:val="auto"/>
              </w:rPr>
            </w:pPr>
          </w:p>
        </w:tc>
        <w:tc>
          <w:tcPr>
            <w:tcW w:w="2560" w:type="dxa"/>
            <w:vAlign w:val="bottom"/>
            <w:gridSpan w:val="2"/>
          </w:tcPr>
          <w:p>
            <w:pPr>
              <w:jc w:val="center"/>
              <w:ind w:left="1070"/>
              <w:spacing w:after="0"/>
              <w:rPr>
                <w:sz w:val="20"/>
                <w:szCs w:val="20"/>
                <w:color w:val="auto"/>
              </w:rPr>
            </w:pPr>
            <w:r>
              <w:rPr>
                <w:rFonts w:ascii="Times New Roman" w:cs="Times New Roman" w:eastAsia="Times New Roman" w:hAnsi="Times New Roman"/>
                <w:sz w:val="18"/>
                <w:szCs w:val="18"/>
                <w:color w:val="auto"/>
                <w:w w:val="99"/>
              </w:rPr>
              <w:t>[____]</w:t>
            </w:r>
          </w:p>
        </w:tc>
        <w:tc>
          <w:tcPr>
            <w:tcW w:w="1160" w:type="dxa"/>
            <w:vAlign w:val="bottom"/>
          </w:tcPr>
          <w:p>
            <w:pPr>
              <w:spacing w:after="0"/>
              <w:rPr>
                <w:sz w:val="18"/>
                <w:szCs w:val="18"/>
                <w:color w:val="auto"/>
              </w:rPr>
            </w:pPr>
          </w:p>
        </w:tc>
        <w:tc>
          <w:tcPr>
            <w:tcW w:w="2600" w:type="dxa"/>
            <w:vAlign w:val="bottom"/>
            <w:gridSpan w:val="3"/>
          </w:tcPr>
          <w:p>
            <w:pPr>
              <w:jc w:val="center"/>
              <w:ind w:left="1090"/>
              <w:spacing w:after="0"/>
              <w:rPr>
                <w:sz w:val="20"/>
                <w:szCs w:val="20"/>
                <w:color w:val="auto"/>
              </w:rPr>
            </w:pPr>
            <w:r>
              <w:rPr>
                <w:rFonts w:ascii="Times New Roman" w:cs="Times New Roman" w:eastAsia="Times New Roman" w:hAnsi="Times New Roman"/>
                <w:sz w:val="18"/>
                <w:szCs w:val="18"/>
                <w:color w:val="auto"/>
              </w:rPr>
              <w:t>October 24, 2033</w:t>
            </w:r>
          </w:p>
        </w:tc>
      </w:tr>
      <w:tr>
        <w:trPr>
          <w:trHeight w:val="216"/>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180" w:type="dxa"/>
            <w:vAlign w:val="bottom"/>
          </w:tcPr>
          <w:p>
            <w:pPr>
              <w:spacing w:after="0"/>
              <w:rPr>
                <w:sz w:val="18"/>
                <w:szCs w:val="18"/>
                <w:color w:val="auto"/>
              </w:rPr>
            </w:pPr>
          </w:p>
        </w:tc>
        <w:tc>
          <w:tcPr>
            <w:tcW w:w="2560" w:type="dxa"/>
            <w:vAlign w:val="bottom"/>
            <w:gridSpan w:val="2"/>
          </w:tcPr>
          <w:p>
            <w:pPr>
              <w:jc w:val="center"/>
              <w:ind w:left="1070"/>
              <w:spacing w:after="0"/>
              <w:rPr>
                <w:sz w:val="20"/>
                <w:szCs w:val="20"/>
                <w:color w:val="auto"/>
              </w:rPr>
            </w:pPr>
            <w:r>
              <w:rPr>
                <w:rFonts w:ascii="Times New Roman" w:cs="Times New Roman" w:eastAsia="Times New Roman" w:hAnsi="Times New Roman"/>
                <w:sz w:val="18"/>
                <w:szCs w:val="18"/>
                <w:color w:val="auto"/>
                <w:w w:val="99"/>
              </w:rPr>
              <w:t>[____]</w:t>
            </w:r>
          </w:p>
        </w:tc>
        <w:tc>
          <w:tcPr>
            <w:tcW w:w="1160" w:type="dxa"/>
            <w:vAlign w:val="bottom"/>
          </w:tcPr>
          <w:p>
            <w:pPr>
              <w:spacing w:after="0"/>
              <w:rPr>
                <w:sz w:val="18"/>
                <w:szCs w:val="18"/>
                <w:color w:val="auto"/>
              </w:rPr>
            </w:pPr>
          </w:p>
        </w:tc>
        <w:tc>
          <w:tcPr>
            <w:tcW w:w="2600" w:type="dxa"/>
            <w:vAlign w:val="bottom"/>
            <w:gridSpan w:val="3"/>
          </w:tcPr>
          <w:p>
            <w:pPr>
              <w:jc w:val="center"/>
              <w:ind w:left="1090"/>
              <w:spacing w:after="0"/>
              <w:rPr>
                <w:sz w:val="20"/>
                <w:szCs w:val="20"/>
                <w:color w:val="auto"/>
              </w:rPr>
            </w:pPr>
            <w:r>
              <w:rPr>
                <w:rFonts w:ascii="Times New Roman" w:cs="Times New Roman" w:eastAsia="Times New Roman" w:hAnsi="Times New Roman"/>
                <w:sz w:val="18"/>
                <w:szCs w:val="18"/>
                <w:color w:val="auto"/>
              </w:rPr>
              <w:t>October 25, 2033</w:t>
            </w:r>
          </w:p>
        </w:tc>
      </w:tr>
      <w:tr>
        <w:trPr>
          <w:trHeight w:val="216"/>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1180" w:type="dxa"/>
            <w:vAlign w:val="bottom"/>
          </w:tcPr>
          <w:p>
            <w:pPr>
              <w:spacing w:after="0"/>
              <w:rPr>
                <w:sz w:val="18"/>
                <w:szCs w:val="18"/>
                <w:color w:val="auto"/>
              </w:rPr>
            </w:pPr>
          </w:p>
        </w:tc>
        <w:tc>
          <w:tcPr>
            <w:tcW w:w="2560" w:type="dxa"/>
            <w:vAlign w:val="bottom"/>
            <w:gridSpan w:val="2"/>
          </w:tcPr>
          <w:p>
            <w:pPr>
              <w:jc w:val="center"/>
              <w:ind w:left="1070"/>
              <w:spacing w:after="0"/>
              <w:rPr>
                <w:sz w:val="20"/>
                <w:szCs w:val="20"/>
                <w:color w:val="auto"/>
              </w:rPr>
            </w:pPr>
            <w:r>
              <w:rPr>
                <w:rFonts w:ascii="Times New Roman" w:cs="Times New Roman" w:eastAsia="Times New Roman" w:hAnsi="Times New Roman"/>
                <w:sz w:val="18"/>
                <w:szCs w:val="18"/>
                <w:color w:val="auto"/>
                <w:w w:val="99"/>
              </w:rPr>
              <w:t>[____]</w:t>
            </w:r>
          </w:p>
        </w:tc>
        <w:tc>
          <w:tcPr>
            <w:tcW w:w="1160" w:type="dxa"/>
            <w:vAlign w:val="bottom"/>
          </w:tcPr>
          <w:p>
            <w:pPr>
              <w:spacing w:after="0"/>
              <w:rPr>
                <w:sz w:val="18"/>
                <w:szCs w:val="18"/>
                <w:color w:val="auto"/>
              </w:rPr>
            </w:pPr>
          </w:p>
        </w:tc>
        <w:tc>
          <w:tcPr>
            <w:tcW w:w="2600" w:type="dxa"/>
            <w:vAlign w:val="bottom"/>
            <w:gridSpan w:val="3"/>
          </w:tcPr>
          <w:p>
            <w:pPr>
              <w:jc w:val="center"/>
              <w:ind w:left="1090"/>
              <w:spacing w:after="0"/>
              <w:rPr>
                <w:sz w:val="20"/>
                <w:szCs w:val="20"/>
                <w:color w:val="auto"/>
              </w:rPr>
            </w:pPr>
            <w:r>
              <w:rPr>
                <w:rFonts w:ascii="Times New Roman" w:cs="Times New Roman" w:eastAsia="Times New Roman" w:hAnsi="Times New Roman"/>
                <w:sz w:val="18"/>
                <w:szCs w:val="18"/>
                <w:color w:val="auto"/>
              </w:rPr>
              <w:t>October 26, 2033</w:t>
            </w:r>
          </w:p>
        </w:tc>
      </w:tr>
      <w:tr>
        <w:trPr>
          <w:trHeight w:val="216"/>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1180" w:type="dxa"/>
            <w:vAlign w:val="bottom"/>
          </w:tcPr>
          <w:p>
            <w:pPr>
              <w:spacing w:after="0"/>
              <w:rPr>
                <w:sz w:val="18"/>
                <w:szCs w:val="18"/>
                <w:color w:val="auto"/>
              </w:rPr>
            </w:pPr>
          </w:p>
        </w:tc>
        <w:tc>
          <w:tcPr>
            <w:tcW w:w="2560" w:type="dxa"/>
            <w:vAlign w:val="bottom"/>
            <w:gridSpan w:val="2"/>
          </w:tcPr>
          <w:p>
            <w:pPr>
              <w:jc w:val="center"/>
              <w:ind w:left="1070"/>
              <w:spacing w:after="0"/>
              <w:rPr>
                <w:sz w:val="20"/>
                <w:szCs w:val="20"/>
                <w:color w:val="auto"/>
              </w:rPr>
            </w:pPr>
            <w:r>
              <w:rPr>
                <w:rFonts w:ascii="Times New Roman" w:cs="Times New Roman" w:eastAsia="Times New Roman" w:hAnsi="Times New Roman"/>
                <w:sz w:val="18"/>
                <w:szCs w:val="18"/>
                <w:color w:val="auto"/>
                <w:w w:val="99"/>
              </w:rPr>
              <w:t>[____]</w:t>
            </w:r>
          </w:p>
        </w:tc>
        <w:tc>
          <w:tcPr>
            <w:tcW w:w="1160" w:type="dxa"/>
            <w:vAlign w:val="bottom"/>
          </w:tcPr>
          <w:p>
            <w:pPr>
              <w:spacing w:after="0"/>
              <w:rPr>
                <w:sz w:val="18"/>
                <w:szCs w:val="18"/>
                <w:color w:val="auto"/>
              </w:rPr>
            </w:pPr>
          </w:p>
        </w:tc>
        <w:tc>
          <w:tcPr>
            <w:tcW w:w="2600" w:type="dxa"/>
            <w:vAlign w:val="bottom"/>
            <w:gridSpan w:val="3"/>
          </w:tcPr>
          <w:p>
            <w:pPr>
              <w:jc w:val="center"/>
              <w:ind w:left="1090"/>
              <w:spacing w:after="0"/>
              <w:rPr>
                <w:sz w:val="20"/>
                <w:szCs w:val="20"/>
                <w:color w:val="auto"/>
              </w:rPr>
            </w:pPr>
            <w:r>
              <w:rPr>
                <w:rFonts w:ascii="Times New Roman" w:cs="Times New Roman" w:eastAsia="Times New Roman" w:hAnsi="Times New Roman"/>
                <w:sz w:val="18"/>
                <w:szCs w:val="18"/>
                <w:color w:val="auto"/>
              </w:rPr>
              <w:t>October 27, 2033</w:t>
            </w:r>
          </w:p>
        </w:tc>
      </w:tr>
      <w:tr>
        <w:trPr>
          <w:trHeight w:val="216"/>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1180" w:type="dxa"/>
            <w:vAlign w:val="bottom"/>
          </w:tcPr>
          <w:p>
            <w:pPr>
              <w:spacing w:after="0"/>
              <w:rPr>
                <w:sz w:val="18"/>
                <w:szCs w:val="18"/>
                <w:color w:val="auto"/>
              </w:rPr>
            </w:pPr>
          </w:p>
        </w:tc>
        <w:tc>
          <w:tcPr>
            <w:tcW w:w="2560" w:type="dxa"/>
            <w:vAlign w:val="bottom"/>
            <w:gridSpan w:val="2"/>
          </w:tcPr>
          <w:p>
            <w:pPr>
              <w:jc w:val="center"/>
              <w:ind w:left="1070"/>
              <w:spacing w:after="0"/>
              <w:rPr>
                <w:sz w:val="20"/>
                <w:szCs w:val="20"/>
                <w:color w:val="auto"/>
              </w:rPr>
            </w:pPr>
            <w:r>
              <w:rPr>
                <w:rFonts w:ascii="Times New Roman" w:cs="Times New Roman" w:eastAsia="Times New Roman" w:hAnsi="Times New Roman"/>
                <w:sz w:val="18"/>
                <w:szCs w:val="18"/>
                <w:color w:val="auto"/>
                <w:w w:val="99"/>
              </w:rPr>
              <w:t>[____]</w:t>
            </w:r>
          </w:p>
        </w:tc>
        <w:tc>
          <w:tcPr>
            <w:tcW w:w="1160" w:type="dxa"/>
            <w:vAlign w:val="bottom"/>
          </w:tcPr>
          <w:p>
            <w:pPr>
              <w:spacing w:after="0"/>
              <w:rPr>
                <w:sz w:val="18"/>
                <w:szCs w:val="18"/>
                <w:color w:val="auto"/>
              </w:rPr>
            </w:pPr>
          </w:p>
        </w:tc>
        <w:tc>
          <w:tcPr>
            <w:tcW w:w="2600" w:type="dxa"/>
            <w:vAlign w:val="bottom"/>
            <w:gridSpan w:val="3"/>
          </w:tcPr>
          <w:p>
            <w:pPr>
              <w:jc w:val="center"/>
              <w:ind w:left="1090"/>
              <w:spacing w:after="0"/>
              <w:rPr>
                <w:sz w:val="20"/>
                <w:szCs w:val="20"/>
                <w:color w:val="auto"/>
              </w:rPr>
            </w:pPr>
            <w:r>
              <w:rPr>
                <w:rFonts w:ascii="Times New Roman" w:cs="Times New Roman" w:eastAsia="Times New Roman" w:hAnsi="Times New Roman"/>
                <w:sz w:val="18"/>
                <w:szCs w:val="18"/>
                <w:color w:val="auto"/>
              </w:rPr>
              <w:t>October 28, 2033</w:t>
            </w:r>
          </w:p>
        </w:tc>
      </w:tr>
      <w:tr>
        <w:trPr>
          <w:trHeight w:val="216"/>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180" w:type="dxa"/>
            <w:vAlign w:val="bottom"/>
          </w:tcPr>
          <w:p>
            <w:pPr>
              <w:spacing w:after="0"/>
              <w:rPr>
                <w:sz w:val="18"/>
                <w:szCs w:val="18"/>
                <w:color w:val="auto"/>
              </w:rPr>
            </w:pPr>
          </w:p>
        </w:tc>
        <w:tc>
          <w:tcPr>
            <w:tcW w:w="2560" w:type="dxa"/>
            <w:vAlign w:val="bottom"/>
            <w:gridSpan w:val="2"/>
          </w:tcPr>
          <w:p>
            <w:pPr>
              <w:jc w:val="center"/>
              <w:ind w:left="1070"/>
              <w:spacing w:after="0"/>
              <w:rPr>
                <w:sz w:val="20"/>
                <w:szCs w:val="20"/>
                <w:color w:val="auto"/>
              </w:rPr>
            </w:pPr>
            <w:r>
              <w:rPr>
                <w:rFonts w:ascii="Times New Roman" w:cs="Times New Roman" w:eastAsia="Times New Roman" w:hAnsi="Times New Roman"/>
                <w:sz w:val="18"/>
                <w:szCs w:val="18"/>
                <w:color w:val="auto"/>
                <w:w w:val="99"/>
              </w:rPr>
              <w:t>[____]</w:t>
            </w:r>
          </w:p>
        </w:tc>
        <w:tc>
          <w:tcPr>
            <w:tcW w:w="1160" w:type="dxa"/>
            <w:vAlign w:val="bottom"/>
          </w:tcPr>
          <w:p>
            <w:pPr>
              <w:spacing w:after="0"/>
              <w:rPr>
                <w:sz w:val="18"/>
                <w:szCs w:val="18"/>
                <w:color w:val="auto"/>
              </w:rPr>
            </w:pPr>
          </w:p>
        </w:tc>
        <w:tc>
          <w:tcPr>
            <w:tcW w:w="2600" w:type="dxa"/>
            <w:vAlign w:val="bottom"/>
            <w:gridSpan w:val="3"/>
          </w:tcPr>
          <w:p>
            <w:pPr>
              <w:jc w:val="center"/>
              <w:ind w:left="1090"/>
              <w:spacing w:after="0"/>
              <w:rPr>
                <w:sz w:val="20"/>
                <w:szCs w:val="20"/>
                <w:color w:val="auto"/>
              </w:rPr>
            </w:pPr>
            <w:r>
              <w:rPr>
                <w:rFonts w:ascii="Times New Roman" w:cs="Times New Roman" w:eastAsia="Times New Roman" w:hAnsi="Times New Roman"/>
                <w:sz w:val="18"/>
                <w:szCs w:val="18"/>
                <w:color w:val="auto"/>
              </w:rPr>
              <w:t>October 31, 2033</w:t>
            </w:r>
          </w:p>
        </w:tc>
      </w:tr>
      <w:tr>
        <w:trPr>
          <w:trHeight w:val="216"/>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180" w:type="dxa"/>
            <w:vAlign w:val="bottom"/>
          </w:tcPr>
          <w:p>
            <w:pPr>
              <w:spacing w:after="0"/>
              <w:rPr>
                <w:sz w:val="18"/>
                <w:szCs w:val="18"/>
                <w:color w:val="auto"/>
              </w:rPr>
            </w:pPr>
          </w:p>
        </w:tc>
        <w:tc>
          <w:tcPr>
            <w:tcW w:w="2560" w:type="dxa"/>
            <w:vAlign w:val="bottom"/>
            <w:gridSpan w:val="2"/>
          </w:tcPr>
          <w:p>
            <w:pPr>
              <w:jc w:val="center"/>
              <w:ind w:left="1070"/>
              <w:spacing w:after="0"/>
              <w:rPr>
                <w:sz w:val="20"/>
                <w:szCs w:val="20"/>
                <w:color w:val="auto"/>
              </w:rPr>
            </w:pPr>
            <w:r>
              <w:rPr>
                <w:rFonts w:ascii="Times New Roman" w:cs="Times New Roman" w:eastAsia="Times New Roman" w:hAnsi="Times New Roman"/>
                <w:sz w:val="18"/>
                <w:szCs w:val="18"/>
                <w:color w:val="auto"/>
                <w:w w:val="99"/>
              </w:rPr>
              <w:t>[____]</w:t>
            </w:r>
          </w:p>
        </w:tc>
        <w:tc>
          <w:tcPr>
            <w:tcW w:w="1160" w:type="dxa"/>
            <w:vAlign w:val="bottom"/>
          </w:tcPr>
          <w:p>
            <w:pPr>
              <w:spacing w:after="0"/>
              <w:rPr>
                <w:sz w:val="18"/>
                <w:szCs w:val="18"/>
                <w:color w:val="auto"/>
              </w:rPr>
            </w:pPr>
          </w:p>
        </w:tc>
        <w:tc>
          <w:tcPr>
            <w:tcW w:w="2600" w:type="dxa"/>
            <w:vAlign w:val="bottom"/>
            <w:gridSpan w:val="3"/>
          </w:tcPr>
          <w:p>
            <w:pPr>
              <w:jc w:val="center"/>
              <w:ind w:left="1090"/>
              <w:spacing w:after="0"/>
              <w:rPr>
                <w:sz w:val="20"/>
                <w:szCs w:val="20"/>
                <w:color w:val="auto"/>
              </w:rPr>
            </w:pPr>
            <w:r>
              <w:rPr>
                <w:rFonts w:ascii="Times New Roman" w:cs="Times New Roman" w:eastAsia="Times New Roman" w:hAnsi="Times New Roman"/>
                <w:sz w:val="18"/>
                <w:szCs w:val="18"/>
                <w:color w:val="auto"/>
                <w:w w:val="99"/>
              </w:rPr>
              <w:t>November 1, 2033</w:t>
            </w:r>
          </w:p>
        </w:tc>
      </w:tr>
      <w:tr>
        <w:trPr>
          <w:trHeight w:val="216"/>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180" w:type="dxa"/>
            <w:vAlign w:val="bottom"/>
          </w:tcPr>
          <w:p>
            <w:pPr>
              <w:spacing w:after="0"/>
              <w:rPr>
                <w:sz w:val="18"/>
                <w:szCs w:val="18"/>
                <w:color w:val="auto"/>
              </w:rPr>
            </w:pPr>
          </w:p>
        </w:tc>
        <w:tc>
          <w:tcPr>
            <w:tcW w:w="2560" w:type="dxa"/>
            <w:vAlign w:val="bottom"/>
            <w:gridSpan w:val="2"/>
          </w:tcPr>
          <w:p>
            <w:pPr>
              <w:jc w:val="center"/>
              <w:ind w:left="1070"/>
              <w:spacing w:after="0"/>
              <w:rPr>
                <w:sz w:val="20"/>
                <w:szCs w:val="20"/>
                <w:color w:val="auto"/>
              </w:rPr>
            </w:pPr>
            <w:r>
              <w:rPr>
                <w:rFonts w:ascii="Times New Roman" w:cs="Times New Roman" w:eastAsia="Times New Roman" w:hAnsi="Times New Roman"/>
                <w:sz w:val="18"/>
                <w:szCs w:val="18"/>
                <w:color w:val="auto"/>
                <w:w w:val="99"/>
              </w:rPr>
              <w:t>[____]</w:t>
            </w:r>
          </w:p>
        </w:tc>
        <w:tc>
          <w:tcPr>
            <w:tcW w:w="1160" w:type="dxa"/>
            <w:vAlign w:val="bottom"/>
          </w:tcPr>
          <w:p>
            <w:pPr>
              <w:spacing w:after="0"/>
              <w:rPr>
                <w:sz w:val="18"/>
                <w:szCs w:val="18"/>
                <w:color w:val="auto"/>
              </w:rPr>
            </w:pPr>
          </w:p>
        </w:tc>
        <w:tc>
          <w:tcPr>
            <w:tcW w:w="2600" w:type="dxa"/>
            <w:vAlign w:val="bottom"/>
            <w:gridSpan w:val="3"/>
          </w:tcPr>
          <w:p>
            <w:pPr>
              <w:jc w:val="center"/>
              <w:ind w:left="1090"/>
              <w:spacing w:after="0"/>
              <w:rPr>
                <w:sz w:val="20"/>
                <w:szCs w:val="20"/>
                <w:color w:val="auto"/>
              </w:rPr>
            </w:pPr>
            <w:r>
              <w:rPr>
                <w:rFonts w:ascii="Times New Roman" w:cs="Times New Roman" w:eastAsia="Times New Roman" w:hAnsi="Times New Roman"/>
                <w:sz w:val="18"/>
                <w:szCs w:val="18"/>
                <w:color w:val="auto"/>
                <w:w w:val="99"/>
              </w:rPr>
              <w:t>November 2, 2033</w:t>
            </w:r>
          </w:p>
        </w:tc>
      </w:tr>
      <w:tr>
        <w:trPr>
          <w:trHeight w:val="216"/>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180" w:type="dxa"/>
            <w:vAlign w:val="bottom"/>
          </w:tcPr>
          <w:p>
            <w:pPr>
              <w:spacing w:after="0"/>
              <w:rPr>
                <w:sz w:val="18"/>
                <w:szCs w:val="18"/>
                <w:color w:val="auto"/>
              </w:rPr>
            </w:pPr>
          </w:p>
        </w:tc>
        <w:tc>
          <w:tcPr>
            <w:tcW w:w="2560" w:type="dxa"/>
            <w:vAlign w:val="bottom"/>
            <w:gridSpan w:val="2"/>
          </w:tcPr>
          <w:p>
            <w:pPr>
              <w:jc w:val="center"/>
              <w:ind w:left="1070"/>
              <w:spacing w:after="0"/>
              <w:rPr>
                <w:sz w:val="20"/>
                <w:szCs w:val="20"/>
                <w:color w:val="auto"/>
              </w:rPr>
            </w:pPr>
            <w:r>
              <w:rPr>
                <w:rFonts w:ascii="Times New Roman" w:cs="Times New Roman" w:eastAsia="Times New Roman" w:hAnsi="Times New Roman"/>
                <w:sz w:val="18"/>
                <w:szCs w:val="18"/>
                <w:color w:val="auto"/>
                <w:w w:val="99"/>
              </w:rPr>
              <w:t>[____]</w:t>
            </w:r>
          </w:p>
        </w:tc>
        <w:tc>
          <w:tcPr>
            <w:tcW w:w="1160" w:type="dxa"/>
            <w:vAlign w:val="bottom"/>
          </w:tcPr>
          <w:p>
            <w:pPr>
              <w:spacing w:after="0"/>
              <w:rPr>
                <w:sz w:val="18"/>
                <w:szCs w:val="18"/>
                <w:color w:val="auto"/>
              </w:rPr>
            </w:pPr>
          </w:p>
        </w:tc>
        <w:tc>
          <w:tcPr>
            <w:tcW w:w="2600" w:type="dxa"/>
            <w:vAlign w:val="bottom"/>
            <w:gridSpan w:val="3"/>
          </w:tcPr>
          <w:p>
            <w:pPr>
              <w:jc w:val="center"/>
              <w:ind w:left="1090"/>
              <w:spacing w:after="0"/>
              <w:rPr>
                <w:sz w:val="20"/>
                <w:szCs w:val="20"/>
                <w:color w:val="auto"/>
              </w:rPr>
            </w:pPr>
            <w:r>
              <w:rPr>
                <w:rFonts w:ascii="Times New Roman" w:cs="Times New Roman" w:eastAsia="Times New Roman" w:hAnsi="Times New Roman"/>
                <w:sz w:val="18"/>
                <w:szCs w:val="18"/>
                <w:color w:val="auto"/>
                <w:w w:val="99"/>
              </w:rPr>
              <w:t>November 3, 2033</w:t>
            </w:r>
          </w:p>
        </w:tc>
      </w:tr>
      <w:tr>
        <w:trPr>
          <w:trHeight w:val="216"/>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180" w:type="dxa"/>
            <w:vAlign w:val="bottom"/>
          </w:tcPr>
          <w:p>
            <w:pPr>
              <w:spacing w:after="0"/>
              <w:rPr>
                <w:sz w:val="18"/>
                <w:szCs w:val="18"/>
                <w:color w:val="auto"/>
              </w:rPr>
            </w:pPr>
          </w:p>
        </w:tc>
        <w:tc>
          <w:tcPr>
            <w:tcW w:w="2560" w:type="dxa"/>
            <w:vAlign w:val="bottom"/>
            <w:gridSpan w:val="2"/>
          </w:tcPr>
          <w:p>
            <w:pPr>
              <w:jc w:val="center"/>
              <w:ind w:left="1070"/>
              <w:spacing w:after="0"/>
              <w:rPr>
                <w:sz w:val="20"/>
                <w:szCs w:val="20"/>
                <w:color w:val="auto"/>
              </w:rPr>
            </w:pPr>
            <w:r>
              <w:rPr>
                <w:rFonts w:ascii="Times New Roman" w:cs="Times New Roman" w:eastAsia="Times New Roman" w:hAnsi="Times New Roman"/>
                <w:sz w:val="18"/>
                <w:szCs w:val="18"/>
                <w:color w:val="auto"/>
                <w:w w:val="99"/>
              </w:rPr>
              <w:t>[____]</w:t>
            </w:r>
          </w:p>
        </w:tc>
        <w:tc>
          <w:tcPr>
            <w:tcW w:w="1160" w:type="dxa"/>
            <w:vAlign w:val="bottom"/>
          </w:tcPr>
          <w:p>
            <w:pPr>
              <w:spacing w:after="0"/>
              <w:rPr>
                <w:sz w:val="18"/>
                <w:szCs w:val="18"/>
                <w:color w:val="auto"/>
              </w:rPr>
            </w:pPr>
          </w:p>
        </w:tc>
        <w:tc>
          <w:tcPr>
            <w:tcW w:w="2600" w:type="dxa"/>
            <w:vAlign w:val="bottom"/>
            <w:gridSpan w:val="3"/>
          </w:tcPr>
          <w:p>
            <w:pPr>
              <w:jc w:val="center"/>
              <w:ind w:left="1090"/>
              <w:spacing w:after="0"/>
              <w:rPr>
                <w:sz w:val="20"/>
                <w:szCs w:val="20"/>
                <w:color w:val="auto"/>
              </w:rPr>
            </w:pPr>
            <w:r>
              <w:rPr>
                <w:rFonts w:ascii="Times New Roman" w:cs="Times New Roman" w:eastAsia="Times New Roman" w:hAnsi="Times New Roman"/>
                <w:sz w:val="18"/>
                <w:szCs w:val="18"/>
                <w:color w:val="auto"/>
                <w:w w:val="99"/>
              </w:rPr>
              <w:t>November 4, 2033</w:t>
            </w:r>
          </w:p>
        </w:tc>
      </w:tr>
      <w:tr>
        <w:trPr>
          <w:trHeight w:val="216"/>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180" w:type="dxa"/>
            <w:vAlign w:val="bottom"/>
          </w:tcPr>
          <w:p>
            <w:pPr>
              <w:spacing w:after="0"/>
              <w:rPr>
                <w:sz w:val="18"/>
                <w:szCs w:val="18"/>
                <w:color w:val="auto"/>
              </w:rPr>
            </w:pPr>
          </w:p>
        </w:tc>
        <w:tc>
          <w:tcPr>
            <w:tcW w:w="2560" w:type="dxa"/>
            <w:vAlign w:val="bottom"/>
            <w:gridSpan w:val="2"/>
          </w:tcPr>
          <w:p>
            <w:pPr>
              <w:jc w:val="center"/>
              <w:ind w:left="1070"/>
              <w:spacing w:after="0"/>
              <w:rPr>
                <w:sz w:val="20"/>
                <w:szCs w:val="20"/>
                <w:color w:val="auto"/>
              </w:rPr>
            </w:pPr>
            <w:r>
              <w:rPr>
                <w:rFonts w:ascii="Times New Roman" w:cs="Times New Roman" w:eastAsia="Times New Roman" w:hAnsi="Times New Roman"/>
                <w:sz w:val="18"/>
                <w:szCs w:val="18"/>
                <w:color w:val="auto"/>
                <w:w w:val="99"/>
              </w:rPr>
              <w:t>[____]</w:t>
            </w:r>
          </w:p>
        </w:tc>
        <w:tc>
          <w:tcPr>
            <w:tcW w:w="1160" w:type="dxa"/>
            <w:vAlign w:val="bottom"/>
          </w:tcPr>
          <w:p>
            <w:pPr>
              <w:spacing w:after="0"/>
              <w:rPr>
                <w:sz w:val="18"/>
                <w:szCs w:val="18"/>
                <w:color w:val="auto"/>
              </w:rPr>
            </w:pPr>
          </w:p>
        </w:tc>
        <w:tc>
          <w:tcPr>
            <w:tcW w:w="2600" w:type="dxa"/>
            <w:vAlign w:val="bottom"/>
            <w:gridSpan w:val="3"/>
          </w:tcPr>
          <w:p>
            <w:pPr>
              <w:jc w:val="center"/>
              <w:ind w:left="1090"/>
              <w:spacing w:after="0"/>
              <w:rPr>
                <w:sz w:val="20"/>
                <w:szCs w:val="20"/>
                <w:color w:val="auto"/>
              </w:rPr>
            </w:pPr>
            <w:r>
              <w:rPr>
                <w:rFonts w:ascii="Times New Roman" w:cs="Times New Roman" w:eastAsia="Times New Roman" w:hAnsi="Times New Roman"/>
                <w:sz w:val="18"/>
                <w:szCs w:val="18"/>
                <w:color w:val="auto"/>
                <w:w w:val="99"/>
              </w:rPr>
              <w:t>November 7, 2033</w:t>
            </w:r>
          </w:p>
        </w:tc>
      </w:tr>
      <w:tr>
        <w:trPr>
          <w:trHeight w:val="216"/>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180" w:type="dxa"/>
            <w:vAlign w:val="bottom"/>
          </w:tcPr>
          <w:p>
            <w:pPr>
              <w:spacing w:after="0"/>
              <w:rPr>
                <w:sz w:val="18"/>
                <w:szCs w:val="18"/>
                <w:color w:val="auto"/>
              </w:rPr>
            </w:pPr>
          </w:p>
        </w:tc>
        <w:tc>
          <w:tcPr>
            <w:tcW w:w="2560" w:type="dxa"/>
            <w:vAlign w:val="bottom"/>
            <w:gridSpan w:val="2"/>
          </w:tcPr>
          <w:p>
            <w:pPr>
              <w:jc w:val="center"/>
              <w:ind w:left="1070"/>
              <w:spacing w:after="0"/>
              <w:rPr>
                <w:sz w:val="20"/>
                <w:szCs w:val="20"/>
                <w:color w:val="auto"/>
              </w:rPr>
            </w:pPr>
            <w:r>
              <w:rPr>
                <w:rFonts w:ascii="Times New Roman" w:cs="Times New Roman" w:eastAsia="Times New Roman" w:hAnsi="Times New Roman"/>
                <w:sz w:val="18"/>
                <w:szCs w:val="18"/>
                <w:color w:val="auto"/>
                <w:w w:val="99"/>
              </w:rPr>
              <w:t>[____]</w:t>
            </w:r>
          </w:p>
        </w:tc>
        <w:tc>
          <w:tcPr>
            <w:tcW w:w="1160" w:type="dxa"/>
            <w:vAlign w:val="bottom"/>
          </w:tcPr>
          <w:p>
            <w:pPr>
              <w:spacing w:after="0"/>
              <w:rPr>
                <w:sz w:val="18"/>
                <w:szCs w:val="18"/>
                <w:color w:val="auto"/>
              </w:rPr>
            </w:pPr>
          </w:p>
        </w:tc>
        <w:tc>
          <w:tcPr>
            <w:tcW w:w="2600" w:type="dxa"/>
            <w:vAlign w:val="bottom"/>
            <w:gridSpan w:val="3"/>
          </w:tcPr>
          <w:p>
            <w:pPr>
              <w:jc w:val="center"/>
              <w:ind w:left="1090"/>
              <w:spacing w:after="0"/>
              <w:rPr>
                <w:sz w:val="20"/>
                <w:szCs w:val="20"/>
                <w:color w:val="auto"/>
              </w:rPr>
            </w:pPr>
            <w:r>
              <w:rPr>
                <w:rFonts w:ascii="Times New Roman" w:cs="Times New Roman" w:eastAsia="Times New Roman" w:hAnsi="Times New Roman"/>
                <w:sz w:val="18"/>
                <w:szCs w:val="18"/>
                <w:color w:val="auto"/>
                <w:w w:val="99"/>
              </w:rPr>
              <w:t>November 8, 2033</w:t>
            </w:r>
          </w:p>
        </w:tc>
      </w:tr>
      <w:tr>
        <w:trPr>
          <w:trHeight w:val="216"/>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1180" w:type="dxa"/>
            <w:vAlign w:val="bottom"/>
          </w:tcPr>
          <w:p>
            <w:pPr>
              <w:spacing w:after="0"/>
              <w:rPr>
                <w:sz w:val="18"/>
                <w:szCs w:val="18"/>
                <w:color w:val="auto"/>
              </w:rPr>
            </w:pPr>
          </w:p>
        </w:tc>
        <w:tc>
          <w:tcPr>
            <w:tcW w:w="2560" w:type="dxa"/>
            <w:vAlign w:val="bottom"/>
            <w:gridSpan w:val="2"/>
          </w:tcPr>
          <w:p>
            <w:pPr>
              <w:jc w:val="center"/>
              <w:ind w:left="1070"/>
              <w:spacing w:after="0"/>
              <w:rPr>
                <w:sz w:val="20"/>
                <w:szCs w:val="20"/>
                <w:color w:val="auto"/>
              </w:rPr>
            </w:pPr>
            <w:r>
              <w:rPr>
                <w:rFonts w:ascii="Times New Roman" w:cs="Times New Roman" w:eastAsia="Times New Roman" w:hAnsi="Times New Roman"/>
                <w:sz w:val="18"/>
                <w:szCs w:val="18"/>
                <w:color w:val="auto"/>
                <w:w w:val="99"/>
              </w:rPr>
              <w:t>[____]</w:t>
            </w:r>
          </w:p>
        </w:tc>
        <w:tc>
          <w:tcPr>
            <w:tcW w:w="1160" w:type="dxa"/>
            <w:vAlign w:val="bottom"/>
          </w:tcPr>
          <w:p>
            <w:pPr>
              <w:spacing w:after="0"/>
              <w:rPr>
                <w:sz w:val="18"/>
                <w:szCs w:val="18"/>
                <w:color w:val="auto"/>
              </w:rPr>
            </w:pPr>
          </w:p>
        </w:tc>
        <w:tc>
          <w:tcPr>
            <w:tcW w:w="2600" w:type="dxa"/>
            <w:vAlign w:val="bottom"/>
            <w:gridSpan w:val="3"/>
          </w:tcPr>
          <w:p>
            <w:pPr>
              <w:jc w:val="center"/>
              <w:ind w:left="1090"/>
              <w:spacing w:after="0"/>
              <w:rPr>
                <w:sz w:val="20"/>
                <w:szCs w:val="20"/>
                <w:color w:val="auto"/>
              </w:rPr>
            </w:pPr>
            <w:r>
              <w:rPr>
                <w:rFonts w:ascii="Times New Roman" w:cs="Times New Roman" w:eastAsia="Times New Roman" w:hAnsi="Times New Roman"/>
                <w:sz w:val="18"/>
                <w:szCs w:val="18"/>
                <w:color w:val="auto"/>
                <w:w w:val="99"/>
              </w:rPr>
              <w:t>November 9, 2033</w:t>
            </w:r>
          </w:p>
        </w:tc>
      </w:tr>
      <w:tr>
        <w:trPr>
          <w:trHeight w:val="216"/>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1180" w:type="dxa"/>
            <w:vAlign w:val="bottom"/>
          </w:tcPr>
          <w:p>
            <w:pPr>
              <w:spacing w:after="0"/>
              <w:rPr>
                <w:sz w:val="18"/>
                <w:szCs w:val="18"/>
                <w:color w:val="auto"/>
              </w:rPr>
            </w:pPr>
          </w:p>
        </w:tc>
        <w:tc>
          <w:tcPr>
            <w:tcW w:w="2560" w:type="dxa"/>
            <w:vAlign w:val="bottom"/>
            <w:gridSpan w:val="2"/>
          </w:tcPr>
          <w:p>
            <w:pPr>
              <w:jc w:val="center"/>
              <w:ind w:left="1070"/>
              <w:spacing w:after="0"/>
              <w:rPr>
                <w:sz w:val="20"/>
                <w:szCs w:val="20"/>
                <w:color w:val="auto"/>
              </w:rPr>
            </w:pPr>
            <w:r>
              <w:rPr>
                <w:rFonts w:ascii="Times New Roman" w:cs="Times New Roman" w:eastAsia="Times New Roman" w:hAnsi="Times New Roman"/>
                <w:sz w:val="18"/>
                <w:szCs w:val="18"/>
                <w:color w:val="auto"/>
                <w:w w:val="99"/>
              </w:rPr>
              <w:t>[____]</w:t>
            </w:r>
          </w:p>
        </w:tc>
        <w:tc>
          <w:tcPr>
            <w:tcW w:w="1160" w:type="dxa"/>
            <w:vAlign w:val="bottom"/>
          </w:tcPr>
          <w:p>
            <w:pPr>
              <w:spacing w:after="0"/>
              <w:rPr>
                <w:sz w:val="18"/>
                <w:szCs w:val="18"/>
                <w:color w:val="auto"/>
              </w:rPr>
            </w:pPr>
          </w:p>
        </w:tc>
        <w:tc>
          <w:tcPr>
            <w:tcW w:w="2600" w:type="dxa"/>
            <w:vAlign w:val="bottom"/>
            <w:gridSpan w:val="3"/>
          </w:tcPr>
          <w:p>
            <w:pPr>
              <w:jc w:val="center"/>
              <w:ind w:left="1070"/>
              <w:spacing w:after="0"/>
              <w:rPr>
                <w:sz w:val="20"/>
                <w:szCs w:val="20"/>
                <w:color w:val="auto"/>
              </w:rPr>
            </w:pPr>
            <w:r>
              <w:rPr>
                <w:rFonts w:ascii="Times New Roman" w:cs="Times New Roman" w:eastAsia="Times New Roman" w:hAnsi="Times New Roman"/>
                <w:sz w:val="18"/>
                <w:szCs w:val="18"/>
                <w:color w:val="auto"/>
              </w:rPr>
              <w:t>November 10, 2033</w:t>
            </w:r>
          </w:p>
        </w:tc>
      </w:tr>
      <w:tr>
        <w:trPr>
          <w:trHeight w:val="216"/>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1180" w:type="dxa"/>
            <w:vAlign w:val="bottom"/>
          </w:tcPr>
          <w:p>
            <w:pPr>
              <w:spacing w:after="0"/>
              <w:rPr>
                <w:sz w:val="18"/>
                <w:szCs w:val="18"/>
                <w:color w:val="auto"/>
              </w:rPr>
            </w:pPr>
          </w:p>
        </w:tc>
        <w:tc>
          <w:tcPr>
            <w:tcW w:w="2560" w:type="dxa"/>
            <w:vAlign w:val="bottom"/>
            <w:gridSpan w:val="2"/>
          </w:tcPr>
          <w:p>
            <w:pPr>
              <w:jc w:val="center"/>
              <w:ind w:left="1070"/>
              <w:spacing w:after="0"/>
              <w:rPr>
                <w:sz w:val="20"/>
                <w:szCs w:val="20"/>
                <w:color w:val="auto"/>
              </w:rPr>
            </w:pPr>
            <w:r>
              <w:rPr>
                <w:rFonts w:ascii="Times New Roman" w:cs="Times New Roman" w:eastAsia="Times New Roman" w:hAnsi="Times New Roman"/>
                <w:sz w:val="18"/>
                <w:szCs w:val="18"/>
                <w:color w:val="auto"/>
                <w:w w:val="99"/>
              </w:rPr>
              <w:t>[____]</w:t>
            </w:r>
          </w:p>
        </w:tc>
        <w:tc>
          <w:tcPr>
            <w:tcW w:w="1160" w:type="dxa"/>
            <w:vAlign w:val="bottom"/>
          </w:tcPr>
          <w:p>
            <w:pPr>
              <w:spacing w:after="0"/>
              <w:rPr>
                <w:sz w:val="18"/>
                <w:szCs w:val="18"/>
                <w:color w:val="auto"/>
              </w:rPr>
            </w:pPr>
          </w:p>
        </w:tc>
        <w:tc>
          <w:tcPr>
            <w:tcW w:w="2600" w:type="dxa"/>
            <w:vAlign w:val="bottom"/>
            <w:gridSpan w:val="3"/>
          </w:tcPr>
          <w:p>
            <w:pPr>
              <w:jc w:val="center"/>
              <w:ind w:left="1090"/>
              <w:spacing w:after="0"/>
              <w:rPr>
                <w:sz w:val="20"/>
                <w:szCs w:val="20"/>
                <w:color w:val="auto"/>
              </w:rPr>
            </w:pPr>
            <w:r>
              <w:rPr>
                <w:rFonts w:ascii="Times New Roman" w:cs="Times New Roman" w:eastAsia="Times New Roman" w:hAnsi="Times New Roman"/>
                <w:sz w:val="18"/>
                <w:szCs w:val="18"/>
                <w:color w:val="auto"/>
                <w:w w:val="98"/>
              </w:rPr>
              <w:t>November 11, 2033</w:t>
            </w:r>
          </w:p>
        </w:tc>
      </w:tr>
      <w:tr>
        <w:trPr>
          <w:trHeight w:val="216"/>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180" w:type="dxa"/>
            <w:vAlign w:val="bottom"/>
          </w:tcPr>
          <w:p>
            <w:pPr>
              <w:spacing w:after="0"/>
              <w:rPr>
                <w:sz w:val="18"/>
                <w:szCs w:val="18"/>
                <w:color w:val="auto"/>
              </w:rPr>
            </w:pPr>
          </w:p>
        </w:tc>
        <w:tc>
          <w:tcPr>
            <w:tcW w:w="2560" w:type="dxa"/>
            <w:vAlign w:val="bottom"/>
            <w:gridSpan w:val="2"/>
          </w:tcPr>
          <w:p>
            <w:pPr>
              <w:jc w:val="center"/>
              <w:ind w:left="1070"/>
              <w:spacing w:after="0"/>
              <w:rPr>
                <w:sz w:val="20"/>
                <w:szCs w:val="20"/>
                <w:color w:val="auto"/>
              </w:rPr>
            </w:pPr>
            <w:r>
              <w:rPr>
                <w:rFonts w:ascii="Times New Roman" w:cs="Times New Roman" w:eastAsia="Times New Roman" w:hAnsi="Times New Roman"/>
                <w:sz w:val="18"/>
                <w:szCs w:val="18"/>
                <w:color w:val="auto"/>
                <w:w w:val="99"/>
              </w:rPr>
              <w:t>[____]</w:t>
            </w:r>
          </w:p>
        </w:tc>
        <w:tc>
          <w:tcPr>
            <w:tcW w:w="1160" w:type="dxa"/>
            <w:vAlign w:val="bottom"/>
          </w:tcPr>
          <w:p>
            <w:pPr>
              <w:spacing w:after="0"/>
              <w:rPr>
                <w:sz w:val="18"/>
                <w:szCs w:val="18"/>
                <w:color w:val="auto"/>
              </w:rPr>
            </w:pPr>
          </w:p>
        </w:tc>
        <w:tc>
          <w:tcPr>
            <w:tcW w:w="2600" w:type="dxa"/>
            <w:vAlign w:val="bottom"/>
            <w:gridSpan w:val="3"/>
          </w:tcPr>
          <w:p>
            <w:pPr>
              <w:jc w:val="center"/>
              <w:ind w:left="1070"/>
              <w:spacing w:after="0"/>
              <w:rPr>
                <w:sz w:val="20"/>
                <w:szCs w:val="20"/>
                <w:color w:val="auto"/>
              </w:rPr>
            </w:pPr>
            <w:r>
              <w:rPr>
                <w:rFonts w:ascii="Times New Roman" w:cs="Times New Roman" w:eastAsia="Times New Roman" w:hAnsi="Times New Roman"/>
                <w:sz w:val="18"/>
                <w:szCs w:val="18"/>
                <w:color w:val="auto"/>
              </w:rPr>
              <w:t>November 14, 2033</w:t>
            </w:r>
          </w:p>
        </w:tc>
      </w:tr>
      <w:tr>
        <w:trPr>
          <w:trHeight w:val="216"/>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c>
          <w:tcPr>
            <w:tcW w:w="1180" w:type="dxa"/>
            <w:vAlign w:val="bottom"/>
          </w:tcPr>
          <w:p>
            <w:pPr>
              <w:spacing w:after="0"/>
              <w:rPr>
                <w:sz w:val="18"/>
                <w:szCs w:val="18"/>
                <w:color w:val="auto"/>
              </w:rPr>
            </w:pPr>
          </w:p>
        </w:tc>
        <w:tc>
          <w:tcPr>
            <w:tcW w:w="2560" w:type="dxa"/>
            <w:vAlign w:val="bottom"/>
            <w:gridSpan w:val="2"/>
          </w:tcPr>
          <w:p>
            <w:pPr>
              <w:jc w:val="center"/>
              <w:ind w:left="1070"/>
              <w:spacing w:after="0"/>
              <w:rPr>
                <w:sz w:val="20"/>
                <w:szCs w:val="20"/>
                <w:color w:val="auto"/>
              </w:rPr>
            </w:pPr>
            <w:r>
              <w:rPr>
                <w:rFonts w:ascii="Times New Roman" w:cs="Times New Roman" w:eastAsia="Times New Roman" w:hAnsi="Times New Roman"/>
                <w:sz w:val="18"/>
                <w:szCs w:val="18"/>
                <w:color w:val="auto"/>
                <w:w w:val="99"/>
              </w:rPr>
              <w:t>[____]</w:t>
            </w:r>
          </w:p>
        </w:tc>
        <w:tc>
          <w:tcPr>
            <w:tcW w:w="1160" w:type="dxa"/>
            <w:vAlign w:val="bottom"/>
          </w:tcPr>
          <w:p>
            <w:pPr>
              <w:spacing w:after="0"/>
              <w:rPr>
                <w:sz w:val="18"/>
                <w:szCs w:val="18"/>
                <w:color w:val="auto"/>
              </w:rPr>
            </w:pPr>
          </w:p>
        </w:tc>
        <w:tc>
          <w:tcPr>
            <w:tcW w:w="2600" w:type="dxa"/>
            <w:vAlign w:val="bottom"/>
            <w:gridSpan w:val="3"/>
          </w:tcPr>
          <w:p>
            <w:pPr>
              <w:jc w:val="center"/>
              <w:ind w:left="1070"/>
              <w:spacing w:after="0"/>
              <w:rPr>
                <w:sz w:val="20"/>
                <w:szCs w:val="20"/>
                <w:color w:val="auto"/>
              </w:rPr>
            </w:pPr>
            <w:r>
              <w:rPr>
                <w:rFonts w:ascii="Times New Roman" w:cs="Times New Roman" w:eastAsia="Times New Roman" w:hAnsi="Times New Roman"/>
                <w:sz w:val="18"/>
                <w:szCs w:val="18"/>
                <w:color w:val="auto"/>
              </w:rPr>
              <w:t>November 15, 2033</w:t>
            </w:r>
          </w:p>
        </w:tc>
      </w:tr>
      <w:tr>
        <w:trPr>
          <w:trHeight w:val="216"/>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c>
          <w:tcPr>
            <w:tcW w:w="1180" w:type="dxa"/>
            <w:vAlign w:val="bottom"/>
          </w:tcPr>
          <w:p>
            <w:pPr>
              <w:spacing w:after="0"/>
              <w:rPr>
                <w:sz w:val="18"/>
                <w:szCs w:val="18"/>
                <w:color w:val="auto"/>
              </w:rPr>
            </w:pPr>
          </w:p>
        </w:tc>
        <w:tc>
          <w:tcPr>
            <w:tcW w:w="2560" w:type="dxa"/>
            <w:vAlign w:val="bottom"/>
            <w:gridSpan w:val="2"/>
          </w:tcPr>
          <w:p>
            <w:pPr>
              <w:jc w:val="center"/>
              <w:ind w:left="1070"/>
              <w:spacing w:after="0"/>
              <w:rPr>
                <w:sz w:val="20"/>
                <w:szCs w:val="20"/>
                <w:color w:val="auto"/>
              </w:rPr>
            </w:pPr>
            <w:r>
              <w:rPr>
                <w:rFonts w:ascii="Times New Roman" w:cs="Times New Roman" w:eastAsia="Times New Roman" w:hAnsi="Times New Roman"/>
                <w:sz w:val="18"/>
                <w:szCs w:val="18"/>
                <w:color w:val="auto"/>
                <w:w w:val="99"/>
              </w:rPr>
              <w:t>[____]</w:t>
            </w:r>
          </w:p>
        </w:tc>
        <w:tc>
          <w:tcPr>
            <w:tcW w:w="1160" w:type="dxa"/>
            <w:vAlign w:val="bottom"/>
          </w:tcPr>
          <w:p>
            <w:pPr>
              <w:spacing w:after="0"/>
              <w:rPr>
                <w:sz w:val="18"/>
                <w:szCs w:val="18"/>
                <w:color w:val="auto"/>
              </w:rPr>
            </w:pPr>
          </w:p>
        </w:tc>
        <w:tc>
          <w:tcPr>
            <w:tcW w:w="2600" w:type="dxa"/>
            <w:vAlign w:val="bottom"/>
            <w:gridSpan w:val="3"/>
          </w:tcPr>
          <w:p>
            <w:pPr>
              <w:jc w:val="center"/>
              <w:ind w:left="1070"/>
              <w:spacing w:after="0"/>
              <w:rPr>
                <w:sz w:val="20"/>
                <w:szCs w:val="20"/>
                <w:color w:val="auto"/>
              </w:rPr>
            </w:pPr>
            <w:r>
              <w:rPr>
                <w:rFonts w:ascii="Times New Roman" w:cs="Times New Roman" w:eastAsia="Times New Roman" w:hAnsi="Times New Roman"/>
                <w:sz w:val="18"/>
                <w:szCs w:val="18"/>
                <w:color w:val="auto"/>
              </w:rPr>
              <w:t>November 16, 2033</w:t>
            </w:r>
          </w:p>
        </w:tc>
      </w:tr>
      <w:tr>
        <w:trPr>
          <w:trHeight w:val="216"/>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1180" w:type="dxa"/>
            <w:vAlign w:val="bottom"/>
          </w:tcPr>
          <w:p>
            <w:pPr>
              <w:spacing w:after="0"/>
              <w:rPr>
                <w:sz w:val="18"/>
                <w:szCs w:val="18"/>
                <w:color w:val="auto"/>
              </w:rPr>
            </w:pPr>
          </w:p>
        </w:tc>
        <w:tc>
          <w:tcPr>
            <w:tcW w:w="2560" w:type="dxa"/>
            <w:vAlign w:val="bottom"/>
            <w:gridSpan w:val="2"/>
          </w:tcPr>
          <w:p>
            <w:pPr>
              <w:jc w:val="center"/>
              <w:ind w:left="1070"/>
              <w:spacing w:after="0"/>
              <w:rPr>
                <w:sz w:val="20"/>
                <w:szCs w:val="20"/>
                <w:color w:val="auto"/>
              </w:rPr>
            </w:pPr>
            <w:r>
              <w:rPr>
                <w:rFonts w:ascii="Times New Roman" w:cs="Times New Roman" w:eastAsia="Times New Roman" w:hAnsi="Times New Roman"/>
                <w:sz w:val="18"/>
                <w:szCs w:val="18"/>
                <w:color w:val="auto"/>
                <w:w w:val="99"/>
              </w:rPr>
              <w:t>[____]</w:t>
            </w:r>
          </w:p>
        </w:tc>
        <w:tc>
          <w:tcPr>
            <w:tcW w:w="1160" w:type="dxa"/>
            <w:vAlign w:val="bottom"/>
          </w:tcPr>
          <w:p>
            <w:pPr>
              <w:spacing w:after="0"/>
              <w:rPr>
                <w:sz w:val="18"/>
                <w:szCs w:val="18"/>
                <w:color w:val="auto"/>
              </w:rPr>
            </w:pPr>
          </w:p>
        </w:tc>
        <w:tc>
          <w:tcPr>
            <w:tcW w:w="2600" w:type="dxa"/>
            <w:vAlign w:val="bottom"/>
            <w:gridSpan w:val="3"/>
          </w:tcPr>
          <w:p>
            <w:pPr>
              <w:jc w:val="center"/>
              <w:ind w:left="1070"/>
              <w:spacing w:after="0"/>
              <w:rPr>
                <w:sz w:val="20"/>
                <w:szCs w:val="20"/>
                <w:color w:val="auto"/>
              </w:rPr>
            </w:pPr>
            <w:r>
              <w:rPr>
                <w:rFonts w:ascii="Times New Roman" w:cs="Times New Roman" w:eastAsia="Times New Roman" w:hAnsi="Times New Roman"/>
                <w:sz w:val="18"/>
                <w:szCs w:val="18"/>
                <w:color w:val="auto"/>
              </w:rPr>
              <w:t>November 17, 2033</w:t>
            </w:r>
          </w:p>
        </w:tc>
      </w:tr>
      <w:tr>
        <w:trPr>
          <w:trHeight w:val="216"/>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1180" w:type="dxa"/>
            <w:vAlign w:val="bottom"/>
          </w:tcPr>
          <w:p>
            <w:pPr>
              <w:spacing w:after="0"/>
              <w:rPr>
                <w:sz w:val="18"/>
                <w:szCs w:val="18"/>
                <w:color w:val="auto"/>
              </w:rPr>
            </w:pPr>
          </w:p>
        </w:tc>
        <w:tc>
          <w:tcPr>
            <w:tcW w:w="2560" w:type="dxa"/>
            <w:vAlign w:val="bottom"/>
            <w:gridSpan w:val="2"/>
          </w:tcPr>
          <w:p>
            <w:pPr>
              <w:jc w:val="center"/>
              <w:ind w:left="1070"/>
              <w:spacing w:after="0"/>
              <w:rPr>
                <w:sz w:val="20"/>
                <w:szCs w:val="20"/>
                <w:color w:val="auto"/>
              </w:rPr>
            </w:pPr>
            <w:r>
              <w:rPr>
                <w:rFonts w:ascii="Times New Roman" w:cs="Times New Roman" w:eastAsia="Times New Roman" w:hAnsi="Times New Roman"/>
                <w:sz w:val="18"/>
                <w:szCs w:val="18"/>
                <w:color w:val="auto"/>
                <w:w w:val="99"/>
              </w:rPr>
              <w:t>[____]</w:t>
            </w:r>
          </w:p>
        </w:tc>
        <w:tc>
          <w:tcPr>
            <w:tcW w:w="1160" w:type="dxa"/>
            <w:vAlign w:val="bottom"/>
          </w:tcPr>
          <w:p>
            <w:pPr>
              <w:spacing w:after="0"/>
              <w:rPr>
                <w:sz w:val="18"/>
                <w:szCs w:val="18"/>
                <w:color w:val="auto"/>
              </w:rPr>
            </w:pPr>
          </w:p>
        </w:tc>
        <w:tc>
          <w:tcPr>
            <w:tcW w:w="2600" w:type="dxa"/>
            <w:vAlign w:val="bottom"/>
            <w:gridSpan w:val="3"/>
          </w:tcPr>
          <w:p>
            <w:pPr>
              <w:jc w:val="center"/>
              <w:ind w:left="1070"/>
              <w:spacing w:after="0"/>
              <w:rPr>
                <w:sz w:val="20"/>
                <w:szCs w:val="20"/>
                <w:color w:val="auto"/>
              </w:rPr>
            </w:pPr>
            <w:r>
              <w:rPr>
                <w:rFonts w:ascii="Times New Roman" w:cs="Times New Roman" w:eastAsia="Times New Roman" w:hAnsi="Times New Roman"/>
                <w:sz w:val="18"/>
                <w:szCs w:val="18"/>
                <w:color w:val="auto"/>
              </w:rPr>
              <w:t>November 18, 2033</w:t>
            </w:r>
          </w:p>
        </w:tc>
      </w:tr>
      <w:tr>
        <w:trPr>
          <w:trHeight w:val="216"/>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1180" w:type="dxa"/>
            <w:vAlign w:val="bottom"/>
          </w:tcPr>
          <w:p>
            <w:pPr>
              <w:spacing w:after="0"/>
              <w:rPr>
                <w:sz w:val="18"/>
                <w:szCs w:val="18"/>
                <w:color w:val="auto"/>
              </w:rPr>
            </w:pPr>
          </w:p>
        </w:tc>
        <w:tc>
          <w:tcPr>
            <w:tcW w:w="2560" w:type="dxa"/>
            <w:vAlign w:val="bottom"/>
            <w:gridSpan w:val="2"/>
          </w:tcPr>
          <w:p>
            <w:pPr>
              <w:jc w:val="center"/>
              <w:ind w:left="1070"/>
              <w:spacing w:after="0"/>
              <w:rPr>
                <w:sz w:val="20"/>
                <w:szCs w:val="20"/>
                <w:color w:val="auto"/>
              </w:rPr>
            </w:pPr>
            <w:r>
              <w:rPr>
                <w:rFonts w:ascii="Times New Roman" w:cs="Times New Roman" w:eastAsia="Times New Roman" w:hAnsi="Times New Roman"/>
                <w:sz w:val="18"/>
                <w:szCs w:val="18"/>
                <w:color w:val="auto"/>
                <w:w w:val="99"/>
              </w:rPr>
              <w:t>[____]</w:t>
            </w:r>
          </w:p>
        </w:tc>
        <w:tc>
          <w:tcPr>
            <w:tcW w:w="1160" w:type="dxa"/>
            <w:vAlign w:val="bottom"/>
          </w:tcPr>
          <w:p>
            <w:pPr>
              <w:spacing w:after="0"/>
              <w:rPr>
                <w:sz w:val="18"/>
                <w:szCs w:val="18"/>
                <w:color w:val="auto"/>
              </w:rPr>
            </w:pPr>
          </w:p>
        </w:tc>
        <w:tc>
          <w:tcPr>
            <w:tcW w:w="2600" w:type="dxa"/>
            <w:vAlign w:val="bottom"/>
            <w:gridSpan w:val="3"/>
          </w:tcPr>
          <w:p>
            <w:pPr>
              <w:jc w:val="center"/>
              <w:ind w:left="1070"/>
              <w:spacing w:after="0"/>
              <w:rPr>
                <w:sz w:val="20"/>
                <w:szCs w:val="20"/>
                <w:color w:val="auto"/>
              </w:rPr>
            </w:pPr>
            <w:r>
              <w:rPr>
                <w:rFonts w:ascii="Times New Roman" w:cs="Times New Roman" w:eastAsia="Times New Roman" w:hAnsi="Times New Roman"/>
                <w:sz w:val="18"/>
                <w:szCs w:val="18"/>
                <w:color w:val="auto"/>
              </w:rPr>
              <w:t>November 21, 2033</w:t>
            </w:r>
          </w:p>
        </w:tc>
      </w:tr>
      <w:tr>
        <w:trPr>
          <w:trHeight w:val="216"/>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1180" w:type="dxa"/>
            <w:vAlign w:val="bottom"/>
          </w:tcPr>
          <w:p>
            <w:pPr>
              <w:spacing w:after="0"/>
              <w:rPr>
                <w:sz w:val="18"/>
                <w:szCs w:val="18"/>
                <w:color w:val="auto"/>
              </w:rPr>
            </w:pPr>
          </w:p>
        </w:tc>
        <w:tc>
          <w:tcPr>
            <w:tcW w:w="2560" w:type="dxa"/>
            <w:vAlign w:val="bottom"/>
            <w:gridSpan w:val="2"/>
          </w:tcPr>
          <w:p>
            <w:pPr>
              <w:jc w:val="center"/>
              <w:ind w:left="1070"/>
              <w:spacing w:after="0"/>
              <w:rPr>
                <w:sz w:val="20"/>
                <w:szCs w:val="20"/>
                <w:color w:val="auto"/>
              </w:rPr>
            </w:pPr>
            <w:r>
              <w:rPr>
                <w:rFonts w:ascii="Times New Roman" w:cs="Times New Roman" w:eastAsia="Times New Roman" w:hAnsi="Times New Roman"/>
                <w:sz w:val="18"/>
                <w:szCs w:val="18"/>
                <w:color w:val="auto"/>
                <w:w w:val="99"/>
              </w:rPr>
              <w:t>[____]</w:t>
            </w:r>
          </w:p>
        </w:tc>
        <w:tc>
          <w:tcPr>
            <w:tcW w:w="1160" w:type="dxa"/>
            <w:vAlign w:val="bottom"/>
          </w:tcPr>
          <w:p>
            <w:pPr>
              <w:spacing w:after="0"/>
              <w:rPr>
                <w:sz w:val="18"/>
                <w:szCs w:val="18"/>
                <w:color w:val="auto"/>
              </w:rPr>
            </w:pPr>
          </w:p>
        </w:tc>
        <w:tc>
          <w:tcPr>
            <w:tcW w:w="2600" w:type="dxa"/>
            <w:vAlign w:val="bottom"/>
            <w:gridSpan w:val="3"/>
          </w:tcPr>
          <w:p>
            <w:pPr>
              <w:jc w:val="center"/>
              <w:ind w:left="1070"/>
              <w:spacing w:after="0"/>
              <w:rPr>
                <w:sz w:val="20"/>
                <w:szCs w:val="20"/>
                <w:color w:val="auto"/>
              </w:rPr>
            </w:pPr>
            <w:r>
              <w:rPr>
                <w:rFonts w:ascii="Times New Roman" w:cs="Times New Roman" w:eastAsia="Times New Roman" w:hAnsi="Times New Roman"/>
                <w:sz w:val="18"/>
                <w:szCs w:val="18"/>
                <w:color w:val="auto"/>
              </w:rPr>
              <w:t>November 22, 2033</w:t>
            </w:r>
          </w:p>
        </w:tc>
      </w:tr>
      <w:tr>
        <w:trPr>
          <w:trHeight w:val="216"/>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1180" w:type="dxa"/>
            <w:vAlign w:val="bottom"/>
          </w:tcPr>
          <w:p>
            <w:pPr>
              <w:spacing w:after="0"/>
              <w:rPr>
                <w:sz w:val="18"/>
                <w:szCs w:val="18"/>
                <w:color w:val="auto"/>
              </w:rPr>
            </w:pPr>
          </w:p>
        </w:tc>
        <w:tc>
          <w:tcPr>
            <w:tcW w:w="2560" w:type="dxa"/>
            <w:vAlign w:val="bottom"/>
            <w:gridSpan w:val="2"/>
          </w:tcPr>
          <w:p>
            <w:pPr>
              <w:jc w:val="center"/>
              <w:ind w:left="1070"/>
              <w:spacing w:after="0"/>
              <w:rPr>
                <w:sz w:val="20"/>
                <w:szCs w:val="20"/>
                <w:color w:val="auto"/>
              </w:rPr>
            </w:pPr>
            <w:r>
              <w:rPr>
                <w:rFonts w:ascii="Times New Roman" w:cs="Times New Roman" w:eastAsia="Times New Roman" w:hAnsi="Times New Roman"/>
                <w:sz w:val="18"/>
                <w:szCs w:val="18"/>
                <w:color w:val="auto"/>
                <w:w w:val="99"/>
              </w:rPr>
              <w:t>[____]</w:t>
            </w:r>
          </w:p>
        </w:tc>
        <w:tc>
          <w:tcPr>
            <w:tcW w:w="1160" w:type="dxa"/>
            <w:vAlign w:val="bottom"/>
          </w:tcPr>
          <w:p>
            <w:pPr>
              <w:spacing w:after="0"/>
              <w:rPr>
                <w:sz w:val="18"/>
                <w:szCs w:val="18"/>
                <w:color w:val="auto"/>
              </w:rPr>
            </w:pPr>
          </w:p>
        </w:tc>
        <w:tc>
          <w:tcPr>
            <w:tcW w:w="2600" w:type="dxa"/>
            <w:vAlign w:val="bottom"/>
            <w:gridSpan w:val="3"/>
          </w:tcPr>
          <w:p>
            <w:pPr>
              <w:jc w:val="center"/>
              <w:ind w:left="1070"/>
              <w:spacing w:after="0"/>
              <w:rPr>
                <w:sz w:val="20"/>
                <w:szCs w:val="20"/>
                <w:color w:val="auto"/>
              </w:rPr>
            </w:pPr>
            <w:r>
              <w:rPr>
                <w:rFonts w:ascii="Times New Roman" w:cs="Times New Roman" w:eastAsia="Times New Roman" w:hAnsi="Times New Roman"/>
                <w:sz w:val="18"/>
                <w:szCs w:val="18"/>
                <w:color w:val="auto"/>
              </w:rPr>
              <w:t>November 23, 2033</w:t>
            </w:r>
          </w:p>
        </w:tc>
      </w:tr>
      <w:tr>
        <w:trPr>
          <w:trHeight w:val="216"/>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c>
          <w:tcPr>
            <w:tcW w:w="1180" w:type="dxa"/>
            <w:vAlign w:val="bottom"/>
          </w:tcPr>
          <w:p>
            <w:pPr>
              <w:spacing w:after="0"/>
              <w:rPr>
                <w:sz w:val="18"/>
                <w:szCs w:val="18"/>
                <w:color w:val="auto"/>
              </w:rPr>
            </w:pPr>
          </w:p>
        </w:tc>
        <w:tc>
          <w:tcPr>
            <w:tcW w:w="2560" w:type="dxa"/>
            <w:vAlign w:val="bottom"/>
            <w:gridSpan w:val="2"/>
          </w:tcPr>
          <w:p>
            <w:pPr>
              <w:jc w:val="center"/>
              <w:ind w:left="1070"/>
              <w:spacing w:after="0"/>
              <w:rPr>
                <w:sz w:val="20"/>
                <w:szCs w:val="20"/>
                <w:color w:val="auto"/>
              </w:rPr>
            </w:pPr>
            <w:r>
              <w:rPr>
                <w:rFonts w:ascii="Times New Roman" w:cs="Times New Roman" w:eastAsia="Times New Roman" w:hAnsi="Times New Roman"/>
                <w:sz w:val="18"/>
                <w:szCs w:val="18"/>
                <w:color w:val="auto"/>
                <w:w w:val="99"/>
              </w:rPr>
              <w:t>[____]</w:t>
            </w:r>
          </w:p>
        </w:tc>
        <w:tc>
          <w:tcPr>
            <w:tcW w:w="1160" w:type="dxa"/>
            <w:vAlign w:val="bottom"/>
          </w:tcPr>
          <w:p>
            <w:pPr>
              <w:spacing w:after="0"/>
              <w:rPr>
                <w:sz w:val="18"/>
                <w:szCs w:val="18"/>
                <w:color w:val="auto"/>
              </w:rPr>
            </w:pPr>
          </w:p>
        </w:tc>
        <w:tc>
          <w:tcPr>
            <w:tcW w:w="2600" w:type="dxa"/>
            <w:vAlign w:val="bottom"/>
            <w:gridSpan w:val="3"/>
          </w:tcPr>
          <w:p>
            <w:pPr>
              <w:jc w:val="center"/>
              <w:ind w:left="1070"/>
              <w:spacing w:after="0"/>
              <w:rPr>
                <w:sz w:val="20"/>
                <w:szCs w:val="20"/>
                <w:color w:val="auto"/>
              </w:rPr>
            </w:pPr>
            <w:r>
              <w:rPr>
                <w:rFonts w:ascii="Times New Roman" w:cs="Times New Roman" w:eastAsia="Times New Roman" w:hAnsi="Times New Roman"/>
                <w:sz w:val="18"/>
                <w:szCs w:val="18"/>
                <w:color w:val="auto"/>
              </w:rPr>
              <w:t>November 25, 2033</w:t>
            </w:r>
          </w:p>
        </w:tc>
      </w:tr>
      <w:tr>
        <w:trPr>
          <w:trHeight w:val="216"/>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c>
          <w:tcPr>
            <w:tcW w:w="1180" w:type="dxa"/>
            <w:vAlign w:val="bottom"/>
          </w:tcPr>
          <w:p>
            <w:pPr>
              <w:spacing w:after="0"/>
              <w:rPr>
                <w:sz w:val="18"/>
                <w:szCs w:val="18"/>
                <w:color w:val="auto"/>
              </w:rPr>
            </w:pPr>
          </w:p>
        </w:tc>
        <w:tc>
          <w:tcPr>
            <w:tcW w:w="2560" w:type="dxa"/>
            <w:vAlign w:val="bottom"/>
            <w:gridSpan w:val="2"/>
          </w:tcPr>
          <w:p>
            <w:pPr>
              <w:jc w:val="center"/>
              <w:ind w:left="1070"/>
              <w:spacing w:after="0"/>
              <w:rPr>
                <w:sz w:val="20"/>
                <w:szCs w:val="20"/>
                <w:color w:val="auto"/>
              </w:rPr>
            </w:pPr>
            <w:r>
              <w:rPr>
                <w:rFonts w:ascii="Times New Roman" w:cs="Times New Roman" w:eastAsia="Times New Roman" w:hAnsi="Times New Roman"/>
                <w:sz w:val="18"/>
                <w:szCs w:val="18"/>
                <w:color w:val="auto"/>
                <w:w w:val="99"/>
              </w:rPr>
              <w:t>[____]</w:t>
            </w:r>
          </w:p>
        </w:tc>
        <w:tc>
          <w:tcPr>
            <w:tcW w:w="1160" w:type="dxa"/>
            <w:vAlign w:val="bottom"/>
          </w:tcPr>
          <w:p>
            <w:pPr>
              <w:spacing w:after="0"/>
              <w:rPr>
                <w:sz w:val="18"/>
                <w:szCs w:val="18"/>
                <w:color w:val="auto"/>
              </w:rPr>
            </w:pPr>
          </w:p>
        </w:tc>
        <w:tc>
          <w:tcPr>
            <w:tcW w:w="2600" w:type="dxa"/>
            <w:vAlign w:val="bottom"/>
            <w:gridSpan w:val="3"/>
          </w:tcPr>
          <w:p>
            <w:pPr>
              <w:jc w:val="center"/>
              <w:ind w:left="1070"/>
              <w:spacing w:after="0"/>
              <w:rPr>
                <w:sz w:val="20"/>
                <w:szCs w:val="20"/>
                <w:color w:val="auto"/>
              </w:rPr>
            </w:pPr>
            <w:r>
              <w:rPr>
                <w:rFonts w:ascii="Times New Roman" w:cs="Times New Roman" w:eastAsia="Times New Roman" w:hAnsi="Times New Roman"/>
                <w:sz w:val="18"/>
                <w:szCs w:val="18"/>
                <w:color w:val="auto"/>
              </w:rPr>
              <w:t>November 28, 2033</w:t>
            </w:r>
          </w:p>
        </w:tc>
      </w:tr>
      <w:tr>
        <w:trPr>
          <w:trHeight w:val="234"/>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1180" w:type="dxa"/>
            <w:vAlign w:val="bottom"/>
          </w:tcPr>
          <w:p>
            <w:pPr>
              <w:spacing w:after="0"/>
              <w:rPr>
                <w:sz w:val="20"/>
                <w:szCs w:val="20"/>
                <w:color w:val="auto"/>
              </w:rPr>
            </w:pPr>
          </w:p>
        </w:tc>
        <w:tc>
          <w:tcPr>
            <w:tcW w:w="2560" w:type="dxa"/>
            <w:vAlign w:val="bottom"/>
            <w:gridSpan w:val="2"/>
          </w:tcPr>
          <w:p>
            <w:pPr>
              <w:jc w:val="center"/>
              <w:ind w:left="1070"/>
              <w:spacing w:after="0"/>
              <w:rPr>
                <w:sz w:val="20"/>
                <w:szCs w:val="20"/>
                <w:color w:val="auto"/>
              </w:rPr>
            </w:pPr>
            <w:r>
              <w:rPr>
                <w:rFonts w:ascii="Times New Roman" w:cs="Times New Roman" w:eastAsia="Times New Roman" w:hAnsi="Times New Roman"/>
                <w:sz w:val="18"/>
                <w:szCs w:val="18"/>
                <w:color w:val="auto"/>
                <w:w w:val="99"/>
              </w:rPr>
              <w:t>[____]</w:t>
            </w:r>
          </w:p>
        </w:tc>
        <w:tc>
          <w:tcPr>
            <w:tcW w:w="1160" w:type="dxa"/>
            <w:vAlign w:val="bottom"/>
          </w:tcPr>
          <w:p>
            <w:pPr>
              <w:spacing w:after="0"/>
              <w:rPr>
                <w:sz w:val="20"/>
                <w:szCs w:val="20"/>
                <w:color w:val="auto"/>
              </w:rPr>
            </w:pPr>
          </w:p>
        </w:tc>
        <w:tc>
          <w:tcPr>
            <w:tcW w:w="2600" w:type="dxa"/>
            <w:vAlign w:val="bottom"/>
            <w:gridSpan w:val="3"/>
          </w:tcPr>
          <w:p>
            <w:pPr>
              <w:jc w:val="center"/>
              <w:ind w:left="1070"/>
              <w:spacing w:after="0"/>
              <w:rPr>
                <w:sz w:val="20"/>
                <w:szCs w:val="20"/>
                <w:color w:val="auto"/>
              </w:rPr>
            </w:pPr>
            <w:r>
              <w:rPr>
                <w:rFonts w:ascii="Times New Roman" w:cs="Times New Roman" w:eastAsia="Times New Roman" w:hAnsi="Times New Roman"/>
                <w:sz w:val="18"/>
                <w:szCs w:val="18"/>
                <w:color w:val="auto"/>
              </w:rPr>
              <w:t>November 29, 2033</w:t>
            </w:r>
          </w:p>
        </w:tc>
      </w:tr>
    </w:tbl>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Annex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8"/>
          <w:szCs w:val="18"/>
          <w:b w:val="1"/>
          <w:bCs w:val="1"/>
          <w:color w:val="003551"/>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431165</wp:posOffset>
            </wp:positionV>
            <wp:extent cx="4937760" cy="43688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93776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003551"/>
        </w:rPr>
        <w:t>IREN Closes $3.0 Billion Convertible Notes Offering</w:t>
      </w:r>
    </w:p>
    <w:p>
      <w:pPr>
        <w:spacing w:after="0" w:line="341"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9"/>
          <w:szCs w:val="19"/>
          <w:color w:val="003551"/>
        </w:rPr>
        <w:t>NEW YORK, May 14, 2026 (GLOBE NEWSWIRE) – IREN Limited (NASDAQ: IREN) (“IREN”) today announced the closing of its offering of $3.0 billion aggregate principal amount of 1.00% convertible senior notes due 2033 (the “notes”) in a private offering to persons reasonably believed to be qualified institutional buyers pursuant to Rule 144A under the Securities Act of 1933, as amended (the “Securities Act”).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3551"/>
        </w:rPr>
        <w:t>Key details of the transaction</w:t>
      </w:r>
    </w:p>
    <w:p>
      <w:pPr>
        <w:spacing w:after="0" w:line="121" w:lineRule="exact"/>
        <w:rPr>
          <w:sz w:val="20"/>
          <w:szCs w:val="20"/>
          <w:color w:val="auto"/>
        </w:rPr>
      </w:pPr>
    </w:p>
    <w:p>
      <w:pPr>
        <w:ind w:left="660" w:hanging="328"/>
        <w:spacing w:after="0"/>
        <w:tabs>
          <w:tab w:leader="none" w:pos="660" w:val="left"/>
        </w:tabs>
        <w:numPr>
          <w:ilvl w:val="0"/>
          <w:numId w:val="194"/>
        </w:numPr>
        <w:rPr>
          <w:rFonts w:ascii="Times New Roman" w:cs="Times New Roman" w:eastAsia="Times New Roman" w:hAnsi="Times New Roman"/>
          <w:sz w:val="18"/>
          <w:szCs w:val="18"/>
          <w:color w:val="003551"/>
        </w:rPr>
      </w:pPr>
      <w:r>
        <w:rPr>
          <w:rFonts w:ascii="Times New Roman" w:cs="Times New Roman" w:eastAsia="Times New Roman" w:hAnsi="Times New Roman"/>
          <w:sz w:val="18"/>
          <w:szCs w:val="18"/>
          <w:color w:val="003551"/>
        </w:rPr>
        <w:t>$2.6 billion offering, plus fully exercised $400 million greenshoe</w:t>
      </w:r>
    </w:p>
    <w:p>
      <w:pPr>
        <w:spacing w:after="0" w:line="117" w:lineRule="exact"/>
        <w:rPr>
          <w:rFonts w:ascii="Times New Roman" w:cs="Times New Roman" w:eastAsia="Times New Roman" w:hAnsi="Times New Roman"/>
          <w:sz w:val="18"/>
          <w:szCs w:val="18"/>
          <w:color w:val="003551"/>
        </w:rPr>
      </w:pPr>
    </w:p>
    <w:p>
      <w:pPr>
        <w:ind w:left="660" w:hanging="328"/>
        <w:spacing w:after="0"/>
        <w:tabs>
          <w:tab w:leader="none" w:pos="660" w:val="left"/>
        </w:tabs>
        <w:numPr>
          <w:ilvl w:val="0"/>
          <w:numId w:val="194"/>
        </w:numPr>
        <w:rPr>
          <w:rFonts w:ascii="Times New Roman" w:cs="Times New Roman" w:eastAsia="Times New Roman" w:hAnsi="Times New Roman"/>
          <w:sz w:val="18"/>
          <w:szCs w:val="18"/>
          <w:color w:val="003551"/>
        </w:rPr>
      </w:pPr>
      <w:r>
        <w:rPr>
          <w:rFonts w:ascii="Times New Roman" w:cs="Times New Roman" w:eastAsia="Times New Roman" w:hAnsi="Times New Roman"/>
          <w:sz w:val="18"/>
          <w:szCs w:val="18"/>
          <w:color w:val="003551"/>
        </w:rPr>
        <w:t>Net proceeds of approximately $2.96 billion</w:t>
      </w:r>
    </w:p>
    <w:p>
      <w:pPr>
        <w:spacing w:after="0" w:line="117" w:lineRule="exact"/>
        <w:rPr>
          <w:rFonts w:ascii="Times New Roman" w:cs="Times New Roman" w:eastAsia="Times New Roman" w:hAnsi="Times New Roman"/>
          <w:sz w:val="18"/>
          <w:szCs w:val="18"/>
          <w:color w:val="003551"/>
        </w:rPr>
      </w:pPr>
    </w:p>
    <w:p>
      <w:pPr>
        <w:ind w:left="660" w:hanging="328"/>
        <w:spacing w:after="0"/>
        <w:tabs>
          <w:tab w:leader="none" w:pos="660" w:val="left"/>
        </w:tabs>
        <w:numPr>
          <w:ilvl w:val="0"/>
          <w:numId w:val="194"/>
        </w:numPr>
        <w:rPr>
          <w:rFonts w:ascii="Times New Roman" w:cs="Times New Roman" w:eastAsia="Times New Roman" w:hAnsi="Times New Roman"/>
          <w:sz w:val="18"/>
          <w:szCs w:val="18"/>
          <w:color w:val="003551"/>
        </w:rPr>
      </w:pPr>
      <w:r>
        <w:rPr>
          <w:rFonts w:ascii="Times New Roman" w:cs="Times New Roman" w:eastAsia="Times New Roman" w:hAnsi="Times New Roman"/>
          <w:sz w:val="18"/>
          <w:szCs w:val="18"/>
          <w:color w:val="003551"/>
        </w:rPr>
        <w:t>1.00% coupon, 32.5% conversion premium</w:t>
      </w:r>
    </w:p>
    <w:p>
      <w:pPr>
        <w:spacing w:after="0" w:line="117" w:lineRule="exact"/>
        <w:rPr>
          <w:rFonts w:ascii="Times New Roman" w:cs="Times New Roman" w:eastAsia="Times New Roman" w:hAnsi="Times New Roman"/>
          <w:sz w:val="18"/>
          <w:szCs w:val="18"/>
          <w:color w:val="003551"/>
        </w:rPr>
      </w:pPr>
    </w:p>
    <w:p>
      <w:pPr>
        <w:ind w:left="660" w:hanging="328"/>
        <w:spacing w:after="0"/>
        <w:tabs>
          <w:tab w:leader="none" w:pos="660" w:val="left"/>
        </w:tabs>
        <w:numPr>
          <w:ilvl w:val="0"/>
          <w:numId w:val="194"/>
        </w:numPr>
        <w:rPr>
          <w:rFonts w:ascii="Times New Roman" w:cs="Times New Roman" w:eastAsia="Times New Roman" w:hAnsi="Times New Roman"/>
          <w:sz w:val="18"/>
          <w:szCs w:val="18"/>
          <w:color w:val="003551"/>
        </w:rPr>
      </w:pPr>
      <w:r>
        <w:rPr>
          <w:rFonts w:ascii="Times New Roman" w:cs="Times New Roman" w:eastAsia="Times New Roman" w:hAnsi="Times New Roman"/>
          <w:sz w:val="18"/>
          <w:szCs w:val="18"/>
          <w:color w:val="003551"/>
        </w:rPr>
        <w:t>No put option for investors in the notes (other than a customary put right in the case of certain fundamental changes)</w:t>
      </w:r>
    </w:p>
    <w:p>
      <w:pPr>
        <w:spacing w:after="0" w:line="117" w:lineRule="exact"/>
        <w:rPr>
          <w:rFonts w:ascii="Times New Roman" w:cs="Times New Roman" w:eastAsia="Times New Roman" w:hAnsi="Times New Roman"/>
          <w:sz w:val="18"/>
          <w:szCs w:val="18"/>
          <w:color w:val="003551"/>
        </w:rPr>
      </w:pPr>
    </w:p>
    <w:p>
      <w:pPr>
        <w:ind w:left="660" w:right="340" w:hanging="328"/>
        <w:spacing w:after="0" w:line="282" w:lineRule="auto"/>
        <w:tabs>
          <w:tab w:leader="none" w:pos="660" w:val="left"/>
        </w:tabs>
        <w:numPr>
          <w:ilvl w:val="0"/>
          <w:numId w:val="194"/>
        </w:numPr>
        <w:rPr>
          <w:rFonts w:ascii="Times New Roman" w:cs="Times New Roman" w:eastAsia="Times New Roman" w:hAnsi="Times New Roman"/>
          <w:sz w:val="18"/>
          <w:szCs w:val="18"/>
          <w:color w:val="003551"/>
        </w:rPr>
      </w:pPr>
      <w:r>
        <w:rPr>
          <w:rFonts w:ascii="Times New Roman" w:cs="Times New Roman" w:eastAsia="Times New Roman" w:hAnsi="Times New Roman"/>
          <w:sz w:val="18"/>
          <w:szCs w:val="18"/>
          <w:color w:val="003551"/>
        </w:rPr>
        <w:t>Capped call transactions entered into in connection with the notes, which are generally expected to provide a hedge upon conversions up to an initial cap price of $110.30 per share, which represents a 100% premium (as compared to the 32.5% conversion premium under the notes)</w:t>
      </w:r>
    </w:p>
    <w:p>
      <w:pPr>
        <w:spacing w:after="0" w:line="53" w:lineRule="exact"/>
        <w:rPr>
          <w:rFonts w:ascii="Times New Roman" w:cs="Times New Roman" w:eastAsia="Times New Roman" w:hAnsi="Times New Roman"/>
          <w:sz w:val="18"/>
          <w:szCs w:val="18"/>
          <w:color w:val="003551"/>
        </w:rPr>
      </w:pPr>
    </w:p>
    <w:p>
      <w:pPr>
        <w:ind w:left="660" w:right="240" w:hanging="328"/>
        <w:spacing w:after="0" w:line="282" w:lineRule="auto"/>
        <w:tabs>
          <w:tab w:leader="none" w:pos="660" w:val="left"/>
        </w:tabs>
        <w:numPr>
          <w:ilvl w:val="0"/>
          <w:numId w:val="194"/>
        </w:numPr>
        <w:rPr>
          <w:rFonts w:ascii="Times New Roman" w:cs="Times New Roman" w:eastAsia="Times New Roman" w:hAnsi="Times New Roman"/>
          <w:sz w:val="18"/>
          <w:szCs w:val="18"/>
          <w:color w:val="003551"/>
        </w:rPr>
      </w:pPr>
      <w:r>
        <w:rPr>
          <w:rFonts w:ascii="Times New Roman" w:cs="Times New Roman" w:eastAsia="Times New Roman" w:hAnsi="Times New Roman"/>
          <w:sz w:val="18"/>
          <w:szCs w:val="18"/>
          <w:color w:val="003551"/>
        </w:rPr>
        <w:t>J.P. Morgan Securities LLC, Goldman Sachs &amp; Co. LLC, Citigroup Global Markets Inc., Jefferies LLC, MUFG Securities Americas Inc., Wells Fargo Securities, LLC and Cantor Fitzgerald &amp; Co. acted as bookrunners</w:t>
      </w:r>
    </w:p>
    <w:p>
      <w:pPr>
        <w:spacing w:after="0" w:line="53" w:lineRule="exact"/>
        <w:rPr>
          <w:rFonts w:ascii="Times New Roman" w:cs="Times New Roman" w:eastAsia="Times New Roman" w:hAnsi="Times New Roman"/>
          <w:sz w:val="18"/>
          <w:szCs w:val="18"/>
          <w:color w:val="003551"/>
        </w:rPr>
      </w:pPr>
    </w:p>
    <w:p>
      <w:pPr>
        <w:ind w:left="660" w:right="100" w:hanging="328"/>
        <w:spacing w:after="0" w:line="282" w:lineRule="auto"/>
        <w:tabs>
          <w:tab w:leader="none" w:pos="660" w:val="left"/>
        </w:tabs>
        <w:numPr>
          <w:ilvl w:val="0"/>
          <w:numId w:val="194"/>
        </w:numPr>
        <w:rPr>
          <w:rFonts w:ascii="Times New Roman" w:cs="Times New Roman" w:eastAsia="Times New Roman" w:hAnsi="Times New Roman"/>
          <w:sz w:val="18"/>
          <w:szCs w:val="18"/>
          <w:color w:val="003551"/>
        </w:rPr>
      </w:pPr>
      <w:r>
        <w:rPr>
          <w:rFonts w:ascii="Times New Roman" w:cs="Times New Roman" w:eastAsia="Times New Roman" w:hAnsi="Times New Roman"/>
          <w:sz w:val="18"/>
          <w:szCs w:val="18"/>
          <w:color w:val="003551"/>
        </w:rPr>
        <w:t>BBVA Securities Inc., Credit Agricole Securities (USA) Inc., BTIG, LLC, Canaccord Genuity LLC, Macquarie Capital (USA) Inc. and Moelis &amp; Company LLC acted as co-managers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3551"/>
        </w:rPr>
        <w:t>Use of proceeds</w:t>
      </w:r>
    </w:p>
    <w:p>
      <w:pPr>
        <w:spacing w:after="0" w:line="121"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003551"/>
        </w:rPr>
        <w:t>The net proceeds from the offering are approximately $2.96 billion, after deducting the initial purchasers’ discounts and commissions and IREN’s estimated offering expenses.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3551"/>
        </w:rPr>
        <w:t>IREN intends to use the net proceeds as follows:</w:t>
      </w:r>
    </w:p>
    <w:p>
      <w:pPr>
        <w:spacing w:after="0" w:line="117" w:lineRule="exact"/>
        <w:rPr>
          <w:sz w:val="20"/>
          <w:szCs w:val="20"/>
          <w:color w:val="auto"/>
        </w:rPr>
      </w:pPr>
    </w:p>
    <w:p>
      <w:pPr>
        <w:ind w:left="660" w:hanging="328"/>
        <w:spacing w:after="0"/>
        <w:tabs>
          <w:tab w:leader="none" w:pos="660" w:val="left"/>
        </w:tabs>
        <w:numPr>
          <w:ilvl w:val="0"/>
          <w:numId w:val="195"/>
        </w:numPr>
        <w:rPr>
          <w:rFonts w:ascii="Times New Roman" w:cs="Times New Roman" w:eastAsia="Times New Roman" w:hAnsi="Times New Roman"/>
          <w:sz w:val="18"/>
          <w:szCs w:val="18"/>
          <w:color w:val="003551"/>
        </w:rPr>
      </w:pPr>
      <w:r>
        <w:rPr>
          <w:rFonts w:ascii="Times New Roman" w:cs="Times New Roman" w:eastAsia="Times New Roman" w:hAnsi="Times New Roman"/>
          <w:sz w:val="18"/>
          <w:szCs w:val="18"/>
          <w:color w:val="003551"/>
        </w:rPr>
        <w:t>$201.3 million to fund the cost of the capped call transactions (described below)</w:t>
      </w:r>
    </w:p>
    <w:p>
      <w:pPr>
        <w:spacing w:after="0" w:line="117" w:lineRule="exact"/>
        <w:rPr>
          <w:rFonts w:ascii="Times New Roman" w:cs="Times New Roman" w:eastAsia="Times New Roman" w:hAnsi="Times New Roman"/>
          <w:sz w:val="18"/>
          <w:szCs w:val="18"/>
          <w:color w:val="003551"/>
        </w:rPr>
      </w:pPr>
    </w:p>
    <w:p>
      <w:pPr>
        <w:ind w:left="660" w:hanging="328"/>
        <w:spacing w:after="0"/>
        <w:tabs>
          <w:tab w:leader="none" w:pos="660" w:val="left"/>
        </w:tabs>
        <w:numPr>
          <w:ilvl w:val="0"/>
          <w:numId w:val="195"/>
        </w:numPr>
        <w:rPr>
          <w:rFonts w:ascii="Times New Roman" w:cs="Times New Roman" w:eastAsia="Times New Roman" w:hAnsi="Times New Roman"/>
          <w:sz w:val="18"/>
          <w:szCs w:val="18"/>
          <w:color w:val="003551"/>
        </w:rPr>
      </w:pPr>
      <w:r>
        <w:rPr>
          <w:rFonts w:ascii="Times New Roman" w:cs="Times New Roman" w:eastAsia="Times New Roman" w:hAnsi="Times New Roman"/>
          <w:sz w:val="18"/>
          <w:szCs w:val="18"/>
          <w:color w:val="003551"/>
        </w:rPr>
        <w:t>General corporate purposes and working capital</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3551"/>
        </w:rPr>
        <w:t>Capped call transactions</w:t>
      </w:r>
    </w:p>
    <w:p>
      <w:pPr>
        <w:spacing w:after="0" w:line="121"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7"/>
          <w:szCs w:val="17"/>
          <w:color w:val="003551"/>
        </w:rPr>
        <w:t>In connection with the pricing of the notes and the exercise by the initial purchasers of their option to purchase additional notes, IREN entered into privately negotiated capped call transactions with certain of the initial purchasers or their affiliates and certain other financial institutions (the “option counterparties”). The capped call transactions cover, subject to anti-dilution adjustments, the number of ordinary shares of IREN that initially underlie the notes. The cap price of the capped call transactions is initially $110.30 per share, which represents a premium of 100% over the last reported sale price of IREN’s ordinary shares of $55.15 per share on May 11, 2026, and is subject to certain adjustments under the terms of the capped call transactions.</w:t>
      </w:r>
    </w:p>
    <w:p>
      <w:pPr>
        <w:spacing w:after="0" w:line="6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003551"/>
        </w:rPr>
        <w:t>The capped call transactions are expected generally to reduce the potential dilution to IREN’s ordinary shares upon any conversion of the notes and/or offset any potential cash payments IREN is required to make in excess of the principal amount of converted notes, as the case may be, with such offset and/or reduction subject to a cap price. If, however, the market price per ordinary share of IREN, as measured under the terms of the capped call transactions, exceeds the cap price of the capped call transactions, there would nevertheless be dilution and/or there would not be an offset of such potential cash payments, in each case, to the extent that such market price exceeds the cap price of the capped call transactions. The capped call transactions will be solely cash settled unless certain conditions are satisfied.</w:t>
      </w:r>
    </w:p>
    <w:p>
      <w:pPr>
        <w:spacing w:after="0" w:line="3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003551"/>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color w:val="003551"/>
        </w:rPr>
        <w:drawing>
          <wp:anchor simplePos="0" relativeHeight="251657728" behindDoc="1" locked="0" layoutInCell="0" allowOverlap="1">
            <wp:simplePos x="0" y="0"/>
            <wp:positionH relativeFrom="page">
              <wp:posOffset>1305560</wp:posOffset>
            </wp:positionH>
            <wp:positionV relativeFrom="page">
              <wp:posOffset>88900</wp:posOffset>
            </wp:positionV>
            <wp:extent cx="4937760" cy="43688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clrChange>
                        <a:clrFrom>
                          <a:srgbClr val="FFFFFF"/>
                        </a:clrFrom>
                        <a:clrTo>
                          <a:srgbClr val="FFFFFF">
                            <a:alpha val="0"/>
                          </a:srgbClr>
                        </a:clrTo>
                      </a:clrChange>
                      <a:extLst>
                        <a:ext uri="{28A0092B-C50C-407E-A947-70E740481C1C}"/>
                      </a:extLst>
                    </a:blip>
                    <a:srcRect/>
                    <a:stretch>
                      <a:fillRect/>
                    </a:stretch>
                  </pic:blipFill>
                  <pic:spPr bwMode="auto">
                    <a:xfrm>
                      <a:off x="0" y="0"/>
                      <a:ext cx="4937760" cy="436880"/>
                    </a:xfrm>
                    <a:prstGeom prst="rect">
                      <a:avLst/>
                    </a:prstGeom>
                    <a:noFill/>
                  </pic:spPr>
                </pic:pic>
              </a:graphicData>
            </a:graphic>
          </wp:anchor>
        </w:drawing>
        <w:t>Unwind of existing capped call transactions</w:t>
      </w:r>
    </w:p>
    <w:p>
      <w:pPr>
        <w:spacing w:after="0" w:line="121"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003551"/>
        </w:rPr>
        <w:t>In connection with the issuance of IREN’s 3.50% Convertible Senior Notes due 2029 (the “2029 notes”), IREN entered into capped call transactions (the “2029 capped call transactions”) with certain financial institutions (the “2029 option counterparties”). In November 2025, IREN entered into a transaction pursuant to which a portion of the 2029 notes were equitized (the “equitized 2029 notes”). Concurrently with the pricing of the notes, IREN entered into an agreement with one of the 2029 option counterparties to terminate a portion of the 2029 capped call transactions corresponding to a portion of the equitized 2029 notes.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3551"/>
        </w:rPr>
        <w:t>No registration</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003551"/>
        </w:rPr>
        <w:t>The notes were only offered and sold to persons reasonably believed to be qualified institutional buyers pursuant to Rule 144A under the Securities Act. The offer and sale of the notes and any of IREN’s ordinary shares issuable upon conversion of the notes have not been, and will not be, registered under the Securities Act or any other securities laws, and the notes and any such shares cannot be offered or sold except pursuant to an exemption from, or in a transaction not subject to, the registration requirements of the Securities Act and any other applicable securities laws.</w:t>
      </w:r>
    </w:p>
    <w:p>
      <w:pPr>
        <w:spacing w:after="0" w:line="72" w:lineRule="exact"/>
        <w:rPr>
          <w:sz w:val="20"/>
          <w:szCs w:val="20"/>
          <w:color w:val="auto"/>
        </w:rPr>
      </w:pPr>
    </w:p>
    <w:p>
      <w:pPr>
        <w:jc w:val="both"/>
        <w:ind w:right="640"/>
        <w:spacing w:after="0" w:line="266" w:lineRule="auto"/>
        <w:rPr>
          <w:sz w:val="20"/>
          <w:szCs w:val="20"/>
          <w:color w:val="auto"/>
        </w:rPr>
      </w:pPr>
      <w:r>
        <w:rPr>
          <w:rFonts w:ascii="Times New Roman" w:cs="Times New Roman" w:eastAsia="Times New Roman" w:hAnsi="Times New Roman"/>
          <w:sz w:val="18"/>
          <w:szCs w:val="18"/>
          <w:color w:val="003551"/>
        </w:rPr>
        <w:t>This press release does not constitute an offer to sell, or the solicitation of an offer to buy, the notes or any of IREN’s ordinary shares issuable upon conversion of the notes, nor will there be any sale of the notes or any such shares, in any state or other jurisdiction (including the United States and Australia) in which such offer, sale or solicitation would be unlawful.</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3551"/>
        </w:rPr>
        <w:t>About IREN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003551"/>
        </w:rPr>
        <w:t>IREN is a vertically integrated AI Cloud provider, delivering large-scale data centers and GPU clusters for AI training and inference. IREN’s platform is underpinned by its expansive portfolio of grid-connected land and power in renewable-rich regions across North America, Europe and APAC.</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3551"/>
        </w:rPr>
        <w:t>Contacts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3551"/>
        </w:rPr>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3551"/>
        </w:rPr>
        <w:t>ir@iren.com</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3551"/>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3551"/>
        </w:rPr>
        <w:t>media@iren.com</w:t>
      </w:r>
    </w:p>
    <w:p>
      <w:pPr>
        <w:spacing w:after="0" w:line="3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003551"/>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25"/>
          <w:szCs w:val="25"/>
          <w:color w:val="003551"/>
        </w:rPr>
        <w:drawing>
          <wp:anchor simplePos="0" relativeHeight="251657728" behindDoc="1" locked="0" layoutInCell="0" allowOverlap="1">
            <wp:simplePos x="0" y="0"/>
            <wp:positionH relativeFrom="page">
              <wp:posOffset>1305560</wp:posOffset>
            </wp:positionH>
            <wp:positionV relativeFrom="page">
              <wp:posOffset>88900</wp:posOffset>
            </wp:positionV>
            <wp:extent cx="4937760" cy="43688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clrChange>
                        <a:clrFrom>
                          <a:srgbClr val="FFFFFF"/>
                        </a:clrFrom>
                        <a:clrTo>
                          <a:srgbClr val="FFFFFF">
                            <a:alpha val="0"/>
                          </a:srgbClr>
                        </a:clrTo>
                      </a:clrChange>
                      <a:extLst>
                        <a:ext uri="{28A0092B-C50C-407E-A947-70E740481C1C}"/>
                      </a:extLst>
                    </a:blip>
                    <a:srcRect/>
                    <a:stretch>
                      <a:fillRect/>
                    </a:stretch>
                  </pic:blipFill>
                  <pic:spPr bwMode="auto">
                    <a:xfrm>
                      <a:off x="0" y="0"/>
                      <a:ext cx="4937760" cy="436880"/>
                    </a:xfrm>
                    <a:prstGeom prst="rect">
                      <a:avLst/>
                    </a:prstGeom>
                    <a:noFill/>
                  </pic:spPr>
                </pic:pic>
              </a:graphicData>
            </a:graphic>
          </wp:anchor>
        </w:drawing>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003551"/>
        </w:rPr>
        <w:t>This press release includes “forward-looking statements” within the meaning of Section 27A of the Securities Act of 1933, as amended, and Section 21E of the Securities Exchange Act of 1934, as amended, including statements regarding the offering and the intended use of the net proceeds. Forward-looking statements represent IREN’s current expectations, beliefs, and projections regarding future events and are subject to known and unknown uncertainties, risks, assumptions and contingencies, many of which are outside IREN’s control and that could cause actual results to differ materially from those described in or implied by the forward-looking statements. Among those risks and uncertainties are market conditions, risks relating to IREN’s business, including those described in periodic reports that IREN files from time to time with the SEC. IREN cannot provide any assurances regarding its ability to effectively apply the net proceeds after funding the cost of entering into the capped call transactions as described above. The forward-looking statements included in this press release speak only as of the date of this press release, and IREN does not undertake any obligation to update the forward-looking statements included in this press release for subsequent developments, except as may be required by law. For a further discussion of factors that could cause IREN’s future results to differ materially from any forward-looking statements, see the section entitled “Risk Factors” in IREN’s Annual Report on Form 10-K for the year ended June 30, 2025 and other risks described in documents filed by IREN from time to time with the Securities and Exchange Commission. </w:t>
      </w: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003551"/>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B8011C"/>
    <w:multiLevelType w:val="hybridMultilevel"/>
    <w:lvl w:ilvl="0">
      <w:lvlJc w:val="left"/>
      <w:lvlText w:val="☐"/>
      <w:numFmt w:val="bullet"/>
      <w:start w:val="1"/>
    </w:lvl>
  </w:abstractNum>
  <w:abstractNum w:abstractNumId="1">
    <w:nsid w:val="6AA78F7F"/>
    <w:multiLevelType w:val="hybridMultilevel"/>
    <w:lvl w:ilvl="0">
      <w:lvlJc w:val="left"/>
      <w:lvlText w:val="="/>
      <w:numFmt w:val="bullet"/>
      <w:start w:val="1"/>
    </w:lvl>
  </w:abstractNum>
  <w:abstractNum w:abstractNumId="2">
    <w:nsid w:val="7672BD23"/>
    <w:multiLevelType w:val="hybridMultilevel"/>
    <w:lvl w:ilvl="0">
      <w:lvlJc w:val="left"/>
      <w:lvlText w:val="(%1)"/>
      <w:numFmt w:val="upperLetter"/>
      <w:start w:val="1"/>
    </w:lvl>
    <w:lvl w:ilvl="1">
      <w:lvlJc w:val="left"/>
      <w:lvlText w:val="-"/>
      <w:numFmt w:val="bullet"/>
      <w:start w:val="1"/>
    </w:lvl>
  </w:abstractNum>
  <w:abstractNum w:abstractNumId="3">
    <w:nsid w:val="6FC75AF8"/>
    <w:multiLevelType w:val="hybridMultilevel"/>
    <w:lvl w:ilvl="0">
      <w:lvlJc w:val="left"/>
      <w:lvlText w:val="(%1)"/>
      <w:numFmt w:val="upperLetter"/>
      <w:start w:val="2"/>
    </w:lvl>
  </w:abstractNum>
  <w:abstractNum w:abstractNumId="4">
    <w:nsid w:val="6A5F7029"/>
    <w:multiLevelType w:val="hybridMultilevel"/>
    <w:lvl w:ilvl="0">
      <w:lvlJc w:val="left"/>
      <w:lvlText w:val="(%1)"/>
      <w:numFmt w:val="lowerLetter"/>
      <w:start w:val="25"/>
    </w:lvl>
  </w:abstractNum>
  <w:abstractNum w:abstractNumId="5">
    <w:nsid w:val="7D5E18F8"/>
    <w:multiLevelType w:val="hybridMultilevel"/>
    <w:lvl w:ilvl="0">
      <w:lvlJc w:val="left"/>
      <w:lvlText w:val="(%1)"/>
      <w:numFmt w:val="upperLetter"/>
      <w:start w:val="4"/>
    </w:lvl>
  </w:abstractNum>
  <w:abstractNum w:abstractNumId="6">
    <w:nsid w:val="5F3534A4"/>
    <w:multiLevelType w:val="hybridMultilevel"/>
    <w:lvl w:ilvl="0">
      <w:lvlJc w:val="left"/>
      <w:lvlText w:val="(%1)"/>
      <w:numFmt w:val="upperLetter"/>
      <w:start w:val="1"/>
    </w:lvl>
  </w:abstractNum>
  <w:abstractNum w:abstractNumId="7">
    <w:nsid w:val="73A1821B"/>
    <w:multiLevelType w:val="hybridMultilevel"/>
    <w:lvl w:ilvl="0">
      <w:lvlJc w:val="left"/>
      <w:lvlText w:val="(%1)"/>
      <w:numFmt w:val="upperLetter"/>
      <w:start w:val="1"/>
    </w:lvl>
    <w:lvl w:ilvl="1">
      <w:lvlJc w:val="left"/>
      <w:lvlText w:val="-"/>
      <w:numFmt w:val="bullet"/>
      <w:start w:val="1"/>
    </w:lvl>
  </w:abstractNum>
  <w:abstractNum w:abstractNumId="8">
    <w:nsid w:val="7DE67713"/>
    <w:multiLevelType w:val="hybridMultilevel"/>
    <w:lvl w:ilvl="0">
      <w:lvlJc w:val="left"/>
      <w:lvlText w:val="(%1)"/>
      <w:numFmt w:val="upperLetter"/>
      <w:start w:val="1"/>
    </w:lvl>
    <w:lvl w:ilvl="1">
      <w:lvlJc w:val="left"/>
      <w:lvlText w:val="-"/>
      <w:numFmt w:val="bullet"/>
      <w:start w:val="1"/>
    </w:lvl>
  </w:abstractNum>
  <w:abstractNum w:abstractNumId="9">
    <w:nsid w:val="555C55B5"/>
    <w:multiLevelType w:val="hybridMultilevel"/>
    <w:lvl w:ilvl="0">
      <w:lvlJc w:val="left"/>
      <w:lvlText w:val="(%1)"/>
      <w:numFmt w:val="upperLetter"/>
      <w:start w:val="6"/>
    </w:lvl>
  </w:abstractNum>
  <w:abstractNum w:abstractNumId="10">
    <w:nsid w:val="3FA62ACA"/>
    <w:multiLevelType w:val="hybridMultilevel"/>
    <w:lvl w:ilvl="0">
      <w:lvlJc w:val="left"/>
      <w:lvlText w:val="(%1)"/>
      <w:numFmt w:val="upperLetter"/>
      <w:start w:val="1"/>
    </w:lvl>
    <w:lvl w:ilvl="1">
      <w:lvlJc w:val="left"/>
      <w:lvlText w:val="(%2)"/>
      <w:numFmt w:val="lowerRoman"/>
      <w:start w:val="1"/>
    </w:lvl>
  </w:abstractNum>
  <w:abstractNum w:abstractNumId="11">
    <w:nsid w:val="14FCE74E"/>
    <w:multiLevelType w:val="hybridMultilevel"/>
    <w:lvl w:ilvl="0">
      <w:lvlJc w:val="left"/>
      <w:lvlText w:val="(%1)"/>
      <w:numFmt w:val="upperLetter"/>
      <w:start w:val="1"/>
    </w:lvl>
    <w:lvl w:ilvl="1">
      <w:lvlJc w:val="left"/>
      <w:lvlText w:val="-"/>
      <w:numFmt w:val="bullet"/>
      <w:start w:val="1"/>
    </w:lvl>
  </w:abstractNum>
  <w:abstractNum w:abstractNumId="12">
    <w:nsid w:val="6A3DD3E8"/>
    <w:multiLevelType w:val="hybridMultilevel"/>
    <w:lvl w:ilvl="0">
      <w:lvlJc w:val="left"/>
      <w:lvlText w:val="(%1)"/>
      <w:numFmt w:val="upperLetter"/>
      <w:start w:val="1"/>
    </w:lvl>
  </w:abstractNum>
  <w:abstractNum w:abstractNumId="13">
    <w:nsid w:val="71C91298"/>
    <w:multiLevelType w:val="hybridMultilevel"/>
    <w:lvl w:ilvl="0">
      <w:lvlJc w:val="left"/>
      <w:lvlText w:val="(%1)"/>
      <w:numFmt w:val="upperLetter"/>
      <w:start w:val="1"/>
    </w:lvl>
    <w:lvl w:ilvl="1">
      <w:lvlJc w:val="left"/>
      <w:lvlText w:val="-"/>
      <w:numFmt w:val="bullet"/>
      <w:start w:val="1"/>
    </w:lvl>
  </w:abstractNum>
  <w:abstractNum w:abstractNumId="14">
    <w:nsid w:val="9DAF632"/>
    <w:multiLevelType w:val="hybridMultilevel"/>
    <w:lvl w:ilvl="0">
      <w:lvlJc w:val="left"/>
      <w:lvlText w:val="(%1)"/>
      <w:numFmt w:val="upperLetter"/>
      <w:start w:val="2"/>
    </w:lvl>
  </w:abstractNum>
  <w:abstractNum w:abstractNumId="15">
    <w:nsid w:val="53299938"/>
    <w:multiLevelType w:val="hybridMultilevel"/>
    <w:lvl w:ilvl="0">
      <w:lvlJc w:val="left"/>
      <w:lvlText w:val="(%1)"/>
      <w:numFmt w:val="upperLetter"/>
      <w:start w:val="1"/>
    </w:lvl>
    <w:lvl w:ilvl="1">
      <w:lvlJc w:val="left"/>
      <w:lvlText w:val="-"/>
      <w:numFmt w:val="bullet"/>
      <w:start w:val="1"/>
    </w:lvl>
  </w:abstractNum>
  <w:abstractNum w:abstractNumId="16">
    <w:nsid w:val="1FBFE8E0"/>
    <w:multiLevelType w:val="hybridMultilevel"/>
    <w:lvl w:ilvl="0">
      <w:lvlJc w:val="left"/>
      <w:lvlText w:val="(%1)"/>
      <w:numFmt w:val="upperLetter"/>
      <w:start w:val="2"/>
    </w:lvl>
  </w:abstractNum>
  <w:abstractNum w:abstractNumId="17">
    <w:nsid w:val="5092CA79"/>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18">
    <w:nsid w:val="1D545C4D"/>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19">
    <w:nsid w:val="59ADEA3D"/>
    <w:multiLevelType w:val="hybridMultilevel"/>
    <w:lvl w:ilvl="0">
      <w:lvlJc w:val="left"/>
      <w:lvlText w:val="%1"/>
      <w:numFmt w:val="upperLetter"/>
      <w:start w:val="1"/>
    </w:lvl>
    <w:lvl w:ilvl="1">
      <w:lvlJc w:val="left"/>
      <w:lvlText w:val="(%2)"/>
      <w:numFmt w:val="lowerRoman"/>
      <w:start w:val="8"/>
    </w:lvl>
    <w:lvl w:ilvl="2">
      <w:lvlJc w:val="left"/>
      <w:lvlText w:val="%3"/>
      <w:numFmt w:val="decimal"/>
      <w:start w:val="1"/>
    </w:lvl>
    <w:lvl w:ilvl="3">
      <w:lvlJc w:val="left"/>
      <w:lvlText w:val="-"/>
      <w:numFmt w:val="bullet"/>
      <w:start w:val="1"/>
    </w:lvl>
  </w:abstractNum>
  <w:abstractNum w:abstractNumId="20">
    <w:nsid w:val="288F1A34"/>
    <w:multiLevelType w:val="hybridMultilevel"/>
    <w:lvl w:ilvl="0">
      <w:lvlJc w:val="left"/>
      <w:lvlText w:val="(%1)"/>
      <w:numFmt w:val="upperLetter"/>
      <w:start w:val="2"/>
    </w:lvl>
    <w:lvl w:ilvl="1">
      <w:lvlJc w:val="left"/>
      <w:lvlText w:val="(%2)"/>
      <w:numFmt w:val="lowerRoman"/>
      <w:start w:val="1"/>
    </w:lvl>
    <w:lvl w:ilvl="2">
      <w:lvlJc w:val="left"/>
      <w:lvlText w:val="(%3)"/>
      <w:numFmt w:val="decimal"/>
      <w:start w:val="1"/>
    </w:lvl>
    <w:lvl w:ilvl="3">
      <w:lvlJc w:val="left"/>
      <w:lvlText w:val="-"/>
      <w:numFmt w:val="bullet"/>
      <w:start w:val="1"/>
    </w:lvl>
  </w:abstractNum>
  <w:abstractNum w:abstractNumId="21">
    <w:nsid w:val="2A155DBC"/>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3"/>
    </w:lvl>
    <w:lvl w:ilvl="3">
      <w:lvlJc w:val="left"/>
      <w:lvlText w:val="-"/>
      <w:numFmt w:val="bullet"/>
      <w:start w:val="1"/>
    </w:lvl>
  </w:abstractNum>
  <w:abstractNum w:abstractNumId="22">
    <w:nsid w:val="1D9F6E5F"/>
    <w:multiLevelType w:val="hybridMultilevel"/>
    <w:lvl w:ilvl="0">
      <w:lvlJc w:val="left"/>
      <w:lvlText w:val="%1"/>
      <w:numFmt w:val="upperLetter"/>
      <w:start w:val="1"/>
    </w:lvl>
    <w:lvl w:ilvl="1">
      <w:lvlJc w:val="left"/>
      <w:lvlText w:val="(%2)"/>
      <w:numFmt w:val="lowerRoman"/>
      <w:start w:val="3"/>
    </w:lvl>
    <w:lvl w:ilvl="2">
      <w:lvlJc w:val="left"/>
      <w:lvlText w:val="%3"/>
      <w:numFmt w:val="decimal"/>
      <w:start w:val="1"/>
    </w:lvl>
    <w:lvl w:ilvl="3">
      <w:lvlJc w:val="left"/>
      <w:lvlText w:val="-"/>
      <w:numFmt w:val="bullet"/>
      <w:start w:val="1"/>
    </w:lvl>
  </w:abstractNum>
  <w:abstractNum w:abstractNumId="23">
    <w:nsid w:val="97E1B4E"/>
    <w:multiLevelType w:val="hybridMultilevel"/>
    <w:lvl w:ilvl="0">
      <w:lvlJc w:val="left"/>
      <w:lvlText w:val="(%1)"/>
      <w:numFmt w:val="upperLetter"/>
      <w:start w:val="3"/>
    </w:lvl>
    <w:lvl w:ilvl="1">
      <w:lvlJc w:val="left"/>
      <w:lvlText w:val="(%2)"/>
      <w:numFmt w:val="lowerRoman"/>
      <w:start w:val="1"/>
    </w:lvl>
    <w:lvl w:ilvl="2">
      <w:lvlJc w:val="left"/>
      <w:lvlText w:val="(%3)"/>
      <w:numFmt w:val="decimal"/>
      <w:start w:val="1"/>
    </w:lvl>
    <w:lvl w:ilvl="3">
      <w:lvlJc w:val="left"/>
      <w:lvlText w:val="-"/>
      <w:numFmt w:val="bullet"/>
      <w:start w:val="1"/>
    </w:lvl>
  </w:abstractNum>
  <w:abstractNum w:abstractNumId="24">
    <w:nsid w:val="51088277"/>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abstractNum>
  <w:abstractNum w:abstractNumId="25">
    <w:nsid w:val="1CA0C5FA"/>
    <w:multiLevelType w:val="hybridMultilevel"/>
    <w:lvl w:ilvl="0">
      <w:lvlJc w:val="left"/>
      <w:lvlText w:val="(%1)"/>
      <w:numFmt w:val="upperLetter"/>
      <w:start w:val="4"/>
    </w:lvl>
    <w:lvl w:ilvl="1">
      <w:lvlJc w:val="left"/>
      <w:lvlText w:val="(%2)"/>
      <w:numFmt w:val="lowerRoman"/>
      <w:start w:val="1"/>
    </w:lvl>
  </w:abstractNum>
  <w:abstractNum w:abstractNumId="26">
    <w:nsid w:val="53584BCB"/>
    <w:multiLevelType w:val="hybridMultilevel"/>
    <w:lvl w:ilvl="0">
      <w:lvlJc w:val="left"/>
      <w:lvlText w:val="(%1)"/>
      <w:numFmt w:val="upperLetter"/>
      <w:start w:val="5"/>
    </w:lvl>
  </w:abstractNum>
  <w:abstractNum w:abstractNumId="27">
    <w:nsid w:val="415E286C"/>
    <w:multiLevelType w:val="hybridMultilevel"/>
    <w:lvl w:ilvl="0">
      <w:lvlJc w:val="left"/>
      <w:lvlText w:val="(%1)"/>
      <w:numFmt w:val="upperLetter"/>
      <w:start w:val="1"/>
    </w:lvl>
    <w:lvl w:ilvl="1">
      <w:lvlJc w:val="left"/>
      <w:lvlText w:val="-"/>
      <w:numFmt w:val="bullet"/>
      <w:start w:val="1"/>
    </w:lvl>
  </w:abstractNum>
  <w:abstractNum w:abstractNumId="28">
    <w:nsid w:val="7C58FD05"/>
    <w:multiLevelType w:val="hybridMultilevel"/>
    <w:lvl w:ilvl="0">
      <w:lvlJc w:val="left"/>
      <w:lvlText w:val="(%1)"/>
      <w:numFmt w:val="upperLetter"/>
      <w:start w:val="2"/>
    </w:lvl>
    <w:lvl w:ilvl="1">
      <w:lvlJc w:val="left"/>
      <w:lvlText w:val="(%2)"/>
      <w:numFmt w:val="lowerRoman"/>
      <w:start w:val="1"/>
    </w:lvl>
  </w:abstractNum>
  <w:abstractNum w:abstractNumId="29">
    <w:nsid w:val="23D86AAC"/>
    <w:multiLevelType w:val="hybridMultilevel"/>
    <w:lvl w:ilvl="0">
      <w:lvlJc w:val="left"/>
      <w:lvlText w:val="(%1)"/>
      <w:numFmt w:val="upperLetter"/>
      <w:start w:val="1"/>
    </w:lvl>
    <w:lvl w:ilvl="1">
      <w:lvlJc w:val="left"/>
      <w:lvlText w:val="-"/>
      <w:numFmt w:val="bullet"/>
      <w:start w:val="1"/>
    </w:lvl>
  </w:abstractNum>
  <w:abstractNum w:abstractNumId="30">
    <w:nsid w:val="45E6D486"/>
    <w:multiLevelType w:val="hybridMultilevel"/>
    <w:lvl w:ilvl="0">
      <w:lvlJc w:val="left"/>
      <w:lvlText w:val="(%1)"/>
      <w:numFmt w:val="upperLetter"/>
      <w:start w:val="4"/>
    </w:lvl>
  </w:abstractNum>
  <w:abstractNum w:abstractNumId="31">
    <w:nsid w:val="5C10FE21"/>
    <w:multiLevelType w:val="hybridMultilevel"/>
    <w:lvl w:ilvl="0">
      <w:lvlJc w:val="left"/>
      <w:lvlText w:val="(%1)"/>
      <w:numFmt w:val="upperLetter"/>
      <w:start w:val="1"/>
    </w:lvl>
    <w:lvl w:ilvl="1">
      <w:lvlJc w:val="left"/>
      <w:lvlText w:val="-"/>
      <w:numFmt w:val="bullet"/>
      <w:start w:val="1"/>
    </w:lvl>
  </w:abstractNum>
  <w:abstractNum w:abstractNumId="32">
    <w:nsid w:val="E7FFA2B"/>
    <w:multiLevelType w:val="hybridMultilevel"/>
    <w:lvl w:ilvl="0">
      <w:lvlJc w:val="left"/>
      <w:lvlText w:val="(%1)"/>
      <w:numFmt w:val="upperLetter"/>
      <w:start w:val="1"/>
    </w:lvl>
  </w:abstractNum>
  <w:abstractNum w:abstractNumId="33">
    <w:nsid w:val="3C5991AA"/>
    <w:multiLevelType w:val="hybridMultilevel"/>
    <w:lvl w:ilvl="0">
      <w:lvlJc w:val="left"/>
      <w:lvlText w:val="(%1)"/>
      <w:numFmt w:val="upperLetter"/>
      <w:start w:val="2"/>
    </w:lvl>
  </w:abstractNum>
  <w:abstractNum w:abstractNumId="34">
    <w:nsid w:val="4BD8591A"/>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
    </w:lvl>
  </w:abstractNum>
  <w:abstractNum w:abstractNumId="35">
    <w:nsid w:val="78DF6A55"/>
    <w:multiLevelType w:val="hybridMultilevel"/>
    <w:lvl w:ilvl="0">
      <w:lvlJc w:val="left"/>
      <w:lvlText w:val="%1"/>
      <w:numFmt w:val="upperLetter"/>
      <w:start w:val="1"/>
    </w:lvl>
    <w:lvl w:ilvl="1">
      <w:lvlJc w:val="left"/>
      <w:lvlText w:val="(%2)"/>
      <w:numFmt w:val="lowerRoman"/>
      <w:start w:val="2"/>
    </w:lvl>
    <w:lvl w:ilvl="2">
      <w:lvlJc w:val="left"/>
      <w:lvlText w:val="-"/>
      <w:numFmt w:val="bullet"/>
      <w:start w:val="1"/>
    </w:lvl>
  </w:abstractNum>
  <w:abstractNum w:abstractNumId="36">
    <w:nsid w:val="39B7AAA2"/>
    <w:multiLevelType w:val="hybridMultilevel"/>
    <w:lvl w:ilvl="0">
      <w:lvlJc w:val="left"/>
      <w:lvlText w:val="(%1)"/>
      <w:numFmt w:val="upperLetter"/>
      <w:start w:val="2"/>
    </w:lvl>
    <w:lvl w:ilvl="1">
      <w:lvlJc w:val="left"/>
      <w:lvlText w:val="(%2)"/>
      <w:numFmt w:val="lowerRoman"/>
      <w:start w:val="1"/>
    </w:lvl>
    <w:lvl w:ilvl="2">
      <w:lvlJc w:val="left"/>
      <w:lvlText w:val="-"/>
      <w:numFmt w:val="bullet"/>
      <w:start w:val="1"/>
    </w:lvl>
  </w:abstractNum>
  <w:abstractNum w:abstractNumId="37">
    <w:nsid w:val="2B0D8DBE"/>
    <w:multiLevelType w:val="hybridMultilevel"/>
    <w:lvl w:ilvl="0">
      <w:lvlJc w:val="left"/>
      <w:lvlText w:val="%1"/>
      <w:numFmt w:val="upperLetter"/>
      <w:start w:val="1"/>
    </w:lvl>
    <w:lvl w:ilvl="1">
      <w:lvlJc w:val="left"/>
      <w:lvlText w:val="(%2)"/>
      <w:numFmt w:val="lowerRoman"/>
      <w:start w:val="2"/>
    </w:lvl>
    <w:lvl w:ilvl="2">
      <w:lvlJc w:val="left"/>
      <w:lvlText w:val="-"/>
      <w:numFmt w:val="bullet"/>
      <w:start w:val="1"/>
    </w:lvl>
  </w:abstractNum>
  <w:abstractNum w:abstractNumId="38">
    <w:nsid w:val="6C80EC70"/>
    <w:multiLevelType w:val="hybridMultilevel"/>
    <w:lvl w:ilvl="0">
      <w:lvlJc w:val="left"/>
      <w:lvlText w:val="(%1)"/>
      <w:numFmt w:val="upperLetter"/>
      <w:start w:val="4"/>
    </w:lvl>
    <w:lvl w:ilvl="1">
      <w:lvlJc w:val="left"/>
      <w:lvlText w:val="%2"/>
      <w:numFmt w:val="lowerRoman"/>
      <w:start w:val="1"/>
    </w:lvl>
    <w:lvl w:ilvl="2">
      <w:lvlJc w:val="left"/>
      <w:lvlText w:val="-"/>
      <w:numFmt w:val="bullet"/>
      <w:start w:val="1"/>
    </w:lvl>
  </w:abstractNum>
  <w:abstractNum w:abstractNumId="39">
    <w:nsid w:val="379E21B5"/>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
    </w:lvl>
    <w:lvl w:ilvl="3">
      <w:lvlJc w:val="left"/>
      <w:lvlText w:val="-"/>
      <w:numFmt w:val="bullet"/>
      <w:start w:val="1"/>
    </w:lvl>
  </w:abstractNum>
  <w:abstractNum w:abstractNumId="40">
    <w:nsid w:val="69E373"/>
    <w:multiLevelType w:val="hybridMultilevel"/>
    <w:lvl w:ilvl="0">
      <w:lvlJc w:val="left"/>
      <w:lvlText w:val="%1"/>
      <w:numFmt w:val="lowerRoman"/>
      <w:start w:val="1"/>
    </w:lvl>
    <w:lvl w:ilvl="1">
      <w:lvlJc w:val="left"/>
      <w:lvlText w:val="(%2)"/>
      <w:numFmt w:val="decimal"/>
      <w:start w:val="3"/>
    </w:lvl>
    <w:lvl w:ilvl="2">
      <w:lvlJc w:val="left"/>
      <w:lvlText w:val="-"/>
      <w:numFmt w:val="bullet"/>
      <w:start w:val="1"/>
    </w:lvl>
  </w:abstractNum>
  <w:abstractNum w:abstractNumId="41">
    <w:nsid w:val="2C27173B"/>
    <w:multiLevelType w:val="hybridMultilevel"/>
    <w:lvl w:ilvl="0">
      <w:lvlJc w:val="left"/>
      <w:lvlText w:val="(%1)"/>
      <w:numFmt w:val="lowerRoman"/>
      <w:start w:val="2"/>
    </w:lvl>
    <w:lvl w:ilvl="1">
      <w:lvlJc w:val="left"/>
      <w:lvlText w:val="%2"/>
      <w:numFmt w:val="decimal"/>
      <w:start w:val="1"/>
    </w:lvl>
    <w:lvl w:ilvl="2">
      <w:lvlJc w:val="left"/>
      <w:lvlText w:val="-"/>
      <w:numFmt w:val="bullet"/>
      <w:start w:val="1"/>
    </w:lvl>
  </w:abstractNum>
  <w:abstractNum w:abstractNumId="42">
    <w:nsid w:val="4C9B0904"/>
    <w:multiLevelType w:val="hybridMultilevel"/>
    <w:lvl w:ilvl="0">
      <w:lvlJc w:val="left"/>
      <w:lvlText w:val="(%1)"/>
      <w:numFmt w:val="upperLetter"/>
      <w:start w:val="2"/>
    </w:lvl>
  </w:abstractNum>
  <w:abstractNum w:abstractNumId="43">
    <w:nsid w:val="6AA7B75C"/>
    <w:multiLevelType w:val="hybridMultilevel"/>
    <w:lvl w:ilvl="0">
      <w:lvlJc w:val="left"/>
      <w:lvlText w:val="(%1)"/>
      <w:numFmt w:val="upperLetter"/>
      <w:start w:val="1"/>
    </w:lvl>
    <w:lvl w:ilvl="1">
      <w:lvlJc w:val="left"/>
      <w:lvlText w:val="-"/>
      <w:numFmt w:val="bullet"/>
      <w:start w:val="1"/>
    </w:lvl>
  </w:abstractNum>
  <w:abstractNum w:abstractNumId="44">
    <w:nsid w:val="1DF029D3"/>
    <w:multiLevelType w:val="hybridMultilevel"/>
    <w:lvl w:ilvl="0">
      <w:lvlJc w:val="left"/>
      <w:lvlText w:val="(%1)"/>
      <w:numFmt w:val="upperLetter"/>
      <w:start w:val="1"/>
    </w:lvl>
    <w:lvl w:ilvl="1">
      <w:lvlJc w:val="left"/>
      <w:lvlText w:val="-"/>
      <w:numFmt w:val="bullet"/>
      <w:start w:val="1"/>
    </w:lvl>
  </w:abstractNum>
  <w:abstractNum w:abstractNumId="45">
    <w:nsid w:val="5675FF36"/>
    <w:multiLevelType w:val="hybridMultilevel"/>
    <w:lvl w:ilvl="0">
      <w:lvlJc w:val="left"/>
      <w:lvlText w:val="(%1)"/>
      <w:numFmt w:val="upperLetter"/>
      <w:start w:val="4"/>
    </w:lvl>
  </w:abstractNum>
  <w:abstractNum w:abstractNumId="46">
    <w:nsid w:val="3DD15094"/>
    <w:multiLevelType w:val="hybridMultilevel"/>
    <w:lvl w:ilvl="0">
      <w:lvlJc w:val="left"/>
      <w:lvlText w:val="(%1)"/>
      <w:numFmt w:val="lowerRoman"/>
      <w:start w:val="1"/>
    </w:lvl>
    <w:lvl w:ilvl="1">
      <w:lvlJc w:val="left"/>
      <w:lvlText w:val="-"/>
      <w:numFmt w:val="bullet"/>
      <w:start w:val="1"/>
    </w:lvl>
  </w:abstractNum>
  <w:abstractNum w:abstractNumId="47">
    <w:nsid w:val="3DB012B3"/>
    <w:multiLevelType w:val="hybridMultilevel"/>
    <w:lvl w:ilvl="0">
      <w:lvlJc w:val="left"/>
      <w:lvlText w:val="(%1)"/>
      <w:numFmt w:val="lowerRoman"/>
      <w:start w:val="7"/>
    </w:lvl>
  </w:abstractNum>
  <w:abstractNum w:abstractNumId="48">
    <w:nsid w:val="2708C9AF"/>
    <w:multiLevelType w:val="hybridMultilevel"/>
    <w:lvl w:ilvl="0">
      <w:lvlJc w:val="left"/>
      <w:lvlText w:val="(%1)"/>
      <w:numFmt w:val="upperLetter"/>
      <w:start w:val="6"/>
    </w:lvl>
    <w:lvl w:ilvl="1">
      <w:lvlJc w:val="left"/>
      <w:lvlText w:val="(%2)"/>
      <w:numFmt w:val="lowerRoman"/>
      <w:start w:val="1"/>
    </w:lvl>
    <w:lvl w:ilvl="2">
      <w:lvlJc w:val="left"/>
      <w:lvlText w:val="(%3)"/>
      <w:numFmt w:val="decimal"/>
      <w:start w:val="1"/>
    </w:lvl>
  </w:abstractNum>
  <w:abstractNum w:abstractNumId="49">
    <w:nsid w:val="5B25ACE2"/>
    <w:multiLevelType w:val="hybridMultilevel"/>
    <w:lvl w:ilvl="0">
      <w:lvlJc w:val="left"/>
      <w:lvlText w:val="(%1)"/>
      <w:numFmt w:val="lowerRoman"/>
      <w:start w:val="2"/>
    </w:lvl>
    <w:lvl w:ilvl="1">
      <w:lvlJc w:val="left"/>
      <w:lvlText w:val="(%2)"/>
      <w:numFmt w:val="decimal"/>
      <w:start w:val="1"/>
    </w:lvl>
    <w:lvl w:ilvl="2">
      <w:lvlJc w:val="left"/>
      <w:lvlText w:val="-"/>
      <w:numFmt w:val="bullet"/>
      <w:start w:val="1"/>
    </w:lvl>
  </w:abstractNum>
  <w:abstractNum w:abstractNumId="50">
    <w:nsid w:val="175DFCF0"/>
    <w:multiLevelType w:val="hybridMultilevel"/>
    <w:lvl w:ilvl="0">
      <w:lvlJc w:val="left"/>
      <w:lvlText w:val="(%1)"/>
      <w:numFmt w:val="lowerRoman"/>
      <w:start w:val="3"/>
    </w:lvl>
    <w:lvl w:ilvl="1">
      <w:lvlJc w:val="left"/>
      <w:lvlText w:val="(%2)"/>
      <w:numFmt w:val="decimal"/>
      <w:start w:val="1"/>
    </w:lvl>
  </w:abstractNum>
  <w:abstractNum w:abstractNumId="51">
    <w:nsid w:val="4F97E3E4"/>
    <w:multiLevelType w:val="hybridMultilevel"/>
    <w:lvl w:ilvl="0">
      <w:lvlJc w:val="left"/>
      <w:lvlText w:val="(%1)"/>
      <w:numFmt w:val="upperLetter"/>
      <w:start w:val="7"/>
    </w:lvl>
    <w:lvl w:ilvl="1">
      <w:lvlJc w:val="left"/>
      <w:lvlText w:val="-"/>
      <w:numFmt w:val="bullet"/>
      <w:start w:val="1"/>
    </w:lvl>
  </w:abstractNum>
  <w:abstractNum w:abstractNumId="52">
    <w:nsid w:val="53B0A9E"/>
    <w:multiLevelType w:val="hybridMultilevel"/>
    <w:lvl w:ilvl="0">
      <w:lvlJc w:val="left"/>
      <w:lvlText w:val="(%1)"/>
      <w:numFmt w:val="upperLetter"/>
      <w:start w:val="8"/>
    </w:lvl>
    <w:lvl w:ilvl="1">
      <w:lvlJc w:val="left"/>
      <w:lvlText w:val="-"/>
      <w:numFmt w:val="bullet"/>
      <w:start w:val="1"/>
    </w:lvl>
  </w:abstractNum>
  <w:abstractNum w:abstractNumId="53">
    <w:nsid w:val="34FD6B4F"/>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54">
    <w:nsid w:val="5915FF32"/>
    <w:multiLevelType w:val="hybridMultilevel"/>
    <w:lvl w:ilvl="0">
      <w:lvlJc w:val="left"/>
      <w:lvlText w:val="(%1)"/>
      <w:numFmt w:val="lowerRoman"/>
      <w:start w:val="2"/>
    </w:lvl>
    <w:lvl w:ilvl="1">
      <w:lvlJc w:val="left"/>
      <w:lvlText w:val="(%2)"/>
      <w:numFmt w:val="decimal"/>
      <w:start w:val="1"/>
    </w:lvl>
    <w:lvl w:ilvl="2">
      <w:lvlJc w:val="left"/>
      <w:lvlText w:val="-"/>
      <w:numFmt w:val="bullet"/>
      <w:start w:val="1"/>
    </w:lvl>
  </w:abstractNum>
  <w:abstractNum w:abstractNumId="55">
    <w:nsid w:val="56438D15"/>
    <w:multiLevelType w:val="hybridMultilevel"/>
    <w:lvl w:ilvl="0">
      <w:lvlJc w:val="left"/>
      <w:lvlText w:val="%1"/>
      <w:numFmt w:val="upperLetter"/>
      <w:start w:val="1"/>
    </w:lvl>
    <w:lvl w:ilvl="1">
      <w:lvlJc w:val="left"/>
      <w:lvlText w:val="(%2)"/>
      <w:numFmt w:val="lowerRoman"/>
      <w:start w:val="3"/>
    </w:lvl>
    <w:lvl w:ilvl="2">
      <w:lvlJc w:val="left"/>
      <w:lvlText w:val="-"/>
      <w:numFmt w:val="bullet"/>
      <w:start w:val="1"/>
    </w:lvl>
  </w:abstractNum>
  <w:abstractNum w:abstractNumId="56">
    <w:nsid w:val="519E3149"/>
    <w:multiLevelType w:val="hybridMultilevel"/>
    <w:lvl w:ilvl="0">
      <w:lvlJc w:val="left"/>
      <w:lvlText w:val="(%1)"/>
      <w:numFmt w:val="upperLetter"/>
      <w:start w:val="4"/>
    </w:lvl>
    <w:lvl w:ilvl="1">
      <w:lvlJc w:val="left"/>
      <w:lvlText w:val="%2"/>
      <w:numFmt w:val="lowerRoman"/>
      <w:start w:val="1"/>
    </w:lvl>
    <w:lvl w:ilvl="2">
      <w:lvlJc w:val="left"/>
      <w:lvlText w:val="-"/>
      <w:numFmt w:val="bullet"/>
      <w:start w:val="1"/>
    </w:lvl>
  </w:abstractNum>
  <w:abstractNum w:abstractNumId="57">
    <w:nsid w:val="2C6E4AFD"/>
    <w:multiLevelType w:val="hybridMultilevel"/>
    <w:lvl w:ilvl="0">
      <w:lvlJc w:val="left"/>
      <w:lvlText w:val="(%1)"/>
      <w:numFmt w:val="upperLetter"/>
      <w:start w:val="7"/>
    </w:lvl>
  </w:abstractNum>
  <w:abstractNum w:abstractNumId="58">
    <w:nsid w:val="17A1B582"/>
    <w:multiLevelType w:val="hybridMultilevel"/>
    <w:lvl w:ilvl="0">
      <w:lvlJc w:val="left"/>
      <w:lvlText w:val="(%1)"/>
      <w:numFmt w:val="lowerRoman"/>
      <w:start w:val="1"/>
    </w:lvl>
  </w:abstractNum>
  <w:abstractNum w:abstractNumId="59">
    <w:nsid w:val="4DF72E4E"/>
    <w:multiLevelType w:val="hybridMultilevel"/>
    <w:lvl w:ilvl="0">
      <w:lvlJc w:val="left"/>
      <w:lvlText w:val="(%1)"/>
      <w:numFmt w:val="upperLetter"/>
      <w:start w:val="8"/>
    </w:lvl>
    <w:lvl w:ilvl="1">
      <w:lvlJc w:val="left"/>
      <w:lvlText w:val="-"/>
      <w:numFmt w:val="bullet"/>
      <w:start w:val="1"/>
    </w:lvl>
  </w:abstractNum>
  <w:abstractNum w:abstractNumId="60">
    <w:nsid w:val="5046B5A9"/>
    <w:multiLevelType w:val="hybridMultilevel"/>
    <w:lvl w:ilvl="0">
      <w:lvlJc w:val="left"/>
      <w:lvlText w:val="(%1)"/>
      <w:numFmt w:val="upperLetter"/>
      <w:start w:val="9"/>
    </w:lvl>
    <w:lvl w:ilvl="1">
      <w:lvlJc w:val="left"/>
      <w:lvlText w:val="(%2)"/>
      <w:numFmt w:val="lowerRoman"/>
      <w:start w:val="1"/>
    </w:lvl>
    <w:lvl w:ilvl="2">
      <w:lvlJc w:val="left"/>
      <w:lvlText w:val="-"/>
      <w:numFmt w:val="bullet"/>
      <w:start w:val="1"/>
    </w:lvl>
  </w:abstractNum>
  <w:abstractNum w:abstractNumId="61">
    <w:nsid w:val="5D888A08"/>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
    </w:lvl>
  </w:abstractNum>
  <w:abstractNum w:abstractNumId="62">
    <w:nsid w:val="2A082C70"/>
    <w:multiLevelType w:val="hybridMultilevel"/>
    <w:lvl w:ilvl="0">
      <w:lvlJc w:val="left"/>
      <w:lvlText w:val="(%1)"/>
      <w:numFmt w:val="decimal"/>
      <w:start w:val="3"/>
    </w:lvl>
    <w:lvl w:ilvl="1">
      <w:lvlJc w:val="left"/>
      <w:lvlText w:val="(%2)"/>
      <w:numFmt w:val="lowerLetter"/>
      <w:start w:val="1"/>
    </w:lvl>
    <w:lvl w:ilvl="2">
      <w:lvlJc w:val="left"/>
      <w:lvlText w:val="(%3)"/>
      <w:numFmt w:val="upperLetter"/>
      <w:start w:val="9"/>
    </w:lvl>
  </w:abstractNum>
  <w:abstractNum w:abstractNumId="63">
    <w:nsid w:val="5EC6AFD4"/>
    <w:multiLevelType w:val="hybridMultilevel"/>
    <w:lvl w:ilvl="0">
      <w:lvlJc w:val="left"/>
      <w:lvlText w:val="(%1)"/>
      <w:numFmt w:val="upperLetter"/>
      <w:start w:val="35"/>
    </w:lvl>
    <w:lvl w:ilvl="1">
      <w:lvlJc w:val="left"/>
      <w:lvlText w:val="-"/>
      <w:numFmt w:val="bullet"/>
      <w:start w:val="1"/>
    </w:lvl>
  </w:abstractNum>
  <w:abstractNum w:abstractNumId="64">
    <w:nsid w:val="19E21BB2"/>
    <w:multiLevelType w:val="hybridMultilevel"/>
    <w:lvl w:ilvl="0">
      <w:lvlJc w:val="left"/>
      <w:lvlText w:val="(%1)"/>
      <w:numFmt w:val="lowerLetter"/>
      <w:start w:val="2"/>
    </w:lvl>
    <w:lvl w:ilvl="1">
      <w:lvlJc w:val="left"/>
      <w:lvlText w:val="-"/>
      <w:numFmt w:val="bullet"/>
      <w:start w:val="1"/>
    </w:lvl>
  </w:abstractNum>
  <w:abstractNum w:abstractNumId="65">
    <w:nsid w:val="75E0858A"/>
    <w:multiLevelType w:val="hybridMultilevel"/>
    <w:lvl w:ilvl="0">
      <w:lvlJc w:val="left"/>
      <w:lvlText w:val="(%1)"/>
      <w:numFmt w:val="decimal"/>
      <w:start w:val="4"/>
    </w:lvl>
  </w:abstractNum>
  <w:abstractNum w:abstractNumId="66">
    <w:nsid w:val="57A61A29"/>
    <w:multiLevelType w:val="hybridMultilevel"/>
    <w:lvl w:ilvl="0">
      <w:lvlJc w:val="left"/>
      <w:lvlText w:val="(%1)"/>
      <w:numFmt w:val="lowerRoman"/>
      <w:start w:val="2"/>
    </w:lvl>
    <w:lvl w:ilvl="1">
      <w:lvlJc w:val="left"/>
      <w:lvlText w:val="(%2)"/>
      <w:numFmt w:val="decimal"/>
      <w:start w:val="1"/>
    </w:lvl>
    <w:lvl w:ilvl="2">
      <w:lvlJc w:val="left"/>
      <w:lvlText w:val="-"/>
      <w:numFmt w:val="bullet"/>
      <w:start w:val="1"/>
    </w:lvl>
  </w:abstractNum>
  <w:abstractNum w:abstractNumId="67">
    <w:nsid w:val="5399C654"/>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1"/>
    </w:lvl>
    <w:lvl w:ilvl="3">
      <w:lvlJc w:val="left"/>
      <w:lvlText w:val="-"/>
      <w:numFmt w:val="bullet"/>
      <w:start w:val="1"/>
    </w:lvl>
  </w:abstractNum>
  <w:abstractNum w:abstractNumId="68">
    <w:nsid w:val="20EE1348"/>
    <w:multiLevelType w:val="hybridMultilevel"/>
    <w:lvl w:ilvl="0">
      <w:lvlJc w:val="left"/>
      <w:lvlText w:val="(%1)"/>
      <w:numFmt w:val="lowerLetter"/>
      <w:start w:val="23"/>
    </w:lvl>
    <w:lvl w:ilvl="1">
      <w:lvlJc w:val="left"/>
      <w:lvlText w:val="%2"/>
      <w:numFmt w:val="upperLetter"/>
      <w:start w:val="1"/>
    </w:lvl>
    <w:lvl w:ilvl="2">
      <w:lvlJc w:val="left"/>
      <w:lvlText w:val="%3"/>
      <w:numFmt w:val="lowerRoman"/>
      <w:start w:val="1"/>
    </w:lvl>
    <w:lvl w:ilvl="3">
      <w:lvlJc w:val="left"/>
      <w:lvlText w:val="-"/>
      <w:numFmt w:val="bullet"/>
      <w:start w:val="1"/>
    </w:lvl>
  </w:abstractNum>
  <w:abstractNum w:abstractNumId="69">
    <w:nsid w:val="4427069A"/>
    <w:multiLevelType w:val="hybridMultilevel"/>
    <w:lvl w:ilvl="0">
      <w:lvlJc w:val="left"/>
      <w:lvlText w:val="(%1)"/>
      <w:numFmt w:val="upperLetter"/>
      <w:start w:val="5"/>
    </w:lvl>
  </w:abstractNum>
  <w:abstractNum w:abstractNumId="70">
    <w:nsid w:val="B37E80A"/>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
    </w:lvl>
    <w:lvl w:ilvl="3">
      <w:lvlJc w:val="left"/>
      <w:lvlText w:val="-"/>
      <w:numFmt w:val="bullet"/>
      <w:start w:val="1"/>
    </w:lvl>
  </w:abstractNum>
  <w:abstractNum w:abstractNumId="71">
    <w:nsid w:val="2157F6BC"/>
    <w:multiLevelType w:val="hybridMultilevel"/>
    <w:lvl w:ilvl="0">
      <w:lvlJc w:val="left"/>
      <w:lvlText w:val="(%1)"/>
      <w:numFmt w:val="decimal"/>
      <w:start w:val="2"/>
    </w:lvl>
  </w:abstractNum>
  <w:abstractNum w:abstractNumId="72">
    <w:nsid w:val="704E1DD5"/>
    <w:multiLevelType w:val="hybridMultilevel"/>
    <w:lvl w:ilvl="0">
      <w:lvlJc w:val="left"/>
      <w:lvlText w:val="%1"/>
      <w:numFmt w:val="upperLetter"/>
      <w:start w:val="1"/>
    </w:lvl>
    <w:lvl w:ilvl="1">
      <w:lvlJc w:val="left"/>
      <w:lvlText w:val="(%2)"/>
      <w:numFmt w:val="lowerRoman"/>
      <w:start w:val="2"/>
    </w:lvl>
    <w:lvl w:ilvl="2">
      <w:lvlJc w:val="left"/>
      <w:lvlText w:val="%3"/>
      <w:numFmt w:val="decimal"/>
      <w:start w:val="1"/>
    </w:lvl>
    <w:lvl w:ilvl="3">
      <w:lvlJc w:val="left"/>
      <w:lvlText w:val="-"/>
      <w:numFmt w:val="bullet"/>
      <w:start w:val="1"/>
    </w:lvl>
  </w:abstractNum>
  <w:abstractNum w:abstractNumId="73">
    <w:nsid w:val="57D2F10E"/>
    <w:multiLevelType w:val="hybridMultilevel"/>
    <w:lvl w:ilvl="0">
      <w:lvlJc w:val="left"/>
      <w:lvlText w:val="(%1)"/>
      <w:numFmt w:val="upperLetter"/>
      <w:start w:val="2"/>
    </w:lvl>
    <w:lvl w:ilvl="1">
      <w:lvlJc w:val="left"/>
      <w:lvlText w:val="(%2)"/>
      <w:numFmt w:val="lowerRoman"/>
      <w:start w:val="1"/>
    </w:lvl>
    <w:lvl w:ilvl="2">
      <w:lvlJc w:val="left"/>
      <w:lvlText w:val="(%3)"/>
      <w:numFmt w:val="decimal"/>
      <w:start w:val="1"/>
    </w:lvl>
    <w:lvl w:ilvl="3">
      <w:lvlJc w:val="left"/>
      <w:lvlText w:val="-"/>
      <w:numFmt w:val="bullet"/>
      <w:start w:val="1"/>
    </w:lvl>
  </w:abstractNum>
  <w:abstractNum w:abstractNumId="74">
    <w:nsid w:val="BFFAE18"/>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3"/>
    </w:lvl>
    <w:lvl w:ilvl="3">
      <w:lvlJc w:val="left"/>
      <w:lvlText w:val="-"/>
      <w:numFmt w:val="bullet"/>
      <w:start w:val="1"/>
    </w:lvl>
  </w:abstractNum>
  <w:abstractNum w:abstractNumId="75">
    <w:nsid w:val="E3E47A8"/>
    <w:multiLevelType w:val="hybridMultilevel"/>
    <w:lvl w:ilvl="0">
      <w:lvlJc w:val="left"/>
      <w:lvlText w:val="%1"/>
      <w:numFmt w:val="upperLetter"/>
      <w:start w:val="1"/>
    </w:lvl>
    <w:lvl w:ilvl="1">
      <w:lvlJc w:val="left"/>
      <w:lvlText w:val="(%2)"/>
      <w:numFmt w:val="lowerRoman"/>
      <w:start w:val="2"/>
    </w:lvl>
    <w:lvl w:ilvl="2">
      <w:lvlJc w:val="left"/>
      <w:lvlText w:val="%3"/>
      <w:numFmt w:val="decimal"/>
      <w:start w:val="1"/>
    </w:lvl>
    <w:lvl w:ilvl="3">
      <w:lvlJc w:val="left"/>
      <w:lvlText w:val="-"/>
      <w:numFmt w:val="bullet"/>
      <w:start w:val="1"/>
    </w:lvl>
  </w:abstractNum>
  <w:abstractNum w:abstractNumId="76">
    <w:nsid w:val="2E48F044"/>
    <w:multiLevelType w:val="hybridMultilevel"/>
    <w:lvl w:ilvl="0">
      <w:lvlJc w:val="left"/>
      <w:lvlText w:val="(%1)"/>
      <w:numFmt w:val="upperLetter"/>
      <w:start w:val="3"/>
    </w:lvl>
    <w:lvl w:ilvl="1">
      <w:lvlJc w:val="left"/>
      <w:lvlText w:val="%2"/>
      <w:numFmt w:val="lowerRoman"/>
      <w:start w:val="1"/>
    </w:lvl>
    <w:lvl w:ilvl="2">
      <w:lvlJc w:val="left"/>
      <w:lvlText w:val="%3"/>
      <w:numFmt w:val="decimal"/>
      <w:start w:val="1"/>
    </w:lvl>
    <w:lvl w:ilvl="3">
      <w:lvlJc w:val="left"/>
      <w:lvlText w:val="-"/>
      <w:numFmt w:val="bullet"/>
      <w:start w:val="1"/>
    </w:lvl>
  </w:abstractNum>
  <w:abstractNum w:abstractNumId="77">
    <w:nsid w:val="49D0FEAC"/>
    <w:multiLevelType w:val="hybridMultilevel"/>
    <w:lvl w:ilvl="0">
      <w:lvlJc w:val="left"/>
      <w:lvlText w:val="(%1)"/>
      <w:numFmt w:val="upperLetter"/>
      <w:start w:val="4"/>
    </w:lvl>
  </w:abstractNum>
  <w:abstractNum w:abstractNumId="78">
    <w:nsid w:val="4BEE5A5B"/>
    <w:multiLevelType w:val="hybridMultilevel"/>
    <w:lvl w:ilvl="0">
      <w:lvlJc w:val="left"/>
      <w:lvlText w:val="(%1)"/>
      <w:numFmt w:val="upperLetter"/>
      <w:start w:val="1"/>
    </w:lvl>
    <w:lvl w:ilvl="1">
      <w:lvlJc w:val="left"/>
      <w:lvlText w:val="(%2)"/>
      <w:numFmt w:val="lowerRoman"/>
      <w:start w:val="1"/>
    </w:lvl>
  </w:abstractNum>
  <w:abstractNum w:abstractNumId="79">
    <w:nsid w:val="5551B9F3"/>
    <w:multiLevelType w:val="hybridMultilevel"/>
    <w:lvl w:ilvl="0">
      <w:lvlJc w:val="left"/>
      <w:lvlText w:val="(%1)"/>
      <w:numFmt w:val="lowerRoman"/>
      <w:start w:val="2"/>
    </w:lvl>
  </w:abstractNum>
  <w:abstractNum w:abstractNumId="80">
    <w:nsid w:val="24F6AB8E"/>
    <w:multiLevelType w:val="hybridMultilevel"/>
    <w:lvl w:ilvl="0">
      <w:lvlJc w:val="left"/>
      <w:lvlText w:val="X"/>
      <w:numFmt w:val="bullet"/>
      <w:start w:val="1"/>
    </w:lvl>
  </w:abstractNum>
  <w:abstractNum w:abstractNumId="81">
    <w:nsid w:val="634C574C"/>
    <w:multiLevelType w:val="hybridMultilevel"/>
    <w:lvl w:ilvl="0">
      <w:lvlJc w:val="left"/>
      <w:lvlText w:val="Y"/>
      <w:numFmt w:val="bullet"/>
      <w:start w:val="1"/>
    </w:lvl>
    <w:lvl w:ilvl="1">
      <w:lvlJc w:val="left"/>
      <w:lvlText w:val="(%2)"/>
      <w:numFmt w:val="lowerLetter"/>
      <w:start w:val="25"/>
    </w:lvl>
  </w:abstractNum>
  <w:abstractNum w:abstractNumId="82">
    <w:nsid w:val="24E99DD7"/>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21"/>
    </w:lvl>
    <w:lvl w:ilvl="3">
      <w:lvlJc w:val="left"/>
      <w:lvlText w:val="-"/>
      <w:numFmt w:val="bullet"/>
      <w:start w:val="1"/>
    </w:lvl>
  </w:abstractNum>
  <w:abstractNum w:abstractNumId="83">
    <w:nsid w:val="2A31B62D"/>
    <w:multiLevelType w:val="hybridMultilevel"/>
    <w:lvl w:ilvl="0">
      <w:lvlJc w:val="left"/>
      <w:lvlText w:val="(%1)"/>
      <w:numFmt w:val="lowerLetter"/>
      <w:start w:val="23"/>
    </w:lvl>
  </w:abstractNum>
  <w:abstractNum w:abstractNumId="84">
    <w:nsid w:val="1849C29B"/>
    <w:multiLevelType w:val="hybridMultilevel"/>
    <w:lvl w:ilvl="0">
      <w:lvlJc w:val="left"/>
      <w:lvlText w:val="(%1)"/>
      <w:numFmt w:val="decimal"/>
      <w:start w:val="2"/>
    </w:lvl>
  </w:abstractNum>
  <w:abstractNum w:abstractNumId="85">
    <w:nsid w:val="7DFF9D09"/>
    <w:multiLevelType w:val="hybridMultilevel"/>
    <w:lvl w:ilvl="0">
      <w:lvlJc w:val="left"/>
      <w:lvlText w:val="(%1)"/>
      <w:numFmt w:val="lowerRoman"/>
      <w:start w:val="4"/>
    </w:lvl>
  </w:abstractNum>
  <w:abstractNum w:abstractNumId="86">
    <w:nsid w:val="754342"/>
    <w:multiLevelType w:val="hybridMultilevel"/>
    <w:lvl w:ilvl="0">
      <w:lvlJc w:val="left"/>
      <w:lvlText w:val="(%1)"/>
      <w:numFmt w:val="lowerRoman"/>
      <w:start w:val="5"/>
    </w:lvl>
  </w:abstractNum>
  <w:abstractNum w:abstractNumId="87">
    <w:nsid w:val="69E7F3E5"/>
    <w:multiLevelType w:val="hybridMultilevel"/>
    <w:lvl w:ilvl="0">
      <w:lvlJc w:val="left"/>
      <w:lvlText w:val="(%1)"/>
      <w:numFmt w:val="upperLetter"/>
      <w:start w:val="2"/>
    </w:lvl>
    <w:lvl w:ilvl="1">
      <w:lvlJc w:val="left"/>
      <w:lvlText w:val="(%2)"/>
      <w:numFmt w:val="lowerRoman"/>
      <w:start w:val="1"/>
    </w:lvl>
    <w:lvl w:ilvl="2">
      <w:lvlJc w:val="left"/>
      <w:lvlText w:val="(%3)"/>
      <w:numFmt w:val="decimal"/>
      <w:start w:val="1"/>
    </w:lvl>
    <w:lvl w:ilvl="3">
      <w:lvlJc w:val="left"/>
      <w:lvlText w:val="-"/>
      <w:numFmt w:val="bullet"/>
      <w:start w:val="1"/>
    </w:lvl>
  </w:abstractNum>
  <w:abstractNum w:abstractNumId="88">
    <w:nsid w:val="2A6DE806"/>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2"/>
    </w:lvl>
    <w:lvl w:ilvl="3">
      <w:lvlJc w:val="left"/>
      <w:lvlText w:val="-"/>
      <w:numFmt w:val="bullet"/>
      <w:start w:val="1"/>
    </w:lvl>
  </w:abstractNum>
  <w:abstractNum w:abstractNumId="89">
    <w:nsid w:val="1816F8C4"/>
    <w:multiLevelType w:val="hybridMultilevel"/>
    <w:lvl w:ilvl="0">
      <w:lvlJc w:val="left"/>
      <w:lvlText w:val="(%1)"/>
      <w:numFmt w:val="upperLetter"/>
      <w:start w:val="3"/>
    </w:lvl>
    <w:lvl w:ilvl="1">
      <w:lvlJc w:val="left"/>
      <w:lvlText w:val="(%2)"/>
      <w:numFmt w:val="lowerRoman"/>
      <w:start w:val="1"/>
    </w:lvl>
    <w:lvl w:ilvl="2">
      <w:lvlJc w:val="left"/>
      <w:lvlText w:val="%3"/>
      <w:numFmt w:val="decimal"/>
      <w:start w:val="1"/>
    </w:lvl>
    <w:lvl w:ilvl="3">
      <w:lvlJc w:val="left"/>
      <w:lvlText w:val="-"/>
      <w:numFmt w:val="bullet"/>
      <w:start w:val="1"/>
    </w:lvl>
  </w:abstractNum>
  <w:abstractNum w:abstractNumId="90">
    <w:nsid w:val="37DF2233"/>
    <w:multiLevelType w:val="hybridMultilevel"/>
    <w:lvl w:ilvl="0">
      <w:lvlJc w:val="left"/>
      <w:lvlText w:val="%1"/>
      <w:numFmt w:val="upperLetter"/>
      <w:start w:val="1"/>
    </w:lvl>
    <w:lvl w:ilvl="1">
      <w:lvlJc w:val="left"/>
      <w:lvlText w:val="(%2)"/>
      <w:numFmt w:val="lowerRoman"/>
      <w:start w:val="4"/>
    </w:lvl>
  </w:abstractNum>
  <w:abstractNum w:abstractNumId="91">
    <w:nsid w:val="7AB49DAF"/>
    <w:multiLevelType w:val="hybridMultilevel"/>
    <w:lvl w:ilvl="0">
      <w:lvlJc w:val="left"/>
      <w:lvlText w:val="(%1)"/>
      <w:numFmt w:val="upperLetter"/>
      <w:start w:val="5"/>
    </w:lvl>
    <w:lvl w:ilvl="1">
      <w:lvlJc w:val="left"/>
      <w:lvlText w:val="(%2)"/>
      <w:numFmt w:val="lowerRoman"/>
      <w:start w:val="1"/>
    </w:lvl>
  </w:abstractNum>
  <w:abstractNum w:abstractNumId="92">
    <w:nsid w:val="759F82CD"/>
    <w:multiLevelType w:val="hybridMultilevel"/>
    <w:lvl w:ilvl="0">
      <w:lvlJc w:val="left"/>
      <w:lvlText w:val="(%1)"/>
      <w:numFmt w:val="upperLetter"/>
      <w:start w:val="6"/>
    </w:lvl>
  </w:abstractNum>
  <w:abstractNum w:abstractNumId="93">
    <w:nsid w:val="61E74EA3"/>
    <w:multiLevelType w:val="hybridMultilevel"/>
    <w:lvl w:ilvl="0">
      <w:lvlJc w:val="left"/>
      <w:lvlText w:val="(%1)"/>
      <w:numFmt w:val="upperLetter"/>
      <w:start w:val="1"/>
    </w:lvl>
    <w:lvl w:ilvl="1">
      <w:lvlJc w:val="left"/>
      <w:lvlText w:val="-"/>
      <w:numFmt w:val="bullet"/>
      <w:start w:val="1"/>
    </w:lvl>
  </w:abstractNum>
  <w:abstractNum w:abstractNumId="94">
    <w:nsid w:val="597B4D84"/>
    <w:multiLevelType w:val="hybridMultilevel"/>
    <w:lvl w:ilvl="0">
      <w:lvlJc w:val="left"/>
      <w:lvlText w:val="(%1)"/>
      <w:numFmt w:val="upperLetter"/>
      <w:start w:val="2"/>
    </w:lvl>
  </w:abstractNum>
  <w:abstractNum w:abstractNumId="95">
    <w:nsid w:val="F819E7F"/>
    <w:multiLevelType w:val="hybridMultilevel"/>
    <w:lvl w:ilvl="0">
      <w:lvlJc w:val="left"/>
      <w:lvlText w:val="(%1)"/>
      <w:numFmt w:val="upperLetter"/>
      <w:start w:val="1"/>
    </w:lvl>
  </w:abstractNum>
  <w:abstractNum w:abstractNumId="96">
    <w:nsid w:val="57C7D42D"/>
    <w:multiLevelType w:val="hybridMultilevel"/>
    <w:lvl w:ilvl="0">
      <w:lvlJc w:val="left"/>
      <w:lvlText w:val="(%1)"/>
      <w:numFmt w:val="lowerRoman"/>
      <w:start w:val="1"/>
    </w:lvl>
    <w:lvl w:ilvl="1">
      <w:lvlJc w:val="left"/>
      <w:lvlText w:val="-"/>
      <w:numFmt w:val="bullet"/>
      <w:start w:val="1"/>
    </w:lvl>
  </w:abstractNum>
  <w:abstractNum w:abstractNumId="97">
    <w:nsid w:val="312167AD"/>
    <w:multiLevelType w:val="hybridMultilevel"/>
    <w:lvl w:ilvl="0">
      <w:lvlJc w:val="left"/>
      <w:lvlText w:val="(%1)"/>
      <w:numFmt w:val="upperLetter"/>
      <w:start w:val="2"/>
    </w:lvl>
  </w:abstractNum>
  <w:abstractNum w:abstractNumId="98">
    <w:nsid w:val="631B64D4"/>
    <w:multiLevelType w:val="hybridMultilevel"/>
    <w:lvl w:ilvl="0">
      <w:lvlJc w:val="left"/>
      <w:lvlText w:val="(%1)"/>
      <w:numFmt w:val="upperLetter"/>
      <w:start w:val="1"/>
    </w:lvl>
    <w:lvl w:ilvl="1">
      <w:lvlJc w:val="left"/>
      <w:lvlText w:val="-"/>
      <w:numFmt w:val="bullet"/>
      <w:start w:val="1"/>
    </w:lvl>
  </w:abstractNum>
  <w:abstractNum w:abstractNumId="99">
    <w:nsid w:val="78B5E776"/>
    <w:multiLevelType w:val="hybridMultilevel"/>
    <w:lvl w:ilvl="0">
      <w:lvlJc w:val="left"/>
      <w:lvlText w:val="(%1)"/>
      <w:numFmt w:val="upperLetter"/>
      <w:start w:val="3"/>
    </w:lvl>
  </w:abstractNum>
  <w:abstractNum w:abstractNumId="100">
    <w:nsid w:val="75486E47"/>
    <w:multiLevelType w:val="hybridMultilevel"/>
    <w:lvl w:ilvl="0">
      <w:lvlJc w:val="left"/>
      <w:lvlText w:val="(%1)"/>
      <w:numFmt w:val="upperLetter"/>
      <w:start w:val="1"/>
    </w:lvl>
    <w:lvl w:ilvl="1">
      <w:lvlJc w:val="left"/>
      <w:lvlText w:val="(%2)"/>
      <w:numFmt w:val="lowerRoman"/>
      <w:start w:val="1"/>
    </w:lvl>
  </w:abstractNum>
  <w:abstractNum w:abstractNumId="101">
    <w:nsid w:val="6E534CDE"/>
    <w:multiLevelType w:val="hybridMultilevel"/>
    <w:lvl w:ilvl="0">
      <w:lvlJc w:val="left"/>
      <w:lvlText w:val="(%1)"/>
      <w:numFmt w:val="decimal"/>
      <w:start w:val="1"/>
    </w:lvl>
    <w:lvl w:ilvl="1">
      <w:lvlJc w:val="left"/>
      <w:lvlText w:val="-"/>
      <w:numFmt w:val="bullet"/>
      <w:start w:val="1"/>
    </w:lvl>
  </w:abstractNum>
  <w:abstractNum w:abstractNumId="102">
    <w:nsid w:val="1A0DDE32"/>
    <w:multiLevelType w:val="hybridMultilevel"/>
    <w:lvl w:ilvl="0">
      <w:lvlJc w:val="left"/>
      <w:lvlText w:val="(%1)"/>
      <w:numFmt w:val="decimal"/>
      <w:start w:val="2"/>
    </w:lvl>
  </w:abstractNum>
  <w:abstractNum w:abstractNumId="103">
    <w:nsid w:val="65968C1C"/>
    <w:multiLevelType w:val="hybridMultilevel"/>
    <w:lvl w:ilvl="0">
      <w:lvlJc w:val="left"/>
      <w:lvlText w:val="(%1)"/>
      <w:numFmt w:val="upperLetter"/>
      <w:start w:val="2"/>
    </w:lvl>
    <w:lvl w:ilvl="1">
      <w:lvlJc w:val="left"/>
      <w:lvlText w:val="-"/>
      <w:numFmt w:val="bullet"/>
      <w:start w:val="1"/>
    </w:lvl>
  </w:abstractNum>
  <w:abstractNum w:abstractNumId="104">
    <w:nsid w:val="46263DEC"/>
    <w:multiLevelType w:val="hybridMultilevel"/>
    <w:lvl w:ilvl="0">
      <w:lvlJc w:val="left"/>
      <w:lvlText w:val="(%1)"/>
      <w:numFmt w:val="upperLetter"/>
      <w:start w:val="3"/>
    </w:lvl>
  </w:abstractNum>
  <w:abstractNum w:abstractNumId="105">
    <w:nsid w:val="260D8C4A"/>
    <w:multiLevelType w:val="hybridMultilevel"/>
    <w:lvl w:ilvl="0">
      <w:lvlJc w:val="left"/>
      <w:lvlText w:val="(%1)"/>
      <w:numFmt w:val="upperLetter"/>
      <w:start w:val="1"/>
    </w:lvl>
    <w:lvl w:ilvl="1">
      <w:lvlJc w:val="left"/>
      <w:lvlText w:val="(%2)"/>
      <w:numFmt w:val="lowerRoman"/>
      <w:start w:val="1"/>
    </w:lvl>
  </w:abstractNum>
  <w:abstractNum w:abstractNumId="106">
    <w:nsid w:val="73D4D3C4"/>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107">
    <w:nsid w:val="746F2E30"/>
    <w:multiLevelType w:val="hybridMultilevel"/>
    <w:lvl w:ilvl="0">
      <w:lvlJc w:val="left"/>
      <w:lvlText w:val="%1"/>
      <w:numFmt w:val="lowerRoman"/>
      <w:start w:val="1"/>
    </w:lvl>
    <w:lvl w:ilvl="1">
      <w:lvlJc w:val="left"/>
      <w:lvlText w:val="(%2)"/>
      <w:numFmt w:val="decimal"/>
      <w:start w:val="1"/>
    </w:lvl>
    <w:lvl w:ilvl="2">
      <w:lvlJc w:val="left"/>
      <w:lvlText w:val="-"/>
      <w:numFmt w:val="bullet"/>
      <w:start w:val="1"/>
    </w:lvl>
  </w:abstractNum>
  <w:abstractNum w:abstractNumId="108">
    <w:nsid w:val="6FDE8AF6"/>
    <w:multiLevelType w:val="hybridMultilevel"/>
    <w:lvl w:ilvl="0">
      <w:lvlJc w:val="left"/>
      <w:lvlText w:val="(%1)"/>
      <w:numFmt w:val="lowerRoman"/>
      <w:start w:val="8"/>
    </w:lvl>
    <w:lvl w:ilvl="1">
      <w:lvlJc w:val="left"/>
      <w:lvlText w:val="(%2)"/>
      <w:numFmt w:val="decimal"/>
      <w:start w:val="1"/>
    </w:lvl>
    <w:lvl w:ilvl="2">
      <w:lvlJc w:val="left"/>
      <w:lvlText w:val="-"/>
      <w:numFmt w:val="bullet"/>
      <w:start w:val="1"/>
    </w:lvl>
  </w:abstractNum>
  <w:abstractNum w:abstractNumId="109">
    <w:nsid w:val="3FC32E20"/>
    <w:multiLevelType w:val="hybridMultilevel"/>
    <w:lvl w:ilvl="0">
      <w:lvlJc w:val="left"/>
      <w:lvlText w:val="%1"/>
      <w:numFmt w:val="upperLetter"/>
      <w:start w:val="1"/>
    </w:lvl>
    <w:lvl w:ilvl="1">
      <w:lvlJc w:val="left"/>
      <w:lvlText w:val="(%2)"/>
      <w:numFmt w:val="decimal"/>
      <w:start w:val="2"/>
    </w:lvl>
  </w:abstractNum>
  <w:abstractNum w:abstractNumId="110">
    <w:nsid w:val="49C0E823"/>
    <w:multiLevelType w:val="hybridMultilevel"/>
    <w:lvl w:ilvl="0">
      <w:lvlJc w:val="left"/>
      <w:lvlText w:val="(%1)"/>
      <w:numFmt w:val="upperLetter"/>
      <w:start w:val="2"/>
    </w:lvl>
    <w:lvl w:ilvl="1">
      <w:lvlJc w:val="left"/>
      <w:lvlText w:val="%2"/>
      <w:numFmt w:val="decimal"/>
      <w:start w:val="1"/>
    </w:lvl>
  </w:abstractNum>
  <w:abstractNum w:abstractNumId="111">
    <w:nsid w:val="14D53685"/>
    <w:multiLevelType w:val="hybridMultilevel"/>
    <w:lvl w:ilvl="0">
      <w:lvlJc w:val="left"/>
      <w:lvlText w:val="(%1)"/>
      <w:numFmt w:val="upperLetter"/>
      <w:start w:val="1"/>
    </w:lvl>
  </w:abstractNum>
  <w:abstractNum w:abstractNumId="112">
    <w:nsid w:val="230F856C"/>
    <w:multiLevelType w:val="hybridMultilevel"/>
    <w:lvl w:ilvl="0">
      <w:lvlJc w:val="left"/>
      <w:lvlText w:val="(%1)"/>
      <w:numFmt w:val="upperLetter"/>
      <w:start w:val="3"/>
    </w:lvl>
    <w:lvl w:ilvl="1">
      <w:lvlJc w:val="left"/>
      <w:lvlText w:val="-"/>
      <w:numFmt w:val="bullet"/>
      <w:start w:val="1"/>
    </w:lvl>
  </w:abstractNum>
  <w:abstractNum w:abstractNumId="113">
    <w:nsid w:val="6EAA85FB"/>
    <w:multiLevelType w:val="hybridMultilevel"/>
    <w:lvl w:ilvl="0">
      <w:lvlJc w:val="left"/>
      <w:lvlText w:val="(%1)"/>
      <w:numFmt w:val="upperLetter"/>
      <w:start w:val="1"/>
    </w:lvl>
  </w:abstractNum>
  <w:abstractNum w:abstractNumId="114">
    <w:nsid w:val="3F06ECB2"/>
    <w:multiLevelType w:val="hybridMultilevel"/>
    <w:lvl w:ilvl="0">
      <w:lvlJc w:val="left"/>
      <w:lvlText w:val="(%1)"/>
      <w:numFmt w:val="upperLetter"/>
      <w:start w:val="3"/>
    </w:lvl>
    <w:lvl w:ilvl="1">
      <w:lvlJc w:val="left"/>
      <w:lvlText w:val="-"/>
      <w:numFmt w:val="bullet"/>
      <w:start w:val="1"/>
    </w:lvl>
  </w:abstractNum>
  <w:abstractNum w:abstractNumId="115">
    <w:nsid w:val="3B594807"/>
    <w:multiLevelType w:val="hybridMultilevel"/>
    <w:lvl w:ilvl="0">
      <w:lvlJc w:val="left"/>
      <w:lvlText w:val="(%1)"/>
      <w:numFmt w:val="upperLetter"/>
      <w:start w:val="4"/>
    </w:lvl>
  </w:abstractNum>
  <w:abstractNum w:abstractNumId="116">
    <w:nsid w:val="6CAA2304"/>
    <w:multiLevelType w:val="hybridMultilevel"/>
    <w:lvl w:ilvl="0">
      <w:lvlJc w:val="left"/>
      <w:lvlText w:val="(%1)"/>
      <w:numFmt w:val="upperLetter"/>
      <w:start w:val="1"/>
    </w:lvl>
  </w:abstractNum>
  <w:abstractNum w:abstractNumId="117">
    <w:nsid w:val="3F7C2FF4"/>
    <w:multiLevelType w:val="hybridMultilevel"/>
    <w:lvl w:ilvl="0">
      <w:lvlJc w:val="left"/>
      <w:lvlText w:val="(%1)"/>
      <w:numFmt w:val="upperLetter"/>
      <w:start w:val="1"/>
    </w:lvl>
  </w:abstractNum>
  <w:abstractNum w:abstractNumId="118">
    <w:nsid w:val="25413BEC"/>
    <w:multiLevelType w:val="hybridMultilevel"/>
    <w:lvl w:ilvl="0">
      <w:lvlJc w:val="left"/>
      <w:lvlText w:val="(%1)"/>
      <w:numFmt w:val="upperLetter"/>
      <w:start w:val="1"/>
    </w:lvl>
    <w:lvl w:ilvl="1">
      <w:lvlJc w:val="left"/>
      <w:lvlText w:val="-"/>
      <w:numFmt w:val="bullet"/>
      <w:start w:val="1"/>
    </w:lvl>
  </w:abstractNum>
  <w:abstractNum w:abstractNumId="119">
    <w:nsid w:val="17180B0B"/>
    <w:multiLevelType w:val="hybridMultilevel"/>
    <w:lvl w:ilvl="0">
      <w:lvlJc w:val="left"/>
      <w:lvlText w:val="(%1)"/>
      <w:numFmt w:val="upperLetter"/>
      <w:start w:val="8"/>
    </w:lvl>
  </w:abstractNum>
  <w:abstractNum w:abstractNumId="120">
    <w:nsid w:val="579328B9"/>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121">
    <w:nsid w:val="5D205E20"/>
    <w:multiLevelType w:val="hybridMultilevel"/>
    <w:lvl w:ilvl="0">
      <w:lvlJc w:val="left"/>
      <w:lvlText w:val="(%1)"/>
      <w:numFmt w:val="lowerRoman"/>
      <w:start w:val="7"/>
    </w:lvl>
  </w:abstractNum>
  <w:abstractNum w:abstractNumId="122">
    <w:nsid w:val="11CCA8BA"/>
    <w:multiLevelType w:val="hybridMultilevel"/>
    <w:lvl w:ilvl="0">
      <w:lvlJc w:val="left"/>
      <w:lvlText w:val="(%1)"/>
      <w:numFmt w:val="upperLetter"/>
      <w:start w:val="2"/>
    </w:lvl>
  </w:abstractNum>
  <w:abstractNum w:abstractNumId="123">
    <w:nsid w:val="4D32AB86"/>
    <w:multiLevelType w:val="hybridMultilevel"/>
    <w:lvl w:ilvl="0">
      <w:lvlJc w:val="left"/>
      <w:lvlText w:val="(%1)"/>
      <w:numFmt w:val="upperLetter"/>
      <w:start w:val="1"/>
    </w:lvl>
    <w:lvl w:ilvl="1">
      <w:lvlJc w:val="left"/>
      <w:lvlText w:val="-"/>
      <w:numFmt w:val="bullet"/>
      <w:start w:val="1"/>
    </w:lvl>
  </w:abstractNum>
  <w:abstractNum w:abstractNumId="124">
    <w:nsid w:val="3F07ACC3"/>
    <w:multiLevelType w:val="hybridMultilevel"/>
    <w:lvl w:ilvl="0">
      <w:lvlJc w:val="left"/>
      <w:lvlText w:val="(%1)"/>
      <w:numFmt w:val="upperLetter"/>
      <w:start w:val="2"/>
    </w:lvl>
  </w:abstractNum>
  <w:abstractNum w:abstractNumId="125">
    <w:nsid w:val="6B47F63E"/>
    <w:multiLevelType w:val="hybridMultilevel"/>
    <w:lvl w:ilvl="0">
      <w:lvlJc w:val="left"/>
      <w:lvlText w:val="(%1)"/>
      <w:numFmt w:val="upperLetter"/>
      <w:start w:val="4"/>
    </w:lvl>
  </w:abstractNum>
  <w:abstractNum w:abstractNumId="126">
    <w:nsid w:val="5CB44A05"/>
    <w:multiLevelType w:val="hybridMultilevel"/>
    <w:lvl w:ilvl="0">
      <w:lvlJc w:val="left"/>
      <w:lvlText w:val="(%1)"/>
      <w:numFmt w:val="upperLetter"/>
      <w:start w:val="1"/>
    </w:lvl>
    <w:lvl w:ilvl="1">
      <w:lvlJc w:val="left"/>
      <w:lvlText w:val="-"/>
      <w:numFmt w:val="bullet"/>
      <w:start w:val="1"/>
    </w:lvl>
  </w:abstractNum>
  <w:abstractNum w:abstractNumId="127">
    <w:nsid w:val="16CF80F1"/>
    <w:multiLevelType w:val="hybridMultilevel"/>
    <w:lvl w:ilvl="0">
      <w:lvlJc w:val="left"/>
      <w:lvlText w:val="%1"/>
      <w:numFmt w:val="lowerRoman"/>
      <w:start w:val="1"/>
    </w:lvl>
    <w:lvl w:ilvl="1">
      <w:lvlJc w:val="left"/>
      <w:lvlText w:val="(%2)"/>
      <w:numFmt w:val="upperLetter"/>
      <w:start w:val="1"/>
    </w:lvl>
  </w:abstractNum>
  <w:abstractNum w:abstractNumId="128">
    <w:nsid w:val="1C695DEC"/>
    <w:multiLevelType w:val="hybridMultilevel"/>
    <w:lvl w:ilvl="0">
      <w:lvlJc w:val="left"/>
      <w:lvlText w:val="(%1)"/>
      <w:numFmt w:val="lowerRoman"/>
      <w:start w:val="2"/>
    </w:lvl>
    <w:lvl w:ilvl="1">
      <w:lvlJc w:val="left"/>
      <w:lvlText w:val="(%2)"/>
      <w:numFmt w:val="upperLetter"/>
      <w:start w:val="2"/>
    </w:lvl>
  </w:abstractNum>
  <w:abstractNum w:abstractNumId="129">
    <w:nsid w:val="3FCFAED9"/>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130">
    <w:nsid w:val="F856867"/>
    <w:multiLevelType w:val="hybridMultilevel"/>
    <w:lvl w:ilvl="0">
      <w:lvlJc w:val="left"/>
      <w:lvlText w:val="(%1)"/>
      <w:numFmt w:val="upperLetter"/>
      <w:start w:val="5"/>
    </w:lvl>
  </w:abstractNum>
  <w:abstractNum w:abstractNumId="131">
    <w:nsid w:val="11B1CC33"/>
    <w:multiLevelType w:val="hybridMultilevel"/>
    <w:lvl w:ilvl="0">
      <w:lvlJc w:val="left"/>
      <w:lvlText w:val="(%1)"/>
      <w:numFmt w:val="upperLetter"/>
      <w:start w:val="1"/>
    </w:lvl>
    <w:lvl w:ilvl="1">
      <w:lvlJc w:val="left"/>
      <w:lvlText w:val="-"/>
      <w:numFmt w:val="bullet"/>
      <w:start w:val="1"/>
    </w:lvl>
  </w:abstractNum>
  <w:abstractNum w:abstractNumId="132">
    <w:nsid w:val="2E22FBB7"/>
    <w:multiLevelType w:val="hybridMultilevel"/>
    <w:lvl w:ilvl="0">
      <w:lvlJc w:val="left"/>
      <w:lvlText w:val="(%1)"/>
      <w:numFmt w:val="upperLetter"/>
      <w:start w:val="10"/>
    </w:lvl>
  </w:abstractNum>
  <w:abstractNum w:abstractNumId="133">
    <w:nsid w:val="29934699"/>
    <w:multiLevelType w:val="hybridMultilevel"/>
    <w:lvl w:ilvl="0">
      <w:lvlJc w:val="left"/>
      <w:lvlText w:val="(%1)"/>
      <w:numFmt w:val="upperLetter"/>
      <w:start w:val="1"/>
    </w:lvl>
    <w:lvl w:ilvl="1">
      <w:lvlJc w:val="left"/>
      <w:lvlText w:val="-"/>
      <w:numFmt w:val="bullet"/>
      <w:start w:val="1"/>
    </w:lvl>
  </w:abstractNum>
  <w:abstractNum w:abstractNumId="134">
    <w:nsid w:val="77485850"/>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135">
    <w:nsid w:val="744939A3"/>
    <w:multiLevelType w:val="hybridMultilevel"/>
    <w:lvl w:ilvl="0">
      <w:lvlJc w:val="left"/>
      <w:lvlText w:val="(%1)"/>
      <w:numFmt w:val="upperLetter"/>
      <w:start w:val="1"/>
    </w:lvl>
  </w:abstractNum>
  <w:abstractNum w:abstractNumId="136">
    <w:nsid w:val="4FA0D2E3"/>
    <w:multiLevelType w:val="hybridMultilevel"/>
    <w:lvl w:ilvl="0">
      <w:lvlJc w:val="left"/>
      <w:lvlText w:val="(%1)"/>
      <w:numFmt w:val="upperLetter"/>
      <w:start w:val="1"/>
    </w:lvl>
    <w:lvl w:ilvl="1">
      <w:lvlJc w:val="left"/>
      <w:lvlText w:val="-"/>
      <w:numFmt w:val="bullet"/>
      <w:start w:val="1"/>
    </w:lvl>
  </w:abstractNum>
  <w:abstractNum w:abstractNumId="137">
    <w:nsid w:val="6B1D2C14"/>
    <w:multiLevelType w:val="hybridMultilevel"/>
    <w:lvl w:ilvl="0">
      <w:lvlJc w:val="left"/>
      <w:lvlText w:val="*"/>
      <w:numFmt w:val="bullet"/>
      <w:start w:val="1"/>
    </w:lvl>
  </w:abstractNum>
  <w:abstractNum w:abstractNumId="138">
    <w:nsid w:val="68B867D3"/>
    <w:multiLevelType w:val="hybridMultilevel"/>
    <w:lvl w:ilvl="0">
      <w:lvlJc w:val="left"/>
      <w:lvlText w:val="†"/>
      <w:numFmt w:val="bullet"/>
      <w:start w:val="1"/>
    </w:lvl>
  </w:abstractNum>
  <w:abstractNum w:abstractNumId="139">
    <w:nsid w:val="3F7F5DD9"/>
    <w:multiLevelType w:val="hybridMultilevel"/>
    <w:lvl w:ilvl="0">
      <w:lvlJc w:val="left"/>
      <w:lvlText w:val="%1."/>
      <w:numFmt w:val="decimal"/>
      <w:start w:val="1"/>
    </w:lvl>
  </w:abstractNum>
  <w:abstractNum w:abstractNumId="140">
    <w:nsid w:val="2AE05A34"/>
    <w:multiLevelType w:val="hybridMultilevel"/>
    <w:lvl w:ilvl="0">
      <w:lvlJc w:val="left"/>
      <w:lvlText w:val="%1."/>
      <w:numFmt w:val="decimal"/>
      <w:start w:val="9"/>
    </w:lvl>
    <w:lvl w:ilvl="1">
      <w:lvlJc w:val="left"/>
      <w:lvlText w:val="*"/>
      <w:numFmt w:val="bullet"/>
      <w:start w:val="1"/>
    </w:lvl>
  </w:abstractNum>
  <w:abstractNum w:abstractNumId="141">
    <w:nsid w:val="32794FF7"/>
    <w:multiLevelType w:val="hybridMultilevel"/>
    <w:lvl w:ilvl="0">
      <w:lvlJc w:val="left"/>
      <w:lvlText w:val="*"/>
      <w:numFmt w:val="bullet"/>
      <w:start w:val="1"/>
    </w:lvl>
  </w:abstractNum>
  <w:abstractNum w:abstractNumId="142">
    <w:nsid w:val="5454945E"/>
    <w:multiLevelType w:val="hybridMultilevel"/>
    <w:lvl w:ilvl="0">
      <w:lvlJc w:val="left"/>
      <w:lvlText w:val="☐"/>
      <w:numFmt w:val="bullet"/>
      <w:start w:val="1"/>
    </w:lvl>
  </w:abstractNum>
  <w:abstractNum w:abstractNumId="143">
    <w:nsid w:val="4DEFDFA0"/>
    <w:multiLevelType w:val="hybridMultilevel"/>
    <w:lvl w:ilvl="0">
      <w:lvlJc w:val="left"/>
      <w:lvlText w:val="*"/>
      <w:numFmt w:val="bullet"/>
      <w:start w:val="1"/>
    </w:lvl>
  </w:abstractNum>
  <w:abstractNum w:abstractNumId="144">
    <w:nsid w:val="2123D5F2"/>
    <w:multiLevelType w:val="hybridMultilevel"/>
    <w:lvl w:ilvl="0">
      <w:lvlJc w:val="left"/>
      <w:lvlText w:val="☐"/>
      <w:numFmt w:val="bullet"/>
      <w:start w:val="1"/>
    </w:lvl>
  </w:abstractNum>
  <w:abstractNum w:abstractNumId="145">
    <w:nsid w:val="135B8110"/>
    <w:multiLevelType w:val="hybridMultilevel"/>
    <w:lvl w:ilvl="0">
      <w:lvlJc w:val="left"/>
      <w:lvlText w:val="*"/>
      <w:numFmt w:val="bullet"/>
      <w:start w:val="1"/>
    </w:lvl>
  </w:abstractNum>
  <w:abstractNum w:abstractNumId="146">
    <w:nsid w:val="94927A8"/>
    <w:multiLevelType w:val="hybridMultilevel"/>
    <w:lvl w:ilvl="0">
      <w:lvlJc w:val="left"/>
      <w:lvlText w:val="☐"/>
      <w:numFmt w:val="bullet"/>
      <w:start w:val="1"/>
    </w:lvl>
  </w:abstractNum>
  <w:abstractNum w:abstractNumId="147">
    <w:nsid w:val="DCDF8F6"/>
    <w:multiLevelType w:val="hybridMultilevel"/>
    <w:lvl w:ilvl="0">
      <w:lvlJc w:val="left"/>
      <w:lvlText w:val="*"/>
      <w:numFmt w:val="bullet"/>
      <w:start w:val="1"/>
    </w:lvl>
  </w:abstractNum>
  <w:abstractNum w:abstractNumId="148">
    <w:nsid w:val="52D7B105"/>
    <w:multiLevelType w:val="hybridMultilevel"/>
    <w:lvl w:ilvl="0">
      <w:lvlJc w:val="left"/>
      <w:lvlText w:val="†"/>
      <w:numFmt w:val="bullet"/>
      <w:start w:val="1"/>
    </w:lvl>
  </w:abstractNum>
  <w:abstractNum w:abstractNumId="149">
    <w:nsid w:val="2E8A6394"/>
    <w:multiLevelType w:val="hybridMultilevel"/>
    <w:lvl w:ilvl="0">
      <w:lvlJc w:val="left"/>
      <w:lvlText w:val="%1."/>
      <w:numFmt w:val="decimal"/>
      <w:start w:val="1"/>
    </w:lvl>
  </w:abstractNum>
  <w:abstractNum w:abstractNumId="150">
    <w:nsid w:val="24E60401"/>
    <w:multiLevelType w:val="hybridMultilevel"/>
    <w:lvl w:ilvl="0">
      <w:lvlJc w:val="left"/>
      <w:lvlText w:val="(%1)"/>
      <w:numFmt w:val="decimal"/>
      <w:start w:val="1"/>
    </w:lvl>
    <w:lvl w:ilvl="1">
      <w:lvlJc w:val="left"/>
      <w:lvlText w:val="(%2)"/>
      <w:numFmt w:val="upperLetter"/>
      <w:start w:val="1"/>
    </w:lvl>
  </w:abstractNum>
  <w:abstractNum w:abstractNumId="151">
    <w:nsid w:val="2A6AD9BE"/>
    <w:multiLevelType w:val="hybridMultilevel"/>
    <w:lvl w:ilvl="0">
      <w:lvlJc w:val="left"/>
      <w:lvlText w:val="*"/>
      <w:numFmt w:val="bullet"/>
      <w:start w:val="1"/>
    </w:lvl>
  </w:abstractNum>
  <w:abstractNum w:abstractNumId="152">
    <w:nsid w:val="BAAC1B4"/>
    <w:multiLevelType w:val="hybridMultilevel"/>
    <w:lvl w:ilvl="0">
      <w:lvlJc w:val="left"/>
      <w:lvlText w:val="%1."/>
      <w:numFmt w:val="decimal"/>
      <w:start w:val="1"/>
    </w:lvl>
  </w:abstractNum>
  <w:abstractNum w:abstractNumId="153">
    <w:nsid w:val="36B2ACBC"/>
    <w:multiLevelType w:val="hybridMultilevel"/>
    <w:lvl w:ilvl="0">
      <w:lvlJc w:val="left"/>
      <w:lvlText w:val="1"/>
      <w:numFmt w:val="bullet"/>
      <w:start w:val="1"/>
    </w:lvl>
  </w:abstractNum>
  <w:abstractNum w:abstractNumId="154">
    <w:nsid w:val="779D8544"/>
    <w:multiLevelType w:val="hybridMultilevel"/>
    <w:lvl w:ilvl="0">
      <w:lvlJc w:val="left"/>
      <w:lvlText w:val="%1."/>
      <w:numFmt w:val="decimal"/>
      <w:start w:val="2"/>
    </w:lvl>
  </w:abstractNum>
  <w:abstractNum w:abstractNumId="155">
    <w:nsid w:val="4AB26E78"/>
    <w:multiLevelType w:val="hybridMultilevel"/>
    <w:lvl w:ilvl="0">
      <w:lvlJc w:val="left"/>
      <w:lvlText w:val="6"/>
      <w:numFmt w:val="bullet"/>
      <w:start w:val="1"/>
    </w:lvl>
  </w:abstractNum>
  <w:abstractNum w:abstractNumId="156">
    <w:nsid w:val="21FAA2FA"/>
    <w:multiLevelType w:val="hybridMultilevel"/>
    <w:lvl w:ilvl="0">
      <w:lvlJc w:val="left"/>
      <w:lvlText w:val="%1."/>
      <w:numFmt w:val="decimal"/>
      <w:start w:val="6"/>
    </w:lvl>
    <w:lvl w:ilvl="1">
      <w:lvlJc w:val="left"/>
      <w:lvlText w:val="(%2)"/>
      <w:numFmt w:val="lowerLetter"/>
      <w:start w:val="1"/>
    </w:lvl>
  </w:abstractNum>
  <w:abstractNum w:abstractNumId="157">
    <w:nsid w:val="5451CF49"/>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58">
    <w:nsid w:val="6181EF69"/>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8"/>
    </w:lvl>
  </w:abstractNum>
  <w:abstractNum w:abstractNumId="159">
    <w:nsid w:val="3E6400E6"/>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160">
    <w:nsid w:val="14217E23"/>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61">
    <w:nsid w:val="710757D0"/>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162">
    <w:nsid w:val="5015CD1A"/>
    <w:multiLevelType w:val="hybridMultilevel"/>
    <w:lvl w:ilvl="0">
      <w:lvlJc w:val="left"/>
      <w:lvlText w:val="7"/>
      <w:numFmt w:val="bullet"/>
      <w:start w:val="1"/>
    </w:lvl>
  </w:abstractNum>
  <w:abstractNum w:abstractNumId="163">
    <w:nsid w:val="424479DA"/>
    <w:multiLevelType w:val="hybridMultilevel"/>
    <w:lvl w:ilvl="0">
      <w:lvlJc w:val="left"/>
      <w:lvlText w:val="(%1)"/>
      <w:numFmt w:val="lowerRoman"/>
      <w:start w:val="3"/>
    </w:lvl>
  </w:abstractNum>
  <w:abstractNum w:abstractNumId="164">
    <w:nsid w:val="1A9A9E69"/>
    <w:multiLevelType w:val="hybridMultilevel"/>
    <w:lvl w:ilvl="0">
      <w:lvlJc w:val="left"/>
      <w:lvlText w:val="(%1)"/>
      <w:numFmt w:val="upperLetter"/>
      <w:start w:val="9"/>
    </w:lvl>
  </w:abstractNum>
  <w:abstractNum w:abstractNumId="165">
    <w:nsid w:val="475E256A"/>
    <w:multiLevelType w:val="hybridMultilevel"/>
    <w:lvl w:ilvl="0">
      <w:lvlJc w:val="left"/>
      <w:lvlText w:val="(%1)"/>
      <w:numFmt w:val="upperLetter"/>
      <w:start w:val="35"/>
    </w:lvl>
  </w:abstractNum>
  <w:abstractNum w:abstractNumId="166">
    <w:nsid w:val="368DB37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61"/>
    </w:lvl>
  </w:abstractNum>
  <w:abstractNum w:abstractNumId="167">
    <w:nsid w:val="6A3B714C"/>
    <w:multiLevelType w:val="hybridMultilevel"/>
    <w:lvl w:ilvl="0">
      <w:lvlJc w:val="left"/>
      <w:lvlText w:val="%1"/>
      <w:numFmt w:val="decimal"/>
      <w:start w:val="1"/>
    </w:lvl>
    <w:lvl w:ilvl="1">
      <w:lvlJc w:val="left"/>
      <w:lvlText w:val="(%2)"/>
      <w:numFmt w:val="lowerLetter"/>
      <w:start w:val="11"/>
    </w:lvl>
    <w:lvl w:ilvl="2">
      <w:lvlJc w:val="left"/>
      <w:lvlText w:val="%3"/>
      <w:numFmt w:val="lowerLetter"/>
      <w:start w:val="1"/>
    </w:lvl>
    <w:lvl w:ilvl="3">
      <w:lvlJc w:val="left"/>
      <w:lvlText w:val="%4"/>
      <w:numFmt w:val="upperLetter"/>
      <w:start w:val="1"/>
    </w:lvl>
  </w:abstractNum>
  <w:abstractNum w:abstractNumId="168">
    <w:nsid w:val="327B517E"/>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9"/>
    </w:lvl>
    <w:lvl w:ilvl="3">
      <w:lvlJc w:val="left"/>
      <w:lvlText w:val="%4"/>
      <w:numFmt w:val="upperLetter"/>
      <w:start w:val="1"/>
    </w:lvl>
  </w:abstractNum>
  <w:abstractNum w:abstractNumId="169">
    <w:nsid w:val="1F461B51"/>
    <w:multiLevelType w:val="hybridMultilevel"/>
    <w:lvl w:ilvl="0">
      <w:lvlJc w:val="left"/>
      <w:lvlText w:val="%1"/>
      <w:numFmt w:val="lowerLetter"/>
      <w:start w:val="1"/>
    </w:lvl>
    <w:lvl w:ilvl="1">
      <w:lvlJc w:val="left"/>
      <w:lvlText w:val="(%2)"/>
      <w:numFmt w:val="lowerLetter"/>
      <w:start w:val="35"/>
    </w:lvl>
  </w:abstractNum>
  <w:abstractNum w:abstractNumId="170">
    <w:nsid w:val="29BACF25"/>
    <w:multiLevelType w:val="hybridMultilevel"/>
    <w:lvl w:ilvl="0">
      <w:lvlJc w:val="left"/>
      <w:lvlText w:val="(%1)"/>
      <w:numFmt w:val="lowerLetter"/>
      <w:start w:val="2"/>
    </w:lvl>
    <w:lvl w:ilvl="1">
      <w:lvlJc w:val="left"/>
      <w:lvlText w:val="%2"/>
      <w:numFmt w:val="lowerLetter"/>
      <w:start w:val="1"/>
    </w:lvl>
  </w:abstractNum>
  <w:abstractNum w:abstractNumId="171">
    <w:nsid w:val="5D5BABB3"/>
    <w:multiLevelType w:val="hybridMultilevel"/>
    <w:lvl w:ilvl="0">
      <w:lvlJc w:val="left"/>
      <w:lvlText w:val="8"/>
      <w:numFmt w:val="bullet"/>
      <w:start w:val="1"/>
    </w:lvl>
  </w:abstractNum>
  <w:abstractNum w:abstractNumId="172">
    <w:nsid w:val="51BF6B48"/>
    <w:multiLevelType w:val="hybridMultilevel"/>
    <w:lvl w:ilvl="0">
      <w:lvlJc w:val="left"/>
      <w:lvlText w:val="(%1)"/>
      <w:numFmt w:val="lowerLetter"/>
      <w:start w:val="3"/>
    </w:lvl>
  </w:abstractNum>
  <w:abstractNum w:abstractNumId="173">
    <w:nsid w:val="7E0F6384"/>
    <w:multiLevelType w:val="hybridMultilevel"/>
    <w:lvl w:ilvl="0">
      <w:lvlJc w:val="left"/>
      <w:lvlText w:val="(%1)"/>
      <w:numFmt w:val="lowerLetter"/>
      <w:start w:val="4"/>
    </w:lvl>
  </w:abstractNum>
  <w:abstractNum w:abstractNumId="174">
    <w:nsid w:val="2B4B8B53"/>
    <w:multiLevelType w:val="hybridMultilevel"/>
    <w:lvl w:ilvl="0">
      <w:lvlJc w:val="left"/>
      <w:lvlText w:val="(%1)"/>
      <w:numFmt w:val="lowerLetter"/>
      <w:start w:val="5"/>
    </w:lvl>
  </w:abstractNum>
  <w:abstractNum w:abstractNumId="175">
    <w:nsid w:val="72E3413A"/>
    <w:multiLevelType w:val="hybridMultilevel"/>
    <w:lvl w:ilvl="0">
      <w:lvlJc w:val="left"/>
      <w:lvlText w:val="%1"/>
      <w:numFmt w:val="decimal"/>
      <w:start w:val="1"/>
    </w:lvl>
    <w:lvl w:ilvl="1">
      <w:lvlJc w:val="left"/>
      <w:lvlText w:val="(%2)"/>
      <w:numFmt w:val="lowerLetter"/>
      <w:start w:val="6"/>
    </w:lvl>
  </w:abstractNum>
  <w:abstractNum w:abstractNumId="176">
    <w:nsid w:val="116AE494"/>
    <w:multiLevelType w:val="hybridMultilevel"/>
    <w:lvl w:ilvl="0">
      <w:lvlJc w:val="left"/>
      <w:lvlText w:val="(%1)"/>
      <w:numFmt w:val="decimal"/>
      <w:start w:val="1"/>
    </w:lvl>
    <w:lvl w:ilvl="1">
      <w:lvlJc w:val="left"/>
      <w:lvlText w:val="%2"/>
      <w:numFmt w:val="lowerLetter"/>
      <w:start w:val="1"/>
    </w:lvl>
  </w:abstractNum>
  <w:abstractNum w:abstractNumId="177">
    <w:nsid w:val="3494B2FB"/>
    <w:multiLevelType w:val="hybridMultilevel"/>
    <w:lvl w:ilvl="0">
      <w:lvlJc w:val="left"/>
      <w:lvlText w:val="(%1)"/>
      <w:numFmt w:val="upperLetter"/>
      <w:start w:val="1"/>
    </w:lvl>
  </w:abstractNum>
  <w:abstractNum w:abstractNumId="178">
    <w:nsid w:val="B13A31"/>
    <w:multiLevelType w:val="hybridMultilevel"/>
    <w:lvl w:ilvl="0">
      <w:lvlJc w:val="left"/>
      <w:lvlText w:val="(%1)"/>
      <w:numFmt w:val="upperLetter"/>
      <w:start w:val="5"/>
    </w:lvl>
  </w:abstractNum>
  <w:abstractNum w:abstractNumId="179">
    <w:nsid w:val="64429599"/>
    <w:multiLevelType w:val="hybridMultilevel"/>
    <w:lvl w:ilvl="0">
      <w:lvlJc w:val="left"/>
      <w:lvlText w:val="(%1)"/>
      <w:numFmt w:val="lowerLetter"/>
      <w:start w:val="7"/>
    </w:lvl>
    <w:lvl w:ilvl="1">
      <w:lvlJc w:val="left"/>
      <w:lvlText w:val="(%2)"/>
      <w:numFmt w:val="lowerRoman"/>
      <w:start w:val="1"/>
    </w:lvl>
  </w:abstractNum>
  <w:abstractNum w:abstractNumId="180">
    <w:nsid w:val="631F1690"/>
    <w:multiLevelType w:val="hybridMultilevel"/>
    <w:lvl w:ilvl="0">
      <w:lvlJc w:val="left"/>
      <w:lvlText w:val="(%1)"/>
      <w:numFmt w:val="lowerLetter"/>
      <w:start w:val="11"/>
    </w:lvl>
    <w:lvl w:ilvl="1">
      <w:lvlJc w:val="left"/>
      <w:lvlText w:val="(%2)"/>
      <w:numFmt w:val="lowerRoman"/>
      <w:start w:val="1"/>
    </w:lvl>
  </w:abstractNum>
  <w:abstractNum w:abstractNumId="181">
    <w:nsid w:val="25973E32"/>
    <w:multiLevelType w:val="hybridMultilevel"/>
    <w:lvl w:ilvl="0">
      <w:lvlJc w:val="left"/>
      <w:lvlText w:val="%1"/>
      <w:numFmt w:val="decimal"/>
      <w:start w:val="11"/>
    </w:lvl>
  </w:abstractNum>
  <w:abstractNum w:abstractNumId="182">
    <w:nsid w:val="EAD6F57"/>
    <w:multiLevelType w:val="hybridMultilevel"/>
    <w:lvl w:ilvl="0">
      <w:lvlJc w:val="left"/>
      <w:lvlText w:val="%1"/>
      <w:numFmt w:val="lowerLetter"/>
      <w:start w:val="1"/>
    </w:lvl>
    <w:lvl w:ilvl="1">
      <w:lvlJc w:val="left"/>
      <w:lvlText w:val="(%2)"/>
      <w:numFmt w:val="lowerRoman"/>
      <w:start w:val="3"/>
    </w:lvl>
  </w:abstractNum>
  <w:abstractNum w:abstractNumId="183">
    <w:nsid w:val="6EC9D844"/>
    <w:multiLevelType w:val="hybridMultilevel"/>
    <w:lvl w:ilvl="0">
      <w:lvlJc w:val="left"/>
      <w:lvlText w:val="(%1)"/>
      <w:numFmt w:val="lowerLetter"/>
      <w:start w:val="14"/>
    </w:lvl>
    <w:lvl w:ilvl="1">
      <w:lvlJc w:val="left"/>
      <w:lvlText w:val="%2"/>
      <w:numFmt w:val="lowerRoman"/>
      <w:start w:val="1"/>
    </w:lvl>
  </w:abstractNum>
  <w:abstractNum w:abstractNumId="184">
    <w:nsid w:val="5C49EAEE"/>
    <w:multiLevelType w:val="hybridMultilevel"/>
    <w:lvl w:ilvl="0">
      <w:lvlJc w:val="left"/>
      <w:lvlText w:val="(%1)"/>
      <w:numFmt w:val="lowerLetter"/>
      <w:start w:val="20"/>
    </w:lvl>
    <w:lvl w:ilvl="1">
      <w:lvlJc w:val="left"/>
      <w:lvlText w:val="(%2)"/>
      <w:numFmt w:val="lowerLetter"/>
      <w:start w:val="9"/>
    </w:lvl>
  </w:abstractNum>
  <w:abstractNum w:abstractNumId="185">
    <w:nsid w:val="64AF49B"/>
    <w:multiLevelType w:val="hybridMultilevel"/>
    <w:lvl w:ilvl="0">
      <w:lvlJc w:val="left"/>
      <w:lvlText w:val="%1"/>
      <w:numFmt w:val="lowerLetter"/>
      <w:start w:val="1"/>
    </w:lvl>
    <w:lvl w:ilvl="1">
      <w:lvlJc w:val="left"/>
      <w:lvlText w:val="(%2)"/>
      <w:numFmt w:val="lowerLetter"/>
      <w:start w:val="35"/>
    </w:lvl>
  </w:abstractNum>
  <w:abstractNum w:abstractNumId="186">
    <w:nsid w:val="397C46BC"/>
    <w:multiLevelType w:val="hybridMultilevel"/>
    <w:lvl w:ilvl="0">
      <w:lvlJc w:val="left"/>
      <w:lvlText w:val="(%1)"/>
      <w:numFmt w:val="lowerLetter"/>
      <w:start w:val="23"/>
    </w:lvl>
    <w:lvl w:ilvl="1">
      <w:lvlJc w:val="left"/>
      <w:lvlText w:val="%2"/>
      <w:numFmt w:val="lowerLetter"/>
      <w:start w:val="1"/>
    </w:lvl>
  </w:abstractNum>
  <w:abstractNum w:abstractNumId="187">
    <w:nsid w:val="7E448DE9"/>
    <w:multiLevelType w:val="hybridMultilevel"/>
    <w:lvl w:ilvl="0">
      <w:lvlJc w:val="left"/>
      <w:lvlText w:val="%1"/>
      <w:numFmt w:val="decimal"/>
      <w:start w:val="13"/>
    </w:lvl>
  </w:abstractNum>
  <w:abstractNum w:abstractNumId="188">
    <w:nsid w:val="5A9CC3E5"/>
    <w:multiLevelType w:val="hybridMultilevel"/>
    <w:lvl w:ilvl="0">
      <w:lvlJc w:val="left"/>
      <w:lvlText w:val="(%1)"/>
      <w:numFmt w:val="lowerLetter"/>
      <w:start w:val="25"/>
    </w:lvl>
  </w:abstractNum>
  <w:abstractNum w:abstractNumId="189">
    <w:nsid w:val="1AFE3625"/>
    <w:multiLevelType w:val="hybridMultilevel"/>
    <w:lvl w:ilvl="0">
      <w:lvlJc w:val="left"/>
      <w:lvlText w:val="(%1)"/>
      <w:numFmt w:val="lowerLetter"/>
      <w:start w:val="27"/>
    </w:lvl>
  </w:abstractNum>
  <w:abstractNum w:abstractNumId="190">
    <w:nsid w:val="3CA88ECF"/>
    <w:multiLevelType w:val="hybridMultilevel"/>
    <w:lvl w:ilvl="0">
      <w:lvlJc w:val="left"/>
      <w:lvlText w:val="%1"/>
      <w:numFmt w:val="decimal"/>
      <w:start w:val="15"/>
    </w:lvl>
  </w:abstractNum>
  <w:abstractNum w:abstractNumId="191">
    <w:nsid w:val="6EBE4208"/>
    <w:multiLevelType w:val="hybridMultilevel"/>
    <w:lvl w:ilvl="0">
      <w:lvlJc w:val="left"/>
      <w:lvlText w:val="%1"/>
      <w:numFmt w:val="decimal"/>
      <w:start w:val="16"/>
    </w:lvl>
  </w:abstractNum>
  <w:abstractNum w:abstractNumId="192">
    <w:nsid w:val="C058DF5"/>
    <w:multiLevelType w:val="hybridMultilevel"/>
    <w:lvl w:ilvl="0">
      <w:lvlJc w:val="left"/>
      <w:lvlText w:val="%1"/>
      <w:numFmt w:val="decimal"/>
      <w:start w:val="17"/>
    </w:lvl>
  </w:abstractNum>
  <w:abstractNum w:abstractNumId="193">
    <w:nsid w:val="CBE5BE9"/>
    <w:multiLevelType w:val="hybridMultilevel"/>
    <w:lvl w:ilvl="0">
      <w:lvlJc w:val="left"/>
      <w:lvlText w:val="•"/>
      <w:numFmt w:val="bullet"/>
      <w:start w:val="1"/>
    </w:lvl>
  </w:abstractNum>
  <w:abstractNum w:abstractNumId="194">
    <w:nsid w:val="3102BBE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2026-05-14T15:23:42Z</dcterms:created>
  <dcterms:modified xsi:type="dcterms:W3CDTF">2026-05-14T15:23:42Z</dcterms:modified>
</cp:coreProperties>
</file>