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323"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198755</wp:posOffset>
            </wp:positionH>
            <wp:positionV relativeFrom="page">
              <wp:posOffset>1000125</wp:posOffset>
            </wp:positionV>
            <wp:extent cx="7152005" cy="1460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2005" cy="1460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3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123190</wp:posOffset>
            </wp:positionV>
            <wp:extent cx="715200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144780</wp:posOffset>
            </wp:positionV>
            <wp:extent cx="715200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CURRENT REPORT</w:t>
      </w:r>
    </w:p>
    <w:p>
      <w:pPr>
        <w:spacing w:after="0" w:line="27"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Pursuant to Section 13 or 15(d) of the Securities Exchange Act of 1934</w:t>
      </w:r>
    </w:p>
    <w:p>
      <w:pPr>
        <w:spacing w:after="0" w:line="8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Date of Report (Date of earliest event reported): May 19,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128270</wp:posOffset>
            </wp:positionV>
            <wp:extent cx="715200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96" w:lineRule="exact"/>
        <w:rPr>
          <w:sz w:val="24"/>
          <w:szCs w:val="24"/>
          <w:color w:val="auto"/>
        </w:rPr>
      </w:pPr>
    </w:p>
    <w:tbl>
      <w:tblPr>
        <w:tblLayout w:type="fixed"/>
        <w:tblInd w:w="0" w:type="dxa"/>
        <w:tblCellMar>
          <w:top w:w="0" w:type="dxa"/>
          <w:left w:w="0" w:type="dxa"/>
          <w:bottom w:w="0" w:type="dxa"/>
          <w:right w:w="0" w:type="dxa"/>
        </w:tblCellMar>
      </w:tblPr>
      <w:tr>
        <w:trPr>
          <w:trHeight w:val="350"/>
        </w:trPr>
        <w:tc>
          <w:tcPr>
            <w:tcW w:w="4060" w:type="dxa"/>
            <w:vAlign w:val="bottom"/>
          </w:tcPr>
          <w:p>
            <w:pPr>
              <w:spacing w:after="0"/>
              <w:rPr>
                <w:sz w:val="24"/>
                <w:szCs w:val="24"/>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28"/>
                <w:szCs w:val="28"/>
                <w:b w:val="1"/>
                <w:bCs w:val="1"/>
                <w:color w:val="auto"/>
                <w:w w:val="99"/>
              </w:rPr>
              <w:t>IREN LIMITED</w:t>
            </w:r>
          </w:p>
        </w:tc>
      </w:tr>
      <w:tr>
        <w:trPr>
          <w:trHeight w:val="184"/>
        </w:trPr>
        <w:tc>
          <w:tcPr>
            <w:tcW w:w="4060" w:type="dxa"/>
            <w:vAlign w:val="bottom"/>
          </w:tcPr>
          <w:p>
            <w:pPr>
              <w:spacing w:after="0"/>
              <w:rPr>
                <w:sz w:val="15"/>
                <w:szCs w:val="15"/>
                <w:color w:val="auto"/>
              </w:rPr>
            </w:pPr>
          </w:p>
        </w:tc>
        <w:tc>
          <w:tcPr>
            <w:tcW w:w="7200" w:type="dxa"/>
            <w:vAlign w:val="bottom"/>
          </w:tcPr>
          <w:p>
            <w:pPr>
              <w:jc w:val="center"/>
              <w:ind w:right="3987"/>
              <w:spacing w:after="0"/>
              <w:rPr>
                <w:sz w:val="20"/>
                <w:szCs w:val="20"/>
                <w:color w:val="auto"/>
              </w:rPr>
            </w:pPr>
            <w:r>
              <w:rPr>
                <w:rFonts w:ascii="Times New Roman" w:cs="Times New Roman" w:eastAsia="Times New Roman" w:hAnsi="Times New Roman"/>
                <w:sz w:val="14"/>
                <w:szCs w:val="14"/>
                <w:b w:val="1"/>
                <w:bCs w:val="1"/>
                <w:color w:val="auto"/>
                <w:w w:val="98"/>
              </w:rPr>
              <w:t>(Exact name of registrant as specified in its charter)</w:t>
            </w:r>
          </w:p>
        </w:tc>
      </w:tr>
      <w:tr>
        <w:trPr>
          <w:trHeight w:val="178"/>
        </w:trPr>
        <w:tc>
          <w:tcPr>
            <w:tcW w:w="4060" w:type="dxa"/>
            <w:vAlign w:val="bottom"/>
            <w:tcBorders>
              <w:bottom w:val="single" w:sz="8" w:color="auto"/>
            </w:tcBorders>
          </w:tcPr>
          <w:p>
            <w:pPr>
              <w:spacing w:after="0"/>
              <w:rPr>
                <w:sz w:val="15"/>
                <w:szCs w:val="15"/>
                <w:color w:val="auto"/>
              </w:rPr>
            </w:pPr>
          </w:p>
        </w:tc>
        <w:tc>
          <w:tcPr>
            <w:tcW w:w="7200" w:type="dxa"/>
            <w:vAlign w:val="bottom"/>
            <w:tcBorders>
              <w:bottom w:val="single" w:sz="8" w:color="auto"/>
            </w:tcBorders>
          </w:tcPr>
          <w:p>
            <w:pPr>
              <w:spacing w:after="0"/>
              <w:rPr>
                <w:sz w:val="15"/>
                <w:szCs w:val="15"/>
                <w:color w:val="auto"/>
              </w:rPr>
            </w:pPr>
          </w:p>
        </w:tc>
      </w:tr>
      <w:tr>
        <w:trPr>
          <w:trHeight w:val="242"/>
        </w:trPr>
        <w:tc>
          <w:tcPr>
            <w:tcW w:w="4060" w:type="dxa"/>
            <w:vAlign w:val="bottom"/>
          </w:tcPr>
          <w:p>
            <w:pPr>
              <w:spacing w:after="0"/>
              <w:rPr>
                <w:sz w:val="21"/>
                <w:szCs w:val="21"/>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14"/>
                <w:szCs w:val="14"/>
                <w:b w:val="1"/>
                <w:bCs w:val="1"/>
                <w:color w:val="auto"/>
                <w:w w:val="99"/>
              </w:rPr>
              <w:t>Commission File Number: 001-41072</w:t>
            </w:r>
          </w:p>
        </w:tc>
      </w:tr>
      <w:tr>
        <w:trPr>
          <w:trHeight w:val="272"/>
        </w:trPr>
        <w:tc>
          <w:tcPr>
            <w:tcW w:w="4060" w:type="dxa"/>
            <w:vAlign w:val="bottom"/>
          </w:tcPr>
          <w:p>
            <w:pPr>
              <w:jc w:val="center"/>
              <w:ind w:left="2338"/>
              <w:spacing w:after="0"/>
              <w:rPr>
                <w:sz w:val="20"/>
                <w:szCs w:val="20"/>
                <w:color w:val="auto"/>
              </w:rPr>
            </w:pPr>
            <w:r>
              <w:rPr>
                <w:rFonts w:ascii="Times New Roman" w:cs="Times New Roman" w:eastAsia="Times New Roman" w:hAnsi="Times New Roman"/>
                <w:sz w:val="12"/>
                <w:szCs w:val="12"/>
                <w:b w:val="1"/>
                <w:bCs w:val="1"/>
                <w:color w:val="auto"/>
              </w:rPr>
              <w:t>Australia</w:t>
            </w:r>
          </w:p>
        </w:tc>
        <w:tc>
          <w:tcPr>
            <w:tcW w:w="7200" w:type="dxa"/>
            <w:vAlign w:val="bottom"/>
          </w:tcPr>
          <w:p>
            <w:pPr>
              <w:jc w:val="center"/>
              <w:ind w:left="2527"/>
              <w:spacing w:after="0"/>
              <w:rPr>
                <w:sz w:val="20"/>
                <w:szCs w:val="20"/>
                <w:color w:val="auto"/>
              </w:rPr>
            </w:pPr>
            <w:r>
              <w:rPr>
                <w:rFonts w:ascii="Times New Roman" w:cs="Times New Roman" w:eastAsia="Times New Roman" w:hAnsi="Times New Roman"/>
                <w:sz w:val="12"/>
                <w:szCs w:val="12"/>
                <w:b w:val="1"/>
                <w:bCs w:val="1"/>
                <w:color w:val="auto"/>
              </w:rPr>
              <w:t>Not Applicable</w:t>
            </w:r>
          </w:p>
        </w:tc>
      </w:tr>
      <w:tr>
        <w:trPr>
          <w:trHeight w:val="185"/>
        </w:trPr>
        <w:tc>
          <w:tcPr>
            <w:tcW w:w="4060" w:type="dxa"/>
            <w:vAlign w:val="bottom"/>
          </w:tcPr>
          <w:p>
            <w:pPr>
              <w:jc w:val="center"/>
              <w:ind w:left="2378"/>
              <w:spacing w:after="0"/>
              <w:rPr>
                <w:sz w:val="20"/>
                <w:szCs w:val="20"/>
                <w:color w:val="auto"/>
              </w:rPr>
            </w:pPr>
            <w:r>
              <w:rPr>
                <w:rFonts w:ascii="Times New Roman" w:cs="Times New Roman" w:eastAsia="Times New Roman" w:hAnsi="Times New Roman"/>
                <w:sz w:val="12"/>
                <w:szCs w:val="12"/>
                <w:b w:val="1"/>
                <w:bCs w:val="1"/>
                <w:color w:val="auto"/>
              </w:rPr>
              <w:t>(State or other jurisdiction of</w:t>
            </w:r>
          </w:p>
        </w:tc>
        <w:tc>
          <w:tcPr>
            <w:tcW w:w="7200" w:type="dxa"/>
            <w:vAlign w:val="bottom"/>
          </w:tcPr>
          <w:p>
            <w:pPr>
              <w:jc w:val="center"/>
              <w:ind w:left="2487"/>
              <w:spacing w:after="0"/>
              <w:rPr>
                <w:sz w:val="20"/>
                <w:szCs w:val="20"/>
                <w:color w:val="auto"/>
              </w:rPr>
            </w:pPr>
            <w:r>
              <w:rPr>
                <w:rFonts w:ascii="Times New Roman" w:cs="Times New Roman" w:eastAsia="Times New Roman" w:hAnsi="Times New Roman"/>
                <w:sz w:val="12"/>
                <w:szCs w:val="12"/>
                <w:b w:val="1"/>
                <w:bCs w:val="1"/>
                <w:color w:val="auto"/>
              </w:rPr>
              <w:t>(IRS Employer</w:t>
            </w:r>
          </w:p>
        </w:tc>
      </w:tr>
      <w:tr>
        <w:trPr>
          <w:trHeight w:val="162"/>
        </w:trPr>
        <w:tc>
          <w:tcPr>
            <w:tcW w:w="4060" w:type="dxa"/>
            <w:vAlign w:val="bottom"/>
          </w:tcPr>
          <w:p>
            <w:pPr>
              <w:jc w:val="center"/>
              <w:ind w:left="2338"/>
              <w:spacing w:after="0"/>
              <w:rPr>
                <w:sz w:val="20"/>
                <w:szCs w:val="20"/>
                <w:color w:val="auto"/>
              </w:rPr>
            </w:pPr>
            <w:r>
              <w:rPr>
                <w:rFonts w:ascii="Times New Roman" w:cs="Times New Roman" w:eastAsia="Times New Roman" w:hAnsi="Times New Roman"/>
                <w:sz w:val="12"/>
                <w:szCs w:val="12"/>
                <w:b w:val="1"/>
                <w:bCs w:val="1"/>
                <w:color w:val="auto"/>
              </w:rPr>
              <w:t>incorporation)</w:t>
            </w:r>
          </w:p>
        </w:tc>
        <w:tc>
          <w:tcPr>
            <w:tcW w:w="7200" w:type="dxa"/>
            <w:vAlign w:val="bottom"/>
          </w:tcPr>
          <w:p>
            <w:pPr>
              <w:jc w:val="center"/>
              <w:ind w:left="2487"/>
              <w:spacing w:after="0"/>
              <w:rPr>
                <w:sz w:val="20"/>
                <w:szCs w:val="20"/>
                <w:color w:val="auto"/>
              </w:rPr>
            </w:pPr>
            <w:r>
              <w:rPr>
                <w:rFonts w:ascii="Times New Roman" w:cs="Times New Roman" w:eastAsia="Times New Roman" w:hAnsi="Times New Roman"/>
                <w:sz w:val="12"/>
                <w:szCs w:val="12"/>
                <w:b w:val="1"/>
                <w:bCs w:val="1"/>
                <w:color w:val="auto"/>
              </w:rPr>
              <w:t>Identification No.)</w:t>
            </w:r>
          </w:p>
        </w:tc>
      </w:tr>
      <w:tr>
        <w:trPr>
          <w:trHeight w:val="220"/>
        </w:trPr>
        <w:tc>
          <w:tcPr>
            <w:tcW w:w="4060" w:type="dxa"/>
            <w:vAlign w:val="bottom"/>
          </w:tcPr>
          <w:p>
            <w:pPr>
              <w:spacing w:after="0"/>
              <w:rPr>
                <w:sz w:val="19"/>
                <w:szCs w:val="19"/>
                <w:color w:val="auto"/>
              </w:rPr>
            </w:pPr>
          </w:p>
        </w:tc>
        <w:tc>
          <w:tcPr>
            <w:tcW w:w="7200" w:type="dxa"/>
            <w:vAlign w:val="bottom"/>
          </w:tcPr>
          <w:p>
            <w:pPr>
              <w:jc w:val="center"/>
              <w:ind w:right="4007"/>
              <w:spacing w:after="0"/>
              <w:rPr>
                <w:sz w:val="20"/>
                <w:szCs w:val="20"/>
                <w:color w:val="auto"/>
              </w:rPr>
            </w:pPr>
            <w:r>
              <w:rPr>
                <w:rFonts w:ascii="Times New Roman" w:cs="Times New Roman" w:eastAsia="Times New Roman" w:hAnsi="Times New Roman"/>
                <w:sz w:val="12"/>
                <w:szCs w:val="12"/>
                <w:b w:val="1"/>
                <w:bCs w:val="1"/>
                <w:color w:val="auto"/>
              </w:rPr>
              <w:t>Level 5, 55 Market Street, Sydney, NSW 2000 Australia</w:t>
            </w:r>
          </w:p>
        </w:tc>
      </w:tr>
      <w:tr>
        <w:trPr>
          <w:trHeight w:val="197"/>
        </w:trPr>
        <w:tc>
          <w:tcPr>
            <w:tcW w:w="4060" w:type="dxa"/>
            <w:vAlign w:val="bottom"/>
          </w:tcPr>
          <w:p>
            <w:pPr>
              <w:spacing w:after="0"/>
              <w:rPr>
                <w:sz w:val="17"/>
                <w:szCs w:val="17"/>
                <w:color w:val="auto"/>
              </w:rPr>
            </w:pPr>
          </w:p>
        </w:tc>
        <w:tc>
          <w:tcPr>
            <w:tcW w:w="7200" w:type="dxa"/>
            <w:vAlign w:val="bottom"/>
          </w:tcPr>
          <w:p>
            <w:pPr>
              <w:jc w:val="center"/>
              <w:ind w:right="3987"/>
              <w:spacing w:after="0"/>
              <w:rPr>
                <w:sz w:val="20"/>
                <w:szCs w:val="20"/>
                <w:color w:val="auto"/>
              </w:rPr>
            </w:pPr>
            <w:r>
              <w:rPr>
                <w:rFonts w:ascii="Times New Roman" w:cs="Times New Roman" w:eastAsia="Times New Roman" w:hAnsi="Times New Roman"/>
                <w:sz w:val="12"/>
                <w:szCs w:val="12"/>
                <w:b w:val="1"/>
                <w:bCs w:val="1"/>
                <w:color w:val="auto"/>
              </w:rPr>
              <w:t>(Address of principal executive offices, including zip code)</w:t>
            </w:r>
          </w:p>
        </w:tc>
      </w:tr>
    </w:tbl>
    <w:p>
      <w:pPr>
        <w:spacing w:after="0" w:line="14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+61 2 7906 8301</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7152005"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Check the appropriate box below if the Form 8-K filing is intended to simultaneously satisfy the filing obligation of the registrant under any of the following provisions:</w:t>
      </w:r>
    </w:p>
    <w:p>
      <w:pPr>
        <w:spacing w:after="0" w:line="140" w:lineRule="exact"/>
        <w:rPr>
          <w:sz w:val="24"/>
          <w:szCs w:val="2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Written communications pursuant to Rule 425 under the Securities Act (17 CFR 230.425)</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Soliciting material pursuant to Rule 14a-12 under the Exchange Act (17 CFR 240.14a-12)</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14d-2(b) under the Exchange Act (17 CFR 240.14d-2(b))</w:t>
      </w:r>
    </w:p>
    <w:p>
      <w:pPr>
        <w:spacing w:after="0" w:line="47" w:lineRule="exact"/>
        <w:rPr>
          <w:rFonts w:ascii="MS PGothic" w:cs="MS PGothic" w:eastAsia="MS PGothic" w:hAnsi="MS PGothic"/>
          <w:sz w:val="14"/>
          <w:szCs w:val="14"/>
          <w:color w:val="auto"/>
        </w:rPr>
      </w:pPr>
    </w:p>
    <w:p>
      <w:pPr>
        <w:ind w:left="500" w:hanging="492"/>
        <w:spacing w:after="0"/>
        <w:tabs>
          <w:tab w:leader="none" w:pos="500" w:val="left"/>
        </w:tabs>
        <w:numPr>
          <w:ilvl w:val="0"/>
          <w:numId w:val="1"/>
        </w:numPr>
        <w:rPr>
          <w:rFonts w:ascii="MS PGothic" w:cs="MS PGothic" w:eastAsia="MS PGothic" w:hAnsi="MS PGothic"/>
          <w:sz w:val="14"/>
          <w:szCs w:val="14"/>
          <w:color w:val="auto"/>
        </w:rPr>
      </w:pPr>
      <w:r>
        <w:rPr>
          <w:rFonts w:ascii="Times New Roman" w:cs="Times New Roman" w:eastAsia="Times New Roman" w:hAnsi="Times New Roman"/>
          <w:sz w:val="14"/>
          <w:szCs w:val="14"/>
          <w:color w:val="auto"/>
        </w:rPr>
        <w:t>Pre-commencement communications pursuant to Rule 13c-4(c) under the Exchange Act (17 CFR 240.13e-4(c))</w:t>
      </w:r>
    </w:p>
    <w:p>
      <w:pPr>
        <w:spacing w:after="0" w:line="150" w:lineRule="exact"/>
        <w:rPr>
          <w:sz w:val="24"/>
          <w:szCs w:val="24"/>
          <w:color w:val="auto"/>
        </w:rPr>
      </w:pPr>
    </w:p>
    <w:tbl>
      <w:tblPr>
        <w:tblLayout w:type="fixed"/>
        <w:tblInd w:w="0" w:type="dxa"/>
        <w:tblCellMar>
          <w:top w:w="0" w:type="dxa"/>
          <w:left w:w="0" w:type="dxa"/>
          <w:bottom w:w="0" w:type="dxa"/>
          <w:right w:w="0" w:type="dxa"/>
        </w:tblCellMar>
      </w:tblPr>
      <w:tr>
        <w:trPr>
          <w:trHeight w:val="184"/>
        </w:trPr>
        <w:tc>
          <w:tcPr>
            <w:tcW w:w="36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w w:val="98"/>
              </w:rPr>
              <w:t>Securities Registered Pursuant to Section 12(b) of the Act:</w:t>
            </w:r>
          </w:p>
        </w:tc>
        <w:tc>
          <w:tcPr>
            <w:tcW w:w="3700" w:type="dxa"/>
            <w:vAlign w:val="bottom"/>
          </w:tcPr>
          <w:p>
            <w:pPr>
              <w:spacing w:after="0"/>
              <w:rPr>
                <w:sz w:val="15"/>
                <w:szCs w:val="15"/>
                <w:color w:val="auto"/>
              </w:rPr>
            </w:pPr>
          </w:p>
        </w:tc>
      </w:tr>
      <w:tr>
        <w:trPr>
          <w:trHeight w:val="216"/>
        </w:trPr>
        <w:tc>
          <w:tcPr>
            <w:tcW w:w="3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Title of each class</w:t>
            </w:r>
          </w:p>
        </w:tc>
        <w:tc>
          <w:tcPr>
            <w:tcW w:w="8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Trading symbol(s)</w:t>
            </w:r>
          </w:p>
        </w:tc>
        <w:tc>
          <w:tcPr>
            <w:tcW w:w="100" w:type="dxa"/>
            <w:vAlign w:val="bottom"/>
          </w:tcPr>
          <w:p>
            <w:pPr>
              <w:spacing w:after="0"/>
              <w:rPr>
                <w:sz w:val="18"/>
                <w:szCs w:val="18"/>
                <w:color w:val="auto"/>
              </w:rPr>
            </w:pPr>
          </w:p>
        </w:tc>
        <w:tc>
          <w:tcPr>
            <w:tcW w:w="3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Name of each exchange on which registered</w:t>
            </w:r>
          </w:p>
        </w:tc>
      </w:tr>
      <w:tr>
        <w:trPr>
          <w:trHeight w:val="192"/>
        </w:trPr>
        <w:tc>
          <w:tcPr>
            <w:tcW w:w="37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9"/>
              </w:rPr>
              <w:t>Ordinary shares, no par value</w:t>
            </w:r>
          </w:p>
        </w:tc>
        <w:tc>
          <w:tcPr>
            <w:tcW w:w="380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color w:val="auto"/>
                <w:w w:val="97"/>
              </w:rPr>
              <w:t>IREN</w:t>
            </w:r>
          </w:p>
        </w:tc>
        <w:tc>
          <w:tcPr>
            <w:tcW w:w="370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The Nasdaq Stock Market LLC</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wp:posOffset>
            </wp:positionH>
            <wp:positionV relativeFrom="paragraph">
              <wp:posOffset>208280</wp:posOffset>
            </wp:positionV>
            <wp:extent cx="71520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pacing w:after="0" w:line="389" w:lineRule="exact"/>
        <w:rPr>
          <w:sz w:val="24"/>
          <w:szCs w:val="24"/>
          <w:color w:val="auto"/>
        </w:rPr>
      </w:pPr>
    </w:p>
    <w:p>
      <w:pPr>
        <w:ind w:right="180"/>
        <w:spacing w:after="0" w:line="272" w:lineRule="auto"/>
        <w:rPr>
          <w:sz w:val="20"/>
          <w:szCs w:val="20"/>
          <w:color w:val="auto"/>
        </w:rPr>
      </w:pPr>
      <w:r>
        <w:rPr>
          <w:rFonts w:ascii="Times New Roman" w:cs="Times New Roman" w:eastAsia="Times New Roman" w:hAnsi="Times New Roman"/>
          <w:sz w:val="14"/>
          <w:szCs w:val="14"/>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1" w:lineRule="exact"/>
        <w:rPr>
          <w:sz w:val="24"/>
          <w:szCs w:val="24"/>
          <w:color w:val="auto"/>
        </w:rPr>
      </w:pPr>
    </w:p>
    <w:p>
      <w:pPr>
        <w:ind w:left="600"/>
        <w:spacing w:after="0" w:line="161" w:lineRule="exact"/>
        <w:rPr>
          <w:sz w:val="20"/>
          <w:szCs w:val="20"/>
          <w:color w:val="auto"/>
        </w:rPr>
      </w:pPr>
      <w:r>
        <w:rPr>
          <w:rFonts w:ascii="Times New Roman" w:cs="Times New Roman" w:eastAsia="Times New Roman" w:hAnsi="Times New Roman"/>
          <w:sz w:val="14"/>
          <w:szCs w:val="14"/>
          <w:color w:val="auto"/>
        </w:rPr>
        <w:t xml:space="preserve">Emerging growth company </w:t>
      </w:r>
      <w:r>
        <w:rPr>
          <w:rFonts w:ascii="MS PGothic" w:cs="MS PGothic" w:eastAsia="MS PGothic" w:hAnsi="MS PGothic"/>
          <w:sz w:val="14"/>
          <w:szCs w:val="14"/>
          <w:color w:val="auto"/>
        </w:rPr>
        <w:t>☐</w:t>
      </w:r>
    </w:p>
    <w:p>
      <w:pPr>
        <w:spacing w:after="0" w:line="136" w:lineRule="exact"/>
        <w:rPr>
          <w:sz w:val="24"/>
          <w:szCs w:val="24"/>
          <w:color w:val="auto"/>
        </w:rPr>
      </w:pPr>
    </w:p>
    <w:p>
      <w:pPr>
        <w:ind w:right="420"/>
        <w:spacing w:after="0" w:line="183"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-16510</wp:posOffset>
            </wp:positionH>
            <wp:positionV relativeFrom="paragraph">
              <wp:posOffset>1476375</wp:posOffset>
            </wp:positionV>
            <wp:extent cx="7177405" cy="400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7405" cy="40005"/>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533400</wp:posOffset>
            </wp:positionV>
            <wp:extent cx="7152005"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555625</wp:posOffset>
            </wp:positionV>
            <wp:extent cx="7152005"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2005" cy="7620"/>
                    </a:xfrm>
                    <a:prstGeom prst="rect">
                      <a:avLst/>
                    </a:prstGeom>
                    <a:noFill/>
                  </pic:spPr>
                </pic:pic>
              </a:graphicData>
            </a:graphic>
          </wp:anchor>
        </w:drawing>
      </w:r>
    </w:p>
    <w:p>
      <w:pPr>
        <w:sectPr>
          <w:pgSz w:w="11900" w:h="16838" w:orient="portrait"/>
          <w:cols w:equalWidth="0" w:num="1">
            <w:col w:w="11260"/>
          </w:cols>
          <w:pgMar w:left="320" w:top="1440" w:right="319" w:bottom="1440" w:gutter="0" w:footer="0" w:header="0"/>
        </w:sectPr>
      </w:pPr>
    </w:p>
    <w:bookmarkStart w:id="1" w:name="page2"/>
    <w:bookmarkEnd w:id="1"/>
    <w:p>
      <w:pPr>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198755</wp:posOffset>
            </wp:positionH>
            <wp:positionV relativeFrom="page">
              <wp:posOffset>824230</wp:posOffset>
            </wp:positionV>
            <wp:extent cx="715200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2005" cy="7620"/>
                    </a:xfrm>
                    <a:prstGeom prst="rect">
                      <a:avLst/>
                    </a:prstGeom>
                    <a:noFill/>
                  </pic:spPr>
                </pic:pic>
              </a:graphicData>
            </a:graphic>
          </wp:anchor>
        </w:drawing>
        <w:drawing>
          <wp:anchor simplePos="0" relativeHeight="251657728" behindDoc="1" locked="0" layoutInCell="0" allowOverlap="1">
            <wp:simplePos x="0" y="0"/>
            <wp:positionH relativeFrom="page">
              <wp:posOffset>198755</wp:posOffset>
            </wp:positionH>
            <wp:positionV relativeFrom="page">
              <wp:posOffset>845820</wp:posOffset>
            </wp:positionV>
            <wp:extent cx="7152005"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2005" cy="7620"/>
                    </a:xfrm>
                    <a:prstGeom prst="rect">
                      <a:avLst/>
                    </a:prstGeom>
                    <a:noFill/>
                  </pic:spPr>
                </pic:pic>
              </a:graphicData>
            </a:graphic>
          </wp:anchor>
        </w:drawing>
        <w:t>Item 1.01</w:t>
      </w:r>
      <w:r>
        <w:rPr>
          <w:sz w:val="20"/>
          <w:szCs w:val="20"/>
          <w:color w:val="auto"/>
        </w:rPr>
        <w:tab/>
      </w:r>
      <w:r>
        <w:rPr>
          <w:rFonts w:ascii="Times New Roman" w:cs="Times New Roman" w:eastAsia="Times New Roman" w:hAnsi="Times New Roman"/>
          <w:sz w:val="13"/>
          <w:szCs w:val="13"/>
          <w:b w:val="1"/>
          <w:bCs w:val="1"/>
          <w:color w:val="auto"/>
        </w:rPr>
        <w:t>Entry Into a Material Definitive Agreement.</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Dell Purchase Agreement</w:t>
      </w:r>
    </w:p>
    <w:p>
      <w:pPr>
        <w:spacing w:after="0" w:line="211" w:lineRule="exact"/>
        <w:rPr>
          <w:sz w:val="20"/>
          <w:szCs w:val="20"/>
          <w:color w:val="auto"/>
        </w:rPr>
      </w:pPr>
    </w:p>
    <w:p>
      <w:pPr>
        <w:ind w:right="80"/>
        <w:spacing w:after="0" w:line="263" w:lineRule="auto"/>
        <w:rPr>
          <w:sz w:val="20"/>
          <w:szCs w:val="20"/>
          <w:color w:val="auto"/>
        </w:rPr>
      </w:pPr>
      <w:r>
        <w:rPr>
          <w:rFonts w:ascii="Times New Roman" w:cs="Times New Roman" w:eastAsia="Times New Roman" w:hAnsi="Times New Roman"/>
          <w:sz w:val="14"/>
          <w:szCs w:val="14"/>
          <w:color w:val="auto"/>
        </w:rPr>
        <w:t>On May 19, 2026, IE US Hardware 4 Inc. (“IE US Hardware”), a wholly owned subsidiary of IREN Limited (the “Company”), and Dell Marketing L.P. (“Dell”) entered into purchase documentation (the “Dell Purchase Agreement”) pursuant to which Dell will supply to IE US Hardware GPUs and ancillary products and services (“GPUs”) for an aggregate purchase price of approximately $1.6 billion payable in installments within 30 days of each tranche shipping. The GPUs will be deployed at the Company’s Childress, Texas campus to service its previously announced $3.4 billion managed services AI cloud contract.</w:t>
      </w:r>
    </w:p>
    <w:p>
      <w:pPr>
        <w:spacing w:after="0" w:line="174" w:lineRule="exact"/>
        <w:rPr>
          <w:sz w:val="20"/>
          <w:szCs w:val="20"/>
          <w:color w:val="auto"/>
        </w:rPr>
      </w:pPr>
    </w:p>
    <w:p>
      <w:pPr>
        <w:ind w:right="60"/>
        <w:spacing w:after="0" w:line="272" w:lineRule="auto"/>
        <w:rPr>
          <w:sz w:val="20"/>
          <w:szCs w:val="20"/>
          <w:color w:val="auto"/>
        </w:rPr>
      </w:pPr>
      <w:r>
        <w:rPr>
          <w:rFonts w:ascii="Times New Roman" w:cs="Times New Roman" w:eastAsia="Times New Roman" w:hAnsi="Times New Roman"/>
          <w:sz w:val="14"/>
          <w:szCs w:val="14"/>
          <w:color w:val="auto"/>
        </w:rPr>
        <w:t>The Dell Purchase Agreement contains customary representations, warranties, covenants, indemnities and termination rights. The Company has agreed to unconditionally guarantee the obligations of IE US Hardware and under the Dell Purchase Agreement.</w:t>
      </w:r>
    </w:p>
    <w:p>
      <w:pPr>
        <w:spacing w:after="0" w:line="179" w:lineRule="exact"/>
        <w:rPr>
          <w:sz w:val="20"/>
          <w:szCs w:val="20"/>
          <w:color w:val="auto"/>
        </w:rPr>
      </w:pPr>
    </w:p>
    <w:p>
      <w:pPr>
        <w:ind w:right="80"/>
        <w:spacing w:after="0" w:line="272" w:lineRule="auto"/>
        <w:rPr>
          <w:sz w:val="20"/>
          <w:szCs w:val="20"/>
          <w:color w:val="auto"/>
        </w:rPr>
      </w:pPr>
      <w:r>
        <w:rPr>
          <w:rFonts w:ascii="Times New Roman" w:cs="Times New Roman" w:eastAsia="Times New Roman" w:hAnsi="Times New Roman"/>
          <w:sz w:val="14"/>
          <w:szCs w:val="14"/>
          <w:color w:val="auto"/>
        </w:rPr>
        <w:t>The foregoing description of the Dell Purchase Agreement does not purport to be complete and is qualified in its entirety by reference thereto. A copy of the Dell Purchase Agreement will be filed as an exhibit to the Company’s annual report on Form 10-K for the year ending June 30, 2026.</w:t>
      </w:r>
    </w:p>
    <w:p>
      <w:pPr>
        <w:spacing w:after="0" w:line="223" w:lineRule="exact"/>
        <w:rPr>
          <w:sz w:val="20"/>
          <w:szCs w:val="20"/>
          <w:color w:val="auto"/>
        </w:rPr>
      </w:pPr>
    </w:p>
    <w:p>
      <w:pPr>
        <w:spacing w:after="0"/>
        <w:tabs>
          <w:tab w:leader="none" w:pos="1920" w:val="left"/>
        </w:tabs>
        <w:rPr>
          <w:sz w:val="20"/>
          <w:szCs w:val="20"/>
          <w:color w:val="auto"/>
        </w:rPr>
      </w:pPr>
      <w:r>
        <w:rPr>
          <w:rFonts w:ascii="Times New Roman" w:cs="Times New Roman" w:eastAsia="Times New Roman" w:hAnsi="Times New Roman"/>
          <w:sz w:val="14"/>
          <w:szCs w:val="14"/>
          <w:b w:val="1"/>
          <w:bCs w:val="1"/>
          <w:color w:val="auto"/>
        </w:rPr>
        <w:t>Item 7.01</w:t>
      </w:r>
      <w:r>
        <w:rPr>
          <w:sz w:val="20"/>
          <w:szCs w:val="20"/>
          <w:color w:val="auto"/>
        </w:rPr>
        <w:tab/>
      </w:r>
      <w:r>
        <w:rPr>
          <w:rFonts w:ascii="Times New Roman" w:cs="Times New Roman" w:eastAsia="Times New Roman" w:hAnsi="Times New Roman"/>
          <w:sz w:val="13"/>
          <w:szCs w:val="13"/>
          <w:b w:val="1"/>
          <w:bCs w:val="1"/>
          <w:color w:val="auto"/>
        </w:rPr>
        <w:t>Regulation FD Disclosure.</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On May 26, 2026, the Company issued a press release announcing the Dell Purchase Agreement. A copy of the press release is furnished as Exhibit 99.1 hereto and incorporated herein by reference.</w:t>
      </w:r>
    </w:p>
    <w:p>
      <w:pPr>
        <w:spacing w:after="0" w:line="163" w:lineRule="exact"/>
        <w:rPr>
          <w:sz w:val="20"/>
          <w:szCs w:val="20"/>
          <w:color w:val="auto"/>
        </w:rPr>
      </w:pPr>
    </w:p>
    <w:p>
      <w:pPr>
        <w:ind w:right="40"/>
        <w:spacing w:after="0" w:line="265" w:lineRule="auto"/>
        <w:rPr>
          <w:sz w:val="20"/>
          <w:szCs w:val="20"/>
          <w:color w:val="auto"/>
        </w:rPr>
      </w:pPr>
      <w:r>
        <w:rPr>
          <w:rFonts w:ascii="Times New Roman" w:cs="Times New Roman" w:eastAsia="Times New Roman" w:hAnsi="Times New Roman"/>
          <w:sz w:val="14"/>
          <w:szCs w:val="14"/>
          <w:color w:val="auto"/>
        </w:rPr>
        <w:t>The information contained in this Item 7.01, including Exhibit 99.1, is being furnished and shall not be deemed “filed” for purposes of Section 18 of the Securities Exchange Act of 1934, as amended (the “Exchange Act”), or otherwise subject to the liabilities of that section, nor shall it be deemed incorporated by reference into any filing under the Securities Act of 1933, as amended, or the Exchange Act, except as expressly set forth by specific reference in such filing.</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9.01</w:t>
            </w:r>
          </w:p>
        </w:tc>
        <w:tc>
          <w:tcPr>
            <w:tcW w:w="99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Financial Statements and Exhibits.</w:t>
            </w:r>
          </w:p>
        </w:tc>
      </w:tr>
      <w:tr>
        <w:trPr>
          <w:trHeight w:val="440"/>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w:t>
            </w:r>
          </w:p>
        </w:tc>
        <w:tc>
          <w:tcPr>
            <w:tcW w:w="9940" w:type="dxa"/>
            <w:vAlign w:val="bottom"/>
            <w:gridSpan w:val="3"/>
          </w:tcPr>
          <w:p>
            <w:pPr>
              <w:ind w:left="620"/>
              <w:spacing w:after="0"/>
              <w:rPr>
                <w:sz w:val="20"/>
                <w:szCs w:val="20"/>
                <w:color w:val="auto"/>
              </w:rPr>
            </w:pPr>
            <w:r>
              <w:rPr>
                <w:rFonts w:ascii="Times New Roman" w:cs="Times New Roman" w:eastAsia="Times New Roman" w:hAnsi="Times New Roman"/>
                <w:sz w:val="14"/>
                <w:szCs w:val="14"/>
                <w:b w:val="1"/>
                <w:bCs w:val="1"/>
                <w:color w:val="auto"/>
              </w:rPr>
              <w:t>Exhibits</w:t>
            </w:r>
          </w:p>
        </w:tc>
      </w:tr>
      <w:tr>
        <w:trPr>
          <w:trHeight w:val="367"/>
        </w:trPr>
        <w:tc>
          <w:tcPr>
            <w:tcW w:w="13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0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89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162"/>
        </w:trPr>
        <w:tc>
          <w:tcPr>
            <w:tcW w:w="26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4"/>
                <w:szCs w:val="14"/>
                <w:color w:val="0000FF"/>
                <w:w w:val="97"/>
              </w:rPr>
              <w:t>99.</w:t>
            </w:r>
            <w:r>
              <w:rPr>
                <w:rFonts w:ascii="Times New Roman" w:cs="Times New Roman" w:eastAsia="Times New Roman" w:hAnsi="Times New Roman"/>
                <w:sz w:val="14"/>
                <w:szCs w:val="14"/>
                <w:u w:val="single" w:color="auto"/>
                <w:color w:val="0000FF"/>
                <w:w w:val="97"/>
              </w:rPr>
              <w:t>1</w:t>
            </w:r>
          </w:p>
        </w:tc>
        <w:tc>
          <w:tcPr>
            <w:tcW w:w="10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Press release, dated May 26, 2026, announcing the Dell Purchase Agreement.</w:t>
            </w:r>
          </w:p>
        </w:tc>
      </w:tr>
      <w:tr>
        <w:trPr>
          <w:trHeight w:val="219"/>
        </w:trPr>
        <w:tc>
          <w:tcPr>
            <w:tcW w:w="260" w:type="dxa"/>
            <w:vAlign w:val="bottom"/>
          </w:tcPr>
          <w:p>
            <w:pPr>
              <w:spacing w:after="0"/>
              <w:rPr>
                <w:sz w:val="20"/>
                <w:szCs w:val="20"/>
                <w:color w:val="auto"/>
              </w:rPr>
            </w:pPr>
            <w:r>
              <w:rPr>
                <w:rFonts w:ascii="Times New Roman" w:cs="Times New Roman" w:eastAsia="Times New Roman" w:hAnsi="Times New Roman"/>
                <w:sz w:val="14"/>
                <w:szCs w:val="14"/>
                <w:color w:val="auto"/>
              </w:rPr>
              <w:t>104</w:t>
            </w:r>
          </w:p>
        </w:tc>
        <w:tc>
          <w:tcPr>
            <w:tcW w:w="10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9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Cover Page Interactive Data File (embedded within the Inline XBRL document)</w:t>
            </w:r>
          </w:p>
        </w:tc>
      </w:tr>
      <w:tr>
        <w:trPr>
          <w:trHeight w:val="178"/>
        </w:trPr>
        <w:tc>
          <w:tcPr>
            <w:tcW w:w="2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960" w:type="dxa"/>
            <w:vAlign w:val="bottom"/>
            <w:tcBorders>
              <w:bottom w:val="single" w:sz="8" w:color="auto"/>
            </w:tcBorders>
          </w:tcPr>
          <w:p>
            <w:pPr>
              <w:spacing w:after="0"/>
              <w:rPr>
                <w:sz w:val="15"/>
                <w:szCs w:val="15"/>
                <w:color w:val="auto"/>
              </w:rPr>
            </w:pPr>
          </w:p>
        </w:tc>
      </w:tr>
      <w:tr>
        <w:trPr>
          <w:trHeight w:val="20"/>
        </w:trPr>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960" w:type="dxa"/>
            <w:vAlign w:val="bottom"/>
            <w:tcBorders>
              <w:bottom w:val="single" w:sz="8" w:color="auto"/>
            </w:tcBorders>
          </w:tcPr>
          <w:p>
            <w:pPr>
              <w:spacing w:after="0" w:line="20" w:lineRule="exact"/>
              <w:rPr>
                <w:sz w:val="1"/>
                <w:szCs w:val="1"/>
                <w:color w:val="auto"/>
              </w:rPr>
            </w:pPr>
          </w:p>
        </w:tc>
      </w:tr>
      <w:tr>
        <w:trPr>
          <w:trHeight w:val="1448"/>
        </w:trPr>
        <w:tc>
          <w:tcPr>
            <w:tcW w:w="260" w:type="dxa"/>
            <w:vAlign w:val="bottom"/>
            <w:tcBorders>
              <w:bottom w:val="single" w:sz="8" w:color="9A9A9A"/>
            </w:tcBorders>
          </w:tcPr>
          <w:p>
            <w:pPr>
              <w:spacing w:after="0"/>
              <w:rPr>
                <w:sz w:val="24"/>
                <w:szCs w:val="24"/>
                <w:color w:val="auto"/>
              </w:rPr>
            </w:pPr>
          </w:p>
        </w:tc>
        <w:tc>
          <w:tcPr>
            <w:tcW w:w="10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89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7127240</wp:posOffset>
            </wp:positionH>
            <wp:positionV relativeFrom="paragraph">
              <wp:posOffset>-26670</wp:posOffset>
            </wp:positionV>
            <wp:extent cx="33020" cy="400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020" cy="40005"/>
                    </a:xfrm>
                    <a:prstGeom prst="rect">
                      <a:avLst/>
                    </a:prstGeom>
                    <a:noFill/>
                  </pic:spPr>
                </pic:pic>
              </a:graphicData>
            </a:graphic>
          </wp:anchor>
        </w:drawing>
        <w:drawing>
          <wp:anchor simplePos="0" relativeHeight="251657728" behindDoc="1" locked="0" layoutInCell="0" allowOverlap="1">
            <wp:simplePos x="0" y="0"/>
            <wp:positionH relativeFrom="column">
              <wp:posOffset>-16510</wp:posOffset>
            </wp:positionH>
            <wp:positionV relativeFrom="paragraph">
              <wp:posOffset>-26670</wp:posOffset>
            </wp:positionV>
            <wp:extent cx="33020" cy="400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020" cy="40005"/>
                    </a:xfrm>
                    <a:prstGeom prst="rect">
                      <a:avLst/>
                    </a:prstGeom>
                    <a:noFill/>
                  </pic:spPr>
                </pic:pic>
              </a:graphicData>
            </a:graphic>
          </wp:anchor>
        </w:drawing>
      </w:r>
    </w:p>
    <w:p>
      <w:pPr>
        <w:sectPr>
          <w:pgSz w:w="11900" w:h="16838" w:orient="portrait"/>
          <w:cols w:equalWidth="0" w:num="1">
            <w:col w:w="11260"/>
          </w:cols>
          <w:pgMar w:left="320" w:top="1352" w:right="31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5"/>
          <w:szCs w:val="15"/>
          <w:b w:val="1"/>
          <w:bCs w:val="1"/>
          <w:color w:val="auto"/>
        </w:rPr>
        <w:t>SIGNATURES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Pursuant to the requirements of the Securities Exchange Act of 1934, the registrant has duly caused this report to be signed on its behalf by the undersigned hereunto duly authorized.</w:t>
      </w:r>
    </w:p>
    <w:p>
      <w:pPr>
        <w:spacing w:after="0" w:line="244" w:lineRule="exact"/>
        <w:rPr>
          <w:sz w:val="20"/>
          <w:szCs w:val="20"/>
          <w:color w:val="auto"/>
        </w:rPr>
      </w:pPr>
    </w:p>
    <w:p>
      <w:pPr>
        <w:ind w:left="7840"/>
        <w:spacing w:after="0"/>
        <w:rPr>
          <w:sz w:val="20"/>
          <w:szCs w:val="20"/>
          <w:color w:val="auto"/>
        </w:rPr>
      </w:pPr>
      <w:r>
        <w:rPr>
          <w:rFonts w:ascii="Times New Roman" w:cs="Times New Roman" w:eastAsia="Times New Roman" w:hAnsi="Times New Roman"/>
          <w:sz w:val="14"/>
          <w:szCs w:val="14"/>
          <w:b w:val="1"/>
          <w:bCs w:val="1"/>
          <w:color w:val="auto"/>
        </w:rPr>
        <w:t>IREN LIMITED</w:t>
      </w:r>
    </w:p>
    <w:p>
      <w:pPr>
        <w:spacing w:after="0" w:line="371" w:lineRule="exact"/>
        <w:rPr>
          <w:sz w:val="20"/>
          <w:szCs w:val="20"/>
          <w:color w:val="auto"/>
        </w:rPr>
      </w:pPr>
    </w:p>
    <w:p>
      <w:pPr>
        <w:ind w:left="5420"/>
        <w:spacing w:after="0"/>
        <w:tabs>
          <w:tab w:leader="none" w:pos="6380" w:val="left"/>
        </w:tabs>
        <w:rPr>
          <w:sz w:val="20"/>
          <w:szCs w:val="20"/>
          <w:color w:val="auto"/>
        </w:rPr>
      </w:pPr>
      <w:r>
        <w:rPr>
          <w:rFonts w:ascii="Times New Roman" w:cs="Times New Roman" w:eastAsia="Times New Roman" w:hAnsi="Times New Roman"/>
          <w:sz w:val="15"/>
          <w:szCs w:val="15"/>
          <w:color w:val="auto"/>
        </w:rPr>
        <w:t>By:</w:t>
      </w:r>
      <w:r>
        <w:rPr>
          <w:sz w:val="20"/>
          <w:szCs w:val="20"/>
          <w:color w:val="auto"/>
        </w:rPr>
        <w:tab/>
      </w:r>
      <w:r>
        <w:rPr>
          <w:rFonts w:ascii="Times New Roman" w:cs="Times New Roman" w:eastAsia="Times New Roman" w:hAnsi="Times New Roman"/>
          <w:sz w:val="15"/>
          <w:szCs w:val="15"/>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4052570</wp:posOffset>
            </wp:positionH>
            <wp:positionV relativeFrom="paragraph">
              <wp:posOffset>31750</wp:posOffset>
            </wp:positionV>
            <wp:extent cx="3094355"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094355" cy="7620"/>
                    </a:xfrm>
                    <a:prstGeom prst="rect">
                      <a:avLst/>
                    </a:prstGeom>
                    <a:noFill/>
                  </pic:spPr>
                </pic:pic>
              </a:graphicData>
            </a:graphic>
          </wp:anchor>
        </w:drawing>
      </w:r>
    </w:p>
    <w:p>
      <w:pPr>
        <w:spacing w:after="0" w:line="51"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Daniel Roberts</w:t>
      </w:r>
    </w:p>
    <w:p>
      <w:pPr>
        <w:spacing w:after="0" w:line="27" w:lineRule="exact"/>
        <w:rPr>
          <w:sz w:val="20"/>
          <w:szCs w:val="20"/>
          <w:color w:val="auto"/>
        </w:rPr>
      </w:pPr>
    </w:p>
    <w:p>
      <w:pPr>
        <w:ind w:left="6400"/>
        <w:spacing w:after="0"/>
        <w:rPr>
          <w:sz w:val="20"/>
          <w:szCs w:val="20"/>
          <w:color w:val="auto"/>
        </w:rPr>
      </w:pPr>
      <w:r>
        <w:rPr>
          <w:rFonts w:ascii="Times New Roman" w:cs="Times New Roman" w:eastAsia="Times New Roman" w:hAnsi="Times New Roman"/>
          <w:sz w:val="15"/>
          <w:szCs w:val="15"/>
          <w:color w:val="auto"/>
        </w:rPr>
        <w:t>Co-Chief Executive Officer and Director</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Date: 26 May 2026</w:t>
      </w:r>
    </w:p>
    <w:p>
      <w:pPr>
        <w:sectPr>
          <w:pgSz w:w="11900" w:h="16838" w:orient="portrait"/>
          <w:cols w:equalWidth="0" w:num="1">
            <w:col w:w="11220"/>
          </w:cols>
          <w:pgMar w:left="320" w:top="1232" w:right="35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323850</wp:posOffset>
            </wp:positionV>
            <wp:extent cx="7090410" cy="101828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090410" cy="1018286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316230</wp:posOffset>
            </wp:positionH>
            <wp:positionV relativeFrom="page">
              <wp:posOffset>456565</wp:posOffset>
            </wp:positionV>
            <wp:extent cx="7087870" cy="100330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clrChange>
                        <a:clrFrom>
                          <a:srgbClr val="FFFFFF"/>
                        </a:clrFrom>
                        <a:clrTo>
                          <a:srgbClr val="FFFFFF">
                            <a:alpha val="0"/>
                          </a:srgbClr>
                        </a:clrTo>
                      </a:clrChange>
                      <a:extLst>
                        <a:ext uri="{28A0092B-C50C-407E-A947-70E740481C1C}"/>
                      </a:extLst>
                    </a:blip>
                    <a:srcRect/>
                    <a:stretch>
                      <a:fillRect/>
                    </a:stretch>
                  </pic:blipFill>
                  <pic:spPr bwMode="auto">
                    <a:xfrm>
                      <a:off x="0" y="0"/>
                      <a:ext cx="7087870" cy="100330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313690</wp:posOffset>
            </wp:positionH>
            <wp:positionV relativeFrom="page">
              <wp:posOffset>88900</wp:posOffset>
            </wp:positionV>
            <wp:extent cx="709041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0410" cy="171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jpe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2026-05-26T16:49:25Z</dcterms:created>
  <dcterms:modified xsi:type="dcterms:W3CDTF">2026-05-26T16:49:25Z</dcterms:modified>
</cp:coreProperties>
</file>