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July 1, 2026</w:t>
      </w:r>
    </w:p>
    <w:p>
      <w:pPr>
        <w:spacing w:after="0" w:line="237"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S-8</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IREN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2">
            <w:col w:w="6300" w:space="720"/>
            <w:col w:w="4220"/>
          </w:cols>
          <w:pgMar w:left="320" w:top="225"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5, 55 Market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Sydney, NSW 2000 Australia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IREN Limited 2025 Omnibus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Library Avenue, Suite 204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Delaware 19711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of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 738-6680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tbl>
      <w:tblPr>
        <w:tblLayout w:type="fixed"/>
        <w:tblInd w:w="166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50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tc>
      </w:tr>
      <w:tr>
        <w:trPr>
          <w:trHeight w:val="216"/>
        </w:trPr>
        <w:tc>
          <w:tcPr>
            <w:tcW w:w="29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Byron B. Rooney</w:t>
            </w:r>
          </w:p>
        </w:tc>
        <w:tc>
          <w:tcPr>
            <w:tcW w:w="502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Cesilia Kim</w:t>
            </w:r>
          </w:p>
        </w:tc>
      </w:tr>
      <w:tr>
        <w:trPr>
          <w:trHeight w:val="216"/>
        </w:trPr>
        <w:tc>
          <w:tcPr>
            <w:tcW w:w="29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Marcel R. Fausten</w:t>
            </w:r>
          </w:p>
        </w:tc>
        <w:tc>
          <w:tcPr>
            <w:tcW w:w="502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IREN Limited</w:t>
            </w:r>
          </w:p>
        </w:tc>
      </w:tr>
      <w:tr>
        <w:trPr>
          <w:trHeight w:val="216"/>
        </w:trPr>
        <w:tc>
          <w:tcPr>
            <w:tcW w:w="29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c>
          <w:tcPr>
            <w:tcW w:w="502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Level 5, 55 Market Street</w:t>
            </w:r>
          </w:p>
        </w:tc>
      </w:tr>
      <w:tr>
        <w:trPr>
          <w:trHeight w:val="216"/>
        </w:trPr>
        <w:tc>
          <w:tcPr>
            <w:tcW w:w="29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450 Lexington Avenue</w:t>
            </w:r>
          </w:p>
        </w:tc>
        <w:tc>
          <w:tcPr>
            <w:tcW w:w="502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Sydney, NSW 2000 Australia</w:t>
            </w:r>
          </w:p>
        </w:tc>
      </w:tr>
      <w:tr>
        <w:trPr>
          <w:trHeight w:val="216"/>
        </w:trPr>
        <w:tc>
          <w:tcPr>
            <w:tcW w:w="29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502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+61 2 7906 8301</w:t>
            </w:r>
          </w:p>
        </w:tc>
      </w:tr>
      <w:tr>
        <w:trPr>
          <w:trHeight w:val="238"/>
        </w:trPr>
        <w:tc>
          <w:tcPr>
            <w:tcW w:w="29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(212) 450-4000</w:t>
            </w:r>
          </w:p>
        </w:tc>
        <w:tc>
          <w:tcPr>
            <w:tcW w:w="5020" w:type="dxa"/>
            <w:vAlign w:val="bottom"/>
          </w:tcPr>
          <w:p>
            <w:pPr>
              <w:spacing w:after="0"/>
              <w:rPr>
                <w:sz w:val="20"/>
                <w:szCs w:val="20"/>
                <w:color w:val="auto"/>
              </w:rPr>
            </w:pPr>
          </w:p>
        </w:tc>
      </w:tr>
    </w:tbl>
    <w:p>
      <w:pPr>
        <w:spacing w:after="0" w:line="19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Registrant.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Registrant” in Rule 12b-2 of the Exchange Act.</w:t>
      </w:r>
    </w:p>
    <w:p>
      <w:pPr>
        <w:spacing w:after="0" w:line="166" w:lineRule="exact"/>
        <w:rPr>
          <w:sz w:val="24"/>
          <w:szCs w:val="24"/>
          <w:color w:val="auto"/>
        </w:rPr>
      </w:pPr>
    </w:p>
    <w:p>
      <w:pPr>
        <w:ind w:right="3960"/>
        <w:spacing w:after="0" w:line="246"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Registrant </w:t>
      </w:r>
      <w:r>
        <w:rPr>
          <w:rFonts w:ascii="MS PGothic" w:cs="MS PGothic" w:eastAsia="MS PGothic" w:hAnsi="MS PGothic"/>
          <w:sz w:val="18"/>
          <w:szCs w:val="18"/>
          <w:color w:val="auto"/>
        </w:rPr>
        <w:t>☐</w:t>
      </w:r>
    </w:p>
    <w:p>
      <w:pPr>
        <w:spacing w:after="0" w:line="1" w:lineRule="exact"/>
        <w:rPr>
          <w:sz w:val="24"/>
          <w:szCs w:val="24"/>
          <w:color w:val="auto"/>
        </w:rPr>
      </w:pPr>
    </w:p>
    <w:p>
      <w:pPr>
        <w:ind w:right="160"/>
        <w:spacing w:after="0" w:line="22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Exchange Act Rule 14d-l(d) (Cross-Border Third-Party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covers the registration of an additional 8,000,000 ordinary shares, no par value (“Ordinary Shares”), of IREN Limited (the “Registrant”) authorized for future issuance under the Registrant’s 2025 Omnibus Incentive Plan (the “Plan”) as approved by the Registrant’s shareholders at the Registrant’s 2025 Annual General Meeting on November 19, 2025, for which a registration statement of the Registrant on Form S-8 (File No. 333-292545) is effective. Under the Plan, the total number of Ordinary Shares available for issuance shall be increased on the first day of the Registrant’s fiscal year, beginning on July 1, 2026, in an amount equal to the lesser of (i) 5% of the aggregate number of Ordinary Shares outstanding (on a fully diluted basis) on the last day of the Registrant’s preceding fiscal year, and (ii) such number of Ordinary Shares as determined by the Registrant’s board of directors in its sole discretion (the “Annual Increase”). As of July 1, 2026 the number of Ordinary Shares available for grant and issuance under the Plan increased by 8,000,000 pursuant to the Annual Increase. The total number of Ordinary Shares being registered pursuant to this Registration Statement does not constitute a current issuance of such shares, but instead may be issued pursuant to awards granted in the future under the Plan.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General Instruction E on Form S-8, the contents of the above-referenced prior Registration Statement on Form S-8 (File No. 333-292545), including any amendments thereto, are incorporated into this Registration Statement by reference to the extent not modified or superseded hereby or by any subsequently filed document, which is incorporated by reference herein or therein, and the information required by Part II is omitted, except as supplemented by the information set forth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specified in Item 1 and Item 2 of Part I is omitted from this Registration Statement and is included in documents sent or provided to participants of the Plan covered by this Registration Statement pursuant to Rule 428(b)(1) of the Securities Act of 1933, as amended (the “Securities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jc w:val="both"/>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documents filed or to be filed (other than portions of those documents furnished or otherwise not deemed filed) by the Registrant with the Securities and Exchange Commission (the “Commission”) are incorporated into this Registration Statement by reference, as of their respective dates:</w:t>
      </w:r>
    </w:p>
    <w:p>
      <w:pPr>
        <w:spacing w:after="0" w:line="162" w:lineRule="exact"/>
        <w:rPr>
          <w:sz w:val="20"/>
          <w:szCs w:val="20"/>
          <w:color w:val="auto"/>
        </w:rPr>
      </w:pPr>
    </w:p>
    <w:p>
      <w:pPr>
        <w:ind w:firstLine="332"/>
        <w:spacing w:after="0" w:line="266" w:lineRule="auto"/>
        <w:tabs>
          <w:tab w:leader="none" w:pos="579" w:val="left"/>
        </w:tabs>
        <w:numPr>
          <w:ilvl w:val="0"/>
          <w:numId w:val="1"/>
        </w:numPr>
        <w:rPr>
          <w:rFonts w:ascii="Times New Roman" w:cs="Times New Roman" w:eastAsia="Times New Roman" w:hAnsi="Times New Roman"/>
          <w:sz w:val="18"/>
          <w:szCs w:val="18"/>
          <w:color w:val="000000"/>
        </w:rPr>
      </w:pPr>
      <w:hyperlink r:id="rId18">
        <w:r>
          <w:rPr>
            <w:rFonts w:ascii="Times New Roman" w:cs="Times New Roman" w:eastAsia="Times New Roman" w:hAnsi="Times New Roman"/>
            <w:sz w:val="18"/>
            <w:szCs w:val="18"/>
            <w:color w:val="auto"/>
          </w:rPr>
          <w:t xml:space="preserve">The Registrant’s Annual Report on Form 10-K (the “Annual Report”) for the fiscal year ended June 30, 2025, filed with the Commission on </w:t>
        </w:r>
        <w:r>
          <w:rPr>
            <w:rFonts w:ascii="Times New Roman" w:cs="Times New Roman" w:eastAsia="Times New Roman" w:hAnsi="Times New Roman"/>
            <w:sz w:val="18"/>
            <w:szCs w:val="18"/>
            <w:u w:val="single" w:color="auto"/>
            <w:color w:val="0000EE"/>
          </w:rPr>
          <w:t>August</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28, 2025</w:t>
        </w:r>
        <w:r>
          <w:rPr>
            <w:rFonts w:ascii="Times New Roman" w:cs="Times New Roman" w:eastAsia="Times New Roman" w:hAnsi="Times New Roman"/>
            <w:sz w:val="18"/>
            <w:szCs w:val="18"/>
            <w:color w:val="000000"/>
          </w:rPr>
          <w:t>, including the sections of the Registrant’s Definitive Proxy Statement on Schedule 14A for the Registrant’s 2025 Annual General Meeting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Shareholders, as filed with the Commission on </w:t>
      </w:r>
      <w:hyperlink r:id="rId19">
        <w:r>
          <w:rPr>
            <w:rFonts w:ascii="Times New Roman" w:cs="Times New Roman" w:eastAsia="Times New Roman" w:hAnsi="Times New Roman"/>
            <w:sz w:val="18"/>
            <w:szCs w:val="18"/>
            <w:u w:val="single" w:color="auto"/>
            <w:color w:val="0000EE"/>
          </w:rPr>
          <w:t>October 6, 2025</w:t>
        </w:r>
      </w:hyperlink>
      <w:r>
        <w:rPr>
          <w:rFonts w:ascii="Times New Roman" w:cs="Times New Roman" w:eastAsia="Times New Roman" w:hAnsi="Times New Roman"/>
          <w:sz w:val="18"/>
          <w:szCs w:val="18"/>
          <w:color w:val="000000"/>
        </w:rPr>
        <w:t>, incorporated by reference in the Annual Report;</w:t>
      </w:r>
    </w:p>
    <w:p>
      <w:pPr>
        <w:spacing w:after="0" w:line="175" w:lineRule="exact"/>
        <w:rPr>
          <w:rFonts w:ascii="Times New Roman" w:cs="Times New Roman" w:eastAsia="Times New Roman" w:hAnsi="Times New Roman"/>
          <w:sz w:val="18"/>
          <w:szCs w:val="18"/>
          <w:color w:val="000000"/>
        </w:rPr>
      </w:pPr>
    </w:p>
    <w:p>
      <w:pPr>
        <w:ind w:right="160" w:firstLine="332"/>
        <w:spacing w:after="0" w:line="282" w:lineRule="auto"/>
        <w:tabs>
          <w:tab w:leader="none" w:pos="57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quarterly periods ended September 30, 2025, January 1, 2026 and March 31, 2026, filed with the Commission on </w:t>
      </w:r>
      <w:hyperlink r:id="rId20">
        <w:r>
          <w:rPr>
            <w:rFonts w:ascii="Times New Roman" w:cs="Times New Roman" w:eastAsia="Times New Roman" w:hAnsi="Times New Roman"/>
            <w:sz w:val="18"/>
            <w:szCs w:val="18"/>
            <w:u w:val="single" w:color="auto"/>
            <w:color w:val="0000EE"/>
          </w:rPr>
          <w:t>November 6, 2025</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February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May 8, 2026</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332"/>
        <w:spacing w:after="0" w:line="256" w:lineRule="auto"/>
        <w:tabs>
          <w:tab w:leader="none" w:pos="579" w:val="left"/>
        </w:tabs>
        <w:numPr>
          <w:ilvl w:val="0"/>
          <w:numId w:val="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Registrant’s Current Reports on Form 8-K filed with the Commission on </w:t>
      </w:r>
      <w:hyperlink r:id="rId23">
        <w:r>
          <w:rPr>
            <w:rFonts w:ascii="Times New Roman" w:cs="Times New Roman" w:eastAsia="Times New Roman" w:hAnsi="Times New Roman"/>
            <w:sz w:val="18"/>
            <w:szCs w:val="18"/>
            <w:u w:val="single" w:color="auto"/>
            <w:color w:val="0000EE"/>
          </w:rPr>
          <w:t>July 1, 2025</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July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the second report filed on such date); </w:t>
      </w:r>
      <w:hyperlink r:id="rId25">
        <w:r>
          <w:rPr>
            <w:rFonts w:ascii="Times New Roman" w:cs="Times New Roman" w:eastAsia="Times New Roman" w:hAnsi="Times New Roman"/>
            <w:sz w:val="18"/>
            <w:szCs w:val="18"/>
            <w:u w:val="single" w:color="auto"/>
            <w:color w:val="0000EE"/>
          </w:rPr>
          <w:t>September 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the information disclosed pursuant to Item 7.01 and Exhibits 99.1 thereto); </w:t>
      </w:r>
      <w:hyperlink r:id="rId26">
        <w:r>
          <w:rPr>
            <w:rFonts w:ascii="Times New Roman" w:cs="Times New Roman" w:eastAsia="Times New Roman" w:hAnsi="Times New Roman"/>
            <w:sz w:val="18"/>
            <w:szCs w:val="18"/>
            <w:u w:val="single" w:color="auto"/>
            <w:color w:val="0000EE"/>
          </w:rPr>
          <w:t>October 7, 2025</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October 9, 2025</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October 14,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9">
        <w:r>
          <w:rPr>
            <w:rFonts w:ascii="Times New Roman" w:cs="Times New Roman" w:eastAsia="Times New Roman" w:hAnsi="Times New Roman"/>
            <w:sz w:val="18"/>
            <w:szCs w:val="18"/>
            <w:u w:val="single" w:color="auto"/>
            <w:color w:val="0000EE"/>
          </w:rPr>
          <w:t xml:space="preserve">November 3, 2025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information disclosed pursuant to Item 7.01 and Exhibits 99.1 and 99.2 thereto);</w:t>
      </w:r>
      <w:r>
        <w:rPr>
          <w:rFonts w:ascii="Times New Roman" w:cs="Times New Roman" w:eastAsia="Times New Roman" w:hAnsi="Times New Roman"/>
          <w:sz w:val="18"/>
          <w:szCs w:val="18"/>
          <w:color w:val="0000EE"/>
        </w:rPr>
        <w:t xml:space="preserve"> </w:t>
      </w:r>
      <w:hyperlink r:id="rId30">
        <w:r>
          <w:rPr>
            <w:rFonts w:ascii="Times New Roman" w:cs="Times New Roman" w:eastAsia="Times New Roman" w:hAnsi="Times New Roman"/>
            <w:sz w:val="18"/>
            <w:szCs w:val="18"/>
            <w:u w:val="single" w:color="auto"/>
            <w:color w:val="0000EE"/>
          </w:rPr>
          <w:t>November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1">
        <w:r>
          <w:rPr>
            <w:rFonts w:ascii="Times New Roman" w:cs="Times New Roman" w:eastAsia="Times New Roman" w:hAnsi="Times New Roman"/>
            <w:sz w:val="18"/>
            <w:szCs w:val="18"/>
            <w:u w:val="single" w:color="auto"/>
            <w:color w:val="0000EE"/>
          </w:rPr>
          <w:t>November 28,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2">
        <w:r>
          <w:rPr>
            <w:rFonts w:ascii="Times New Roman" w:cs="Times New Roman" w:eastAsia="Times New Roman" w:hAnsi="Times New Roman"/>
            <w:sz w:val="18"/>
            <w:szCs w:val="18"/>
            <w:u w:val="single" w:color="auto"/>
            <w:color w:val="0000EE"/>
          </w:rPr>
          <w:t>December 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3">
        <w:r>
          <w:rPr>
            <w:rFonts w:ascii="Times New Roman" w:cs="Times New Roman" w:eastAsia="Times New Roman" w:hAnsi="Times New Roman"/>
            <w:sz w:val="18"/>
            <w:szCs w:val="18"/>
            <w:u w:val="single" w:color="auto"/>
            <w:color w:val="0000EE"/>
          </w:rPr>
          <w:t>December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December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March 4, 2026 (in the</w:t>
      </w:r>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first report filed on such date</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only with respect 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information included therein under Item 1.01, and the entire </w:t>
      </w:r>
      <w:hyperlink r:id="rId36">
        <w:r>
          <w:rPr>
            <w:rFonts w:ascii="Times New Roman" w:cs="Times New Roman" w:eastAsia="Times New Roman" w:hAnsi="Times New Roman"/>
            <w:sz w:val="18"/>
            <w:szCs w:val="18"/>
            <w:u w:val="single" w:color="auto"/>
            <w:color w:val="0000EE"/>
          </w:rPr>
          <w:t>second report filed on such date</w:t>
        </w:r>
      </w:hyperlink>
      <w:r>
        <w:rPr>
          <w:rFonts w:ascii="Times New Roman" w:cs="Times New Roman" w:eastAsia="Times New Roman" w:hAnsi="Times New Roman"/>
          <w:sz w:val="18"/>
          <w:szCs w:val="18"/>
          <w:color w:val="000000"/>
        </w:rPr>
        <w:t xml:space="preserve">), </w:t>
      </w:r>
      <w:hyperlink r:id="rId37">
        <w:r>
          <w:rPr>
            <w:rFonts w:ascii="Times New Roman" w:cs="Times New Roman" w:eastAsia="Times New Roman" w:hAnsi="Times New Roman"/>
            <w:sz w:val="18"/>
            <w:szCs w:val="18"/>
            <w:u w:val="single" w:color="auto"/>
            <w:color w:val="0000EE"/>
          </w:rPr>
          <w:t>May 11, 2026</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(only with respect to the second report filed on such date), </w:t>
      </w:r>
      <w:hyperlink r:id="rId38">
        <w:r>
          <w:rPr>
            <w:rFonts w:ascii="Times New Roman" w:cs="Times New Roman" w:eastAsia="Times New Roman" w:hAnsi="Times New Roman"/>
            <w:sz w:val="18"/>
            <w:szCs w:val="18"/>
            <w:u w:val="single" w:color="auto"/>
            <w:color w:val="0000EE"/>
          </w:rPr>
          <w:t>May 12, 2026</w:t>
        </w:r>
      </w:hyperlink>
      <w:r>
        <w:rPr>
          <w:rFonts w:ascii="Times New Roman" w:cs="Times New Roman" w:eastAsia="Times New Roman" w:hAnsi="Times New Roman"/>
          <w:sz w:val="18"/>
          <w:szCs w:val="18"/>
          <w:color w:val="000000"/>
        </w:rPr>
        <w:t xml:space="preserve">, </w:t>
      </w:r>
      <w:hyperlink r:id="rId39">
        <w:r>
          <w:rPr>
            <w:rFonts w:ascii="Times New Roman" w:cs="Times New Roman" w:eastAsia="Times New Roman" w:hAnsi="Times New Roman"/>
            <w:sz w:val="18"/>
            <w:szCs w:val="18"/>
            <w:u w:val="single" w:color="auto"/>
            <w:color w:val="0000EE"/>
          </w:rPr>
          <w:t>May 14, 2026</w:t>
        </w:r>
      </w:hyperlink>
      <w:r>
        <w:rPr>
          <w:rFonts w:ascii="Times New Roman" w:cs="Times New Roman" w:eastAsia="Times New Roman" w:hAnsi="Times New Roman"/>
          <w:sz w:val="18"/>
          <w:szCs w:val="18"/>
          <w:color w:val="000000"/>
        </w:rPr>
        <w:t xml:space="preserve">, </w:t>
      </w:r>
      <w:hyperlink r:id="rId40">
        <w:r>
          <w:rPr>
            <w:rFonts w:ascii="Times New Roman" w:cs="Times New Roman" w:eastAsia="Times New Roman" w:hAnsi="Times New Roman"/>
            <w:sz w:val="18"/>
            <w:szCs w:val="18"/>
            <w:u w:val="single" w:color="auto"/>
            <w:color w:val="0000EE"/>
          </w:rPr>
          <w:t>May 26, 2026</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41">
        <w:r>
          <w:rPr>
            <w:rFonts w:ascii="Times New Roman" w:cs="Times New Roman" w:eastAsia="Times New Roman" w:hAnsi="Times New Roman"/>
            <w:sz w:val="18"/>
            <w:szCs w:val="18"/>
            <w:u w:val="single" w:color="auto"/>
            <w:color w:val="0000EE"/>
          </w:rPr>
          <w:t>June 1, 2026</w:t>
        </w:r>
      </w:hyperlink>
      <w:r>
        <w:rPr>
          <w:rFonts w:ascii="Times New Roman" w:cs="Times New Roman" w:eastAsia="Times New Roman" w:hAnsi="Times New Roman"/>
          <w:sz w:val="18"/>
          <w:szCs w:val="18"/>
          <w:color w:val="000000"/>
        </w:rPr>
        <w:t>.</w:t>
      </w:r>
    </w:p>
    <w:p>
      <w:pPr>
        <w:spacing w:after="0" w:line="187" w:lineRule="exact"/>
        <w:rPr>
          <w:rFonts w:ascii="Times New Roman" w:cs="Times New Roman" w:eastAsia="Times New Roman" w:hAnsi="Times New Roman"/>
          <w:sz w:val="18"/>
          <w:szCs w:val="18"/>
          <w:color w:val="000000"/>
        </w:rPr>
      </w:pPr>
    </w:p>
    <w:p>
      <w:pPr>
        <w:ind w:right="60" w:firstLine="332"/>
        <w:spacing w:after="0" w:line="282" w:lineRule="auto"/>
        <w:tabs>
          <w:tab w:leader="none" w:pos="57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 13(a) or 15(d) of the Securities Exchange Act of 1934, as amended (the “Exchange Act”); and</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right="420" w:firstLine="332"/>
        <w:spacing w:after="0" w:line="282" w:lineRule="auto"/>
        <w:tabs>
          <w:tab w:leader="none" w:pos="5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securities contained in Exhibit 4.1 to the Annual Report, including any amendments or reports filed for the purpose of updating such description.</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Exchange Act subsequent to the date of this Registration Statement and prior to the filing of a post-effective amendment to this Registration Statement which indicates that all securities then remaining unsold shall be deregistered, shall be deemed to be incorporated by reference in this Registration Statement and to be a part hereof from the date of the filing of such documents. The Registrant is not incorporating by reference any documents or portions thereof, whether specifically listed above or filed in the future, that are not deemed “filed” with the Commission.</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purposes of this Registration Statement and the related prospectus, any statement contained in a document incorporated or deemed to be incorporated by reference shall be deemed to be modified or superseded to the extent that a statement contained herein or in a subsequently filed document which also is or is deemed to be incorporated herein by reference modifies or replaces such statement. Any statement so modified shall not be deemed in its unmodified form to constitute part of this Registration Statement or the related prospectus.</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Registrant’s Amended and Restated Constitution (the “Constitution”) provides for indemnification of the Registrant’s officers and directors to the full extent permitted by applicable law.</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the Registrant has entered into agreements to indemnify its directors and executive officers containing provisions, which are in some respects broader than the specific indemnification provisions contained in the Constitution. The indemnification agreements require the Registrant, among other things, to indemnify such persons against expenses, including attorneys’ fees, judgments, liabilities, fines and settlement amounts incurred by any such person in actions or proceedings, including actions by the Registrant or in the Registrant’s right, that may arise by reason of their status or service as the Registrant’s director or executive officer and to advance expenses incurred by them in connection with any such actions or proceedings.</w:t>
      </w:r>
    </w:p>
    <w:p>
      <w:pPr>
        <w:spacing w:after="0" w:line="1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80" w:type="dxa"/>
            <w:vAlign w:val="bottom"/>
          </w:tcPr>
          <w:p>
            <w:pPr>
              <w:spacing w:after="0"/>
              <w:rPr>
                <w:sz w:val="18"/>
                <w:szCs w:val="18"/>
                <w:color w:val="auto"/>
              </w:rPr>
            </w:pPr>
          </w:p>
        </w:tc>
      </w:tr>
      <w:tr>
        <w:trPr>
          <w:trHeight w:val="238"/>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8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76"/>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w w:val="99"/>
              </w:rPr>
              <w:t>Amended and Restated Constitution of the Registrant, as currently in effect (incorporated by reference to Exhibit 3.1 of the Registrant’s Current</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 on Form 8-K, filed with the Commission on November 24, 2025).</w:t>
            </w:r>
          </w:p>
        </w:tc>
      </w:tr>
      <w:tr>
        <w:trPr>
          <w:trHeight w:val="175"/>
        </w:trPr>
        <w:tc>
          <w:tcPr>
            <w:tcW w:w="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Opinion of Allens, Australian counsel of IREN Limited.</w:t>
            </w: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80" w:type="dxa"/>
            <w:vAlign w:val="bottom"/>
            <w:tcBorders>
              <w:bottom w:val="single" w:sz="8" w:color="CCEEFF"/>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Consent of Raymond Chabot Grant Thornton LLP, independent registered public accounting firm.</w:t>
            </w:r>
          </w:p>
        </w:tc>
      </w:tr>
      <w:tr>
        <w:trPr>
          <w:trHeight w:val="175"/>
        </w:trPr>
        <w:tc>
          <w:tcPr>
            <w:tcW w:w="5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260" w:type="dxa"/>
            <w:vAlign w:val="bottom"/>
          </w:tcPr>
          <w:p>
            <w:pPr>
              <w:spacing w:after="0"/>
              <w:rPr>
                <w:sz w:val="15"/>
                <w:szCs w:val="15"/>
                <w:color w:val="auto"/>
              </w:rPr>
            </w:pPr>
          </w:p>
        </w:tc>
        <w:tc>
          <w:tcPr>
            <w:tcW w:w="104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Consent of Allens, Australian counsel of IREN Limited (included in Exhibit 5.1).</w:t>
            </w: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r>
      <w:tr>
        <w:trPr>
          <w:trHeight w:val="196"/>
        </w:trPr>
        <w:tc>
          <w:tcPr>
            <w:tcW w:w="5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260" w:type="dxa"/>
            <w:vAlign w:val="bottom"/>
            <w:shd w:val="clear" w:color="auto" w:fill="CCEEFF"/>
          </w:tcPr>
          <w:p>
            <w:pPr>
              <w:spacing w:after="0"/>
              <w:rPr>
                <w:sz w:val="17"/>
                <w:szCs w:val="17"/>
                <w:color w:val="auto"/>
              </w:rPr>
            </w:pPr>
          </w:p>
        </w:tc>
        <w:tc>
          <w:tcPr>
            <w:tcW w:w="10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Power of Attorney (included on the signature page hereto).</w:t>
            </w:r>
          </w:p>
        </w:tc>
      </w:tr>
      <w:tr>
        <w:trPr>
          <w:trHeight w:val="198"/>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480" w:type="dxa"/>
            <w:vAlign w:val="bottom"/>
            <w:tcBorders>
              <w:top w:val="single" w:sz="8" w:color="CCEEFF"/>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IREN Limited 2025 Omnibus Incentive Plan (incorporated herein by reference to Exhibit 99.1 to the Company’s Registration Statement on</w:t>
            </w:r>
          </w:p>
        </w:tc>
      </w:tr>
      <w:tr>
        <w:trPr>
          <w:trHeight w:val="194"/>
        </w:trPr>
        <w:tc>
          <w:tcPr>
            <w:tcW w:w="420" w:type="dxa"/>
            <w:vAlign w:val="bottom"/>
            <w:gridSpan w:val="3"/>
          </w:tcPr>
          <w:p>
            <w:pPr>
              <w:spacing w:after="0" w:line="194"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Form S-8 filed with the SEC on January 2, 2026).</w:t>
            </w: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r>
      <w:tr>
        <w:trPr>
          <w:trHeight w:val="175"/>
        </w:trPr>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107.</w:t>
            </w:r>
            <w:r>
              <w:rPr>
                <w:rFonts w:ascii="Times New Roman" w:cs="Times New Roman" w:eastAsia="Times New Roman" w:hAnsi="Times New Roman"/>
                <w:sz w:val="18"/>
                <w:szCs w:val="18"/>
                <w:u w:val="single" w:color="auto"/>
                <w:color w:val="0000EE"/>
              </w:rPr>
              <w:t>1*</w:t>
            </w:r>
          </w:p>
        </w:tc>
        <w:tc>
          <w:tcPr>
            <w:tcW w:w="10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Filing Fee Table</w:t>
            </w:r>
          </w:p>
        </w:tc>
      </w:tr>
      <w:tr>
        <w:trPr>
          <w:trHeight w:val="21"/>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225"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firstLine="332"/>
        <w:spacing w:after="0" w:line="256" w:lineRule="auto"/>
        <w:tabs>
          <w:tab w:leader="none" w:pos="5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a 20% change in the maximum aggregate offering price set forth in the Calculation of Filing Fee table in the effective registration statement;</w:t>
      </w:r>
    </w:p>
    <w:p>
      <w:pPr>
        <w:spacing w:after="0" w:line="187" w:lineRule="exact"/>
        <w:rPr>
          <w:rFonts w:ascii="Times New Roman" w:cs="Times New Roman" w:eastAsia="Times New Roman" w:hAnsi="Times New Roman"/>
          <w:sz w:val="18"/>
          <w:szCs w:val="18"/>
          <w:color w:val="auto"/>
        </w:rPr>
      </w:pPr>
    </w:p>
    <w:p>
      <w:pPr>
        <w:ind w:right="60" w:firstLine="332"/>
        <w:spacing w:after="0" w:line="282" w:lineRule="auto"/>
        <w:tabs>
          <w:tab w:leader="none" w:pos="6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(A)(l)(i) and (A)(l)(ii) shall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75" w:lineRule="exact"/>
        <w:rPr>
          <w:sz w:val="20"/>
          <w:szCs w:val="20"/>
          <w:color w:val="auto"/>
        </w:rPr>
      </w:pPr>
    </w:p>
    <w:p>
      <w:pPr>
        <w:ind w:right="320" w:firstLine="332"/>
        <w:spacing w:after="0" w:line="266"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right="60" w:firstLine="332"/>
        <w:spacing w:after="0" w:line="282"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8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Sydney, Australia, on July 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Roberts</w:t>
            </w:r>
          </w:p>
        </w:tc>
        <w:tc>
          <w:tcPr>
            <w:tcW w:w="8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920" w:type="dxa"/>
            <w:vAlign w:val="bottom"/>
          </w:tcPr>
          <w:p>
            <w:pPr>
              <w:spacing w:after="0"/>
              <w:rPr>
                <w:sz w:val="17"/>
                <w:szCs w:val="17"/>
                <w:color w:val="auto"/>
              </w:rPr>
            </w:pPr>
          </w:p>
        </w:tc>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87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Daniel Roberts</w:t>
            </w:r>
          </w:p>
        </w:tc>
        <w:tc>
          <w:tcPr>
            <w:tcW w:w="12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20" w:type="dxa"/>
            <w:vAlign w:val="bottom"/>
          </w:tcPr>
          <w:p>
            <w:pPr>
              <w:spacing w:after="0"/>
              <w:rPr>
                <w:sz w:val="20"/>
                <w:szCs w:val="20"/>
                <w:color w:val="auto"/>
              </w:rPr>
            </w:pP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William Roberts</w:t>
            </w:r>
          </w:p>
        </w:tc>
        <w:tc>
          <w:tcPr>
            <w:tcW w:w="8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920" w:type="dxa"/>
            <w:vAlign w:val="bottom"/>
          </w:tcPr>
          <w:p>
            <w:pPr>
              <w:spacing w:after="0"/>
              <w:rPr>
                <w:sz w:val="17"/>
                <w:szCs w:val="17"/>
                <w:color w:val="auto"/>
              </w:rPr>
            </w:pPr>
          </w:p>
        </w:tc>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87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William Roberts</w:t>
            </w:r>
          </w:p>
        </w:tc>
        <w:tc>
          <w:tcPr>
            <w:tcW w:w="12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20" w:type="dxa"/>
            <w:vAlign w:val="bottom"/>
          </w:tcPr>
          <w:p>
            <w:pPr>
              <w:spacing w:after="0"/>
              <w:rPr>
                <w:sz w:val="20"/>
                <w:szCs w:val="20"/>
                <w:color w:val="auto"/>
              </w:rPr>
            </w:pPr>
          </w:p>
        </w:tc>
      </w:tr>
      <w:tr>
        <w:trPr>
          <w:trHeight w:val="398"/>
        </w:trPr>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MEN AND WOMEN BY THESE PRESENTS, that each person whose signature appears below hereby severally constitutes and appoints each of Registrant’s co-principal executive officers and principal financial officer (currently Daniel Roberts, William Roberts and Anthony Lewis respectively) as such person’s true and lawful attorney-in-fact and agent, each acting alone, with full power of substitution and resubstitution, for and in such person’s name, place and stead, in any and all capacities, to sign any and all amendments (including post-effective amendments) to this Registration Statement and all documents relating thereto, and to file the same, with all exhibits thereto, and other documents in connection therewith, with the Commission, granting unto such attorneys-in 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8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17" w:right="339" w:bottom="1440" w:gutter="0" w:footer="0" w:header="0"/>
        </w:sectPr>
      </w:pPr>
    </w:p>
    <w:p>
      <w:pPr>
        <w:spacing w:after="0" w:line="15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Daniel Roberts</w:t>
      </w:r>
    </w:p>
    <w:p>
      <w:pPr>
        <w:spacing w:after="0" w:line="22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/s/ William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William Roberts</w:t>
      </w:r>
    </w:p>
    <w:p>
      <w:pPr>
        <w:spacing w:after="0" w:line="22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/s/ Anthony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Anthony Lewis</w:t>
      </w:r>
    </w:p>
    <w:p>
      <w:pPr>
        <w:spacing w:after="0" w:line="22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/s/ David Bartholomew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David Bartholomew</w:t>
      </w:r>
    </w:p>
    <w:p>
      <w:pPr>
        <w:spacing w:after="0" w:line="22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/s/ Christopher Guzowski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7913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2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Christopher Guzowski</w:t>
      </w:r>
    </w:p>
    <w:p>
      <w:pPr>
        <w:spacing w:after="0" w:line="22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/s/ Michael Alfred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Michael Alfred</w:t>
      </w:r>
    </w:p>
    <w:p>
      <w:pPr>
        <w:spacing w:after="0" w:line="22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/s/ Sunita Parasuraman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913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Sunita Parasuraman</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60" w:type="dxa"/>
            <w:vAlign w:val="bottom"/>
          </w:tcPr>
          <w:p>
            <w:pPr>
              <w:spacing w:after="0"/>
              <w:rPr>
                <w:sz w:val="17"/>
                <w:szCs w:val="17"/>
                <w:color w:val="auto"/>
              </w:rPr>
            </w:pPr>
          </w:p>
        </w:tc>
      </w:tr>
      <w:tr>
        <w:trPr>
          <w:trHeight w:val="459"/>
        </w:trPr>
        <w:tc>
          <w:tcPr>
            <w:tcW w:w="410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Co-Chief Executive Officer and Director</w:t>
            </w:r>
          </w:p>
        </w:tc>
        <w:tc>
          <w:tcPr>
            <w:tcW w:w="202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6"/>
        </w:trPr>
        <w:tc>
          <w:tcPr>
            <w:tcW w:w="410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9"/>
        </w:trPr>
        <w:tc>
          <w:tcPr>
            <w:tcW w:w="410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Co-Chief Executive Officer and Director</w:t>
            </w:r>
          </w:p>
        </w:tc>
        <w:tc>
          <w:tcPr>
            <w:tcW w:w="202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6"/>
        </w:trPr>
        <w:tc>
          <w:tcPr>
            <w:tcW w:w="410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9"/>
        </w:trPr>
        <w:tc>
          <w:tcPr>
            <w:tcW w:w="41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2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6"/>
        </w:trPr>
        <w:tc>
          <w:tcPr>
            <w:tcW w:w="410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46"/>
        </w:trPr>
        <w:tc>
          <w:tcPr>
            <w:tcW w:w="41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675"/>
        </w:trPr>
        <w:tc>
          <w:tcPr>
            <w:tcW w:w="41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675"/>
        </w:trPr>
        <w:tc>
          <w:tcPr>
            <w:tcW w:w="41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675"/>
        </w:trPr>
        <w:tc>
          <w:tcPr>
            <w:tcW w:w="41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July 1,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394335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20" w:space="720"/>
            <w:col w:w="6800"/>
          </w:cols>
          <w:pgMar w:left="320" w:top="11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IREN Limited has signed this Registration Statement on July 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Donald J. Puglisi</w:t>
            </w:r>
          </w:p>
        </w:tc>
        <w:tc>
          <w:tcPr>
            <w:tcW w:w="100" w:type="dxa"/>
            <w:vAlign w:val="bottom"/>
          </w:tcPr>
          <w:p>
            <w:pPr>
              <w:spacing w:after="0"/>
              <w:rPr>
                <w:sz w:val="20"/>
                <w:szCs w:val="20"/>
                <w:color w:val="auto"/>
              </w:rPr>
            </w:pPr>
          </w:p>
        </w:tc>
      </w:tr>
      <w:tr>
        <w:trPr>
          <w:trHeight w:val="198"/>
        </w:trPr>
        <w:tc>
          <w:tcPr>
            <w:tcW w:w="580" w:type="dxa"/>
            <w:vAlign w:val="bottom"/>
          </w:tcPr>
          <w:p>
            <w:pPr>
              <w:spacing w:after="0"/>
              <w:rPr>
                <w:sz w:val="17"/>
                <w:szCs w:val="17"/>
                <w:color w:val="auto"/>
              </w:rPr>
            </w:pPr>
          </w:p>
        </w:tc>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98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Donald J. Puglisi</w:t>
            </w:r>
          </w:p>
        </w:tc>
        <w:tc>
          <w:tcPr>
            <w:tcW w:w="10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100" w:type="dxa"/>
            <w:vAlign w:val="bottom"/>
          </w:tcPr>
          <w:p>
            <w:pPr>
              <w:spacing w:after="0"/>
              <w:rPr>
                <w:sz w:val="20"/>
                <w:szCs w:val="20"/>
                <w:color w:val="auto"/>
              </w:rPr>
            </w:pPr>
          </w:p>
        </w:tc>
      </w:tr>
      <w:tr>
        <w:trPr>
          <w:trHeight w:val="533"/>
        </w:trPr>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ectPr>
          <w:pgSz w:w="11900" w:h="16838" w:orient="portrait"/>
          <w:cols w:equalWidth="0" w:num="1">
            <w:col w:w="11240"/>
          </w:cols>
          <w:pgMar w:left="320" w:top="266"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4BF"/>
        </w:rPr>
        <w:t>Allens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Alfred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GPO Box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-256540</wp:posOffset>
            </wp:positionV>
            <wp:extent cx="1208405"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extLst>
                    </a:blip>
                    <a:srcRect/>
                    <a:stretch>
                      <a:fillRect/>
                    </a:stretch>
                  </pic:blipFill>
                  <pic:spPr bwMode="auto">
                    <a:xfrm>
                      <a:off x="0" y="0"/>
                      <a:ext cx="1208405" cy="3511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NSW 2001 Australia</w:t>
      </w:r>
    </w:p>
    <w:p>
      <w:pPr>
        <w:spacing w:after="0" w:line="200" w:lineRule="exact"/>
        <w:rPr>
          <w:sz w:val="20"/>
          <w:szCs w:val="20"/>
          <w:color w:val="auto"/>
        </w:rPr>
      </w:pPr>
    </w:p>
    <w:p>
      <w:pPr>
        <w:sectPr>
          <w:pgSz w:w="11900" w:h="16838" w:orient="portrait"/>
          <w:cols w:equalWidth="0" w:num="2">
            <w:col w:w="2660" w:space="720"/>
            <w:col w:w="7860"/>
          </w:cols>
          <w:pgMar w:left="320" w:top="26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 +61 2 9230 4000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+61 2 9230 5333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allens.com.au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ABN 47 702 595 758</w:t>
      </w:r>
    </w:p>
    <w:p>
      <w:pPr>
        <w:spacing w:after="0" w:line="218" w:lineRule="exact"/>
        <w:rPr>
          <w:sz w:val="20"/>
          <w:szCs w:val="20"/>
          <w:color w:val="auto"/>
        </w:rPr>
      </w:pPr>
    </w:p>
    <w:p>
      <w:pPr>
        <w:sectPr>
          <w:pgSz w:w="11900" w:h="16838" w:orient="portrait"/>
          <w:cols w:equalWidth="0" w:num="2">
            <w:col w:w="2660" w:space="720"/>
            <w:col w:w="7860"/>
          </w:cols>
          <w:pgMar w:left="320" w:top="26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July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5, 55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NSW 2000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ectPr>
          <w:pgSz w:w="11900" w:h="16838" w:orient="portrait"/>
          <w:cols w:equalWidth="0" w:num="1">
            <w:col w:w="11240"/>
          </w:cols>
          <w:pgMar w:left="320" w:top="266"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4BF"/>
        </w:rPr>
        <w:t xml:space="preserve">IREN Limited (ACN 629 842 799) (the </w:t>
      </w:r>
      <w:r>
        <w:rPr>
          <w:rFonts w:ascii="Times New Roman" w:cs="Times New Roman" w:eastAsia="Times New Roman" w:hAnsi="Times New Roman"/>
          <w:sz w:val="18"/>
          <w:szCs w:val="18"/>
          <w:b w:val="1"/>
          <w:bCs w:val="1"/>
          <w:i w:val="1"/>
          <w:iCs w:val="1"/>
          <w:color w:val="0074BF"/>
        </w:rPr>
        <w:t>Company</w:t>
      </w:r>
      <w:r>
        <w:rPr>
          <w:rFonts w:ascii="Times New Roman" w:cs="Times New Roman" w:eastAsia="Times New Roman" w:hAnsi="Times New Roman"/>
          <w:sz w:val="18"/>
          <w:szCs w:val="18"/>
          <w:b w:val="1"/>
          <w:bCs w:val="1"/>
          <w:color w:val="0074BF"/>
        </w:rPr>
        <w:t>)</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have acted as Australian legal advisers to the Company in connection with the preparation and filing by the Company on the date hereof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on Form S-8 under the </w:t>
      </w:r>
      <w:r>
        <w:rPr>
          <w:rFonts w:ascii="Times New Roman" w:cs="Times New Roman" w:eastAsia="Times New Roman" w:hAnsi="Times New Roman"/>
          <w:sz w:val="18"/>
          <w:szCs w:val="18"/>
          <w:i w:val="1"/>
          <w:iCs w:val="1"/>
          <w:color w:val="auto"/>
        </w:rPr>
        <w:t>Securities Act 1993</w:t>
      </w:r>
      <w:r>
        <w:rPr>
          <w:rFonts w:ascii="Times New Roman" w:cs="Times New Roman" w:eastAsia="Times New Roman" w:hAnsi="Times New Roman"/>
          <w:sz w:val="18"/>
          <w:szCs w:val="18"/>
          <w:color w:val="auto"/>
        </w:rPr>
        <w:t xml:space="preserve"> (U.S.), as amended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 respect of the issuance of up to 8,000,000 ordinary shares, no par value, of the Company (</w:t>
      </w:r>
      <w:r>
        <w:rPr>
          <w:rFonts w:ascii="Times New Roman" w:cs="Times New Roman" w:eastAsia="Times New Roman" w:hAnsi="Times New Roman"/>
          <w:sz w:val="18"/>
          <w:szCs w:val="18"/>
          <w:b w:val="1"/>
          <w:bCs w:val="1"/>
          <w:i w:val="1"/>
          <w:iCs w:val="1"/>
          <w:color w:val="auto"/>
        </w:rPr>
        <w:t>OIP Shares</w:t>
      </w:r>
      <w:r>
        <w:rPr>
          <w:rFonts w:ascii="Times New Roman" w:cs="Times New Roman" w:eastAsia="Times New Roman" w:hAnsi="Times New Roman"/>
          <w:sz w:val="18"/>
          <w:szCs w:val="18"/>
          <w:color w:val="auto"/>
        </w:rPr>
        <w:t>), which may be issued pursuant to the Company’s 2025 Omnibus Incentive Plan (</w:t>
      </w:r>
      <w:r>
        <w:rPr>
          <w:rFonts w:ascii="Times New Roman" w:cs="Times New Roman" w:eastAsia="Times New Roman" w:hAnsi="Times New Roman"/>
          <w:sz w:val="18"/>
          <w:szCs w:val="18"/>
          <w:b w:val="1"/>
          <w:bCs w:val="1"/>
          <w:i w:val="1"/>
          <w:iCs w:val="1"/>
          <w:color w:val="auto"/>
        </w:rPr>
        <w:t>Incentive Plan</w:t>
      </w:r>
      <w:r>
        <w:rPr>
          <w:rFonts w:ascii="Times New Roman" w:cs="Times New Roman" w:eastAsia="Times New Roman" w:hAnsi="Times New Roman"/>
          <w:sz w:val="18"/>
          <w:szCs w:val="18"/>
          <w:color w:val="auto"/>
        </w:rPr>
        <w:t>) in accordance with the terms and conditions of the Incentive Plan (</w:t>
      </w:r>
      <w:r>
        <w:rPr>
          <w:rFonts w:ascii="Times New Roman" w:cs="Times New Roman" w:eastAsia="Times New Roman" w:hAnsi="Times New Roman"/>
          <w:sz w:val="18"/>
          <w:szCs w:val="18"/>
          <w:b w:val="1"/>
          <w:bCs w:val="1"/>
          <w:i w:val="1"/>
          <w:iCs w:val="1"/>
          <w:color w:val="auto"/>
        </w:rPr>
        <w:t>Plan Rules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This opinion letter (</w:t>
      </w:r>
      <w:r>
        <w:rPr>
          <w:rFonts w:ascii="Times New Roman" w:cs="Times New Roman" w:eastAsia="Times New Roman" w:hAnsi="Times New Roman"/>
          <w:sz w:val="18"/>
          <w:szCs w:val="18"/>
          <w:b w:val="1"/>
          <w:bCs w:val="1"/>
          <w:i w:val="1"/>
          <w:iCs w:val="1"/>
          <w:color w:val="auto"/>
        </w:rPr>
        <w:t>Opinion</w:t>
      </w:r>
      <w:r>
        <w:rPr>
          <w:rFonts w:ascii="Times New Roman" w:cs="Times New Roman" w:eastAsia="Times New Roman" w:hAnsi="Times New Roman"/>
          <w:sz w:val="18"/>
          <w:szCs w:val="18"/>
          <w:color w:val="auto"/>
        </w:rPr>
        <w:t>) is being furnished in accordance with Item 601(b)(5) of Regulation S-K under the Securities Act, and no opinion is expressed herein as to any matter pertaining to the contexts of the Registration Statement or related prospectus, other than as expressly stated herein.</w:t>
      </w:r>
    </w:p>
    <w:p>
      <w:pPr>
        <w:spacing w:after="0" w:line="155"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b w:val="1"/>
          <w:bCs w:val="1"/>
          <w:color w:val="0074BF"/>
        </w:rPr>
        <w:t>Definitions</w:t>
      </w:r>
    </w:p>
    <w:p>
      <w:pPr>
        <w:spacing w:after="0" w:line="229" w:lineRule="exact"/>
        <w:rPr>
          <w:rFonts w:ascii="Times New Roman" w:cs="Times New Roman" w:eastAsia="Times New Roman" w:hAnsi="Times New Roman"/>
          <w:sz w:val="18"/>
          <w:szCs w:val="18"/>
          <w:b w:val="1"/>
          <w:bCs w:val="1"/>
          <w:color w:val="0074BF"/>
        </w:rPr>
      </w:pPr>
    </w:p>
    <w:p>
      <w:pPr>
        <w:ind w:left="640"/>
        <w:spacing w:after="0"/>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color w:val="auto"/>
        </w:rPr>
        <w:t>In this opinion, the following definitions apply.</w:t>
      </w:r>
    </w:p>
    <w:p>
      <w:pPr>
        <w:spacing w:after="0" w:line="221" w:lineRule="exact"/>
        <w:rPr>
          <w:rFonts w:ascii="Times New Roman" w:cs="Times New Roman" w:eastAsia="Times New Roman" w:hAnsi="Times New Roman"/>
          <w:sz w:val="18"/>
          <w:szCs w:val="18"/>
          <w:b w:val="1"/>
          <w:bCs w:val="1"/>
          <w:color w:val="0074BF"/>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ASIC </w:t>
      </w:r>
      <w:r>
        <w:rPr>
          <w:rFonts w:ascii="Times New Roman" w:cs="Times New Roman" w:eastAsia="Times New Roman" w:hAnsi="Times New Roman"/>
          <w:sz w:val="18"/>
          <w:szCs w:val="18"/>
          <w:color w:val="auto"/>
        </w:rPr>
        <w:t>means the Australian Securities and Investments Commission.</w:t>
      </w:r>
    </w:p>
    <w:p>
      <w:pPr>
        <w:spacing w:after="0" w:line="225" w:lineRule="exact"/>
        <w:rPr>
          <w:rFonts w:ascii="Times New Roman" w:cs="Times New Roman" w:eastAsia="Times New Roman" w:hAnsi="Times New Roman"/>
          <w:sz w:val="18"/>
          <w:szCs w:val="18"/>
          <w:color w:val="auto"/>
        </w:rPr>
      </w:pPr>
    </w:p>
    <w:p>
      <w:pPr>
        <w:ind w:left="1280" w:right="20" w:hanging="638"/>
        <w:spacing w:after="0" w:line="286"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Constitution </w:t>
      </w:r>
      <w:r>
        <w:rPr>
          <w:rFonts w:ascii="Times New Roman" w:cs="Times New Roman" w:eastAsia="Times New Roman" w:hAnsi="Times New Roman"/>
          <w:sz w:val="18"/>
          <w:szCs w:val="18"/>
          <w:color w:val="auto"/>
        </w:rPr>
        <w:t>means the Amended and Restated Constitution of the Company adopted on 20 November 2025 (19 November 2025 ET)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force as at the date of this Opinion.</w:t>
      </w:r>
    </w:p>
    <w:p>
      <w:pPr>
        <w:spacing w:after="0" w:line="15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Corporations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(Cth).</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 </w:t>
      </w:r>
      <w:r>
        <w:rPr>
          <w:rFonts w:ascii="Times New Roman" w:cs="Times New Roman" w:eastAsia="Times New Roman" w:hAnsi="Times New Roman"/>
          <w:sz w:val="18"/>
          <w:szCs w:val="18"/>
          <w:color w:val="auto"/>
        </w:rPr>
        <w:t>means a document listed in paragraphs 2(a) to 2(c) below.</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Governing Jurisdiction </w:t>
      </w:r>
      <w:r>
        <w:rPr>
          <w:rFonts w:ascii="Times New Roman" w:cs="Times New Roman" w:eastAsia="Times New Roman" w:hAnsi="Times New Roman"/>
          <w:sz w:val="18"/>
          <w:szCs w:val="18"/>
          <w:color w:val="auto"/>
        </w:rPr>
        <w:t>means the State of New York, United States of America.</w:t>
      </w:r>
    </w:p>
    <w:p>
      <w:pPr>
        <w:spacing w:after="0" w:line="225" w:lineRule="exact"/>
        <w:rPr>
          <w:rFonts w:ascii="Times New Roman" w:cs="Times New Roman" w:eastAsia="Times New Roman" w:hAnsi="Times New Roman"/>
          <w:sz w:val="18"/>
          <w:szCs w:val="18"/>
          <w:color w:val="auto"/>
        </w:rPr>
      </w:pPr>
    </w:p>
    <w:p>
      <w:pPr>
        <w:ind w:left="1280" w:right="300" w:hanging="638"/>
        <w:spacing w:after="0" w:line="286"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laws of a Relevant Jurisdiction </w:t>
      </w:r>
      <w:r>
        <w:rPr>
          <w:rFonts w:ascii="Times New Roman" w:cs="Times New Roman" w:eastAsia="Times New Roman" w:hAnsi="Times New Roman"/>
          <w:sz w:val="18"/>
          <w:szCs w:val="18"/>
          <w:color w:val="auto"/>
        </w:rPr>
        <w:t>means the common law, principles of equity and laws constituted by legislation that is available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generally, in force in the Relevant Jurisdictions.</w:t>
      </w:r>
    </w:p>
    <w:p>
      <w:pPr>
        <w:spacing w:after="0" w:line="15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Relevant Jurisdiction </w:t>
      </w:r>
      <w:r>
        <w:rPr>
          <w:rFonts w:ascii="Times New Roman" w:cs="Times New Roman" w:eastAsia="Times New Roman" w:hAnsi="Times New Roman"/>
          <w:sz w:val="18"/>
          <w:szCs w:val="18"/>
          <w:color w:val="auto"/>
        </w:rPr>
        <w:t>means New South Wales or the federal jurisdiction of the Commonwealth of Australia.</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Registration Certificates </w:t>
      </w:r>
      <w:r>
        <w:rPr>
          <w:rFonts w:ascii="Times New Roman" w:cs="Times New Roman" w:eastAsia="Times New Roman" w:hAnsi="Times New Roman"/>
          <w:sz w:val="18"/>
          <w:szCs w:val="18"/>
          <w:color w:val="auto"/>
        </w:rPr>
        <w:t>means copies of the Company's registration certificates dated:</w:t>
      </w:r>
    </w:p>
    <w:p>
      <w:pPr>
        <w:spacing w:after="0" w:line="229"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November 2018;</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October 2021; and</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November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154305</wp:posOffset>
            </wp:positionV>
            <wp:extent cx="78867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788670" cy="27432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9" w:name="page10"/>
    <w:bookmarkEnd w:id="9"/>
    <w:p>
      <w:pPr>
        <w:ind w:left="640" w:hanging="632"/>
        <w:spacing w:after="0"/>
        <w:tabs>
          <w:tab w:leader="none" w:pos="640" w:val="left"/>
        </w:tabs>
        <w:numPr>
          <w:ilvl w:val="0"/>
          <w:numId w:val="7"/>
        </w:numPr>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b w:val="1"/>
          <w:bCs w:val="1"/>
          <w:color w:val="0074BF"/>
        </w:rPr>
        <w:drawing>
          <wp:anchor simplePos="0" relativeHeight="251657728" behindDoc="1" locked="0" layoutInCell="0" allowOverlap="1">
            <wp:simplePos x="0" y="0"/>
            <wp:positionH relativeFrom="page">
              <wp:posOffset>6517640</wp:posOffset>
            </wp:positionH>
            <wp:positionV relativeFrom="page">
              <wp:posOffset>88900</wp:posOffset>
            </wp:positionV>
            <wp:extent cx="82296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822960" cy="240030"/>
                    </a:xfrm>
                    <a:prstGeom prst="rect">
                      <a:avLst/>
                    </a:prstGeom>
                    <a:noFill/>
                  </pic:spPr>
                </pic:pic>
              </a:graphicData>
            </a:graphic>
          </wp:anchor>
        </w:drawing>
        <w:t>Documents</w:t>
      </w:r>
    </w:p>
    <w:p>
      <w:pPr>
        <w:spacing w:after="0" w:line="229" w:lineRule="exact"/>
        <w:rPr>
          <w:rFonts w:ascii="Times New Roman" w:cs="Times New Roman" w:eastAsia="Times New Roman" w:hAnsi="Times New Roman"/>
          <w:sz w:val="18"/>
          <w:szCs w:val="18"/>
          <w:b w:val="1"/>
          <w:bCs w:val="1"/>
          <w:color w:val="0074BF"/>
        </w:rPr>
      </w:pPr>
    </w:p>
    <w:p>
      <w:pPr>
        <w:ind w:left="640"/>
        <w:spacing w:after="0"/>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color w:val="auto"/>
        </w:rPr>
        <w:t>We have examined and rely on originals or copies of the following documents:</w:t>
      </w:r>
    </w:p>
    <w:p>
      <w:pPr>
        <w:spacing w:after="0" w:line="225" w:lineRule="exact"/>
        <w:rPr>
          <w:rFonts w:ascii="Times New Roman" w:cs="Times New Roman" w:eastAsia="Times New Roman" w:hAnsi="Times New Roman"/>
          <w:sz w:val="18"/>
          <w:szCs w:val="18"/>
          <w:b w:val="1"/>
          <w:bCs w:val="1"/>
          <w:color w:val="0074BF"/>
        </w:rPr>
      </w:pPr>
    </w:p>
    <w:p>
      <w:pPr>
        <w:ind w:left="1280" w:hanging="638"/>
        <w:spacing w:after="0"/>
        <w:tabs>
          <w:tab w:leader="none" w:pos="1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Constitution;</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Certificates.</w:t>
      </w:r>
    </w:p>
    <w:p>
      <w:pPr>
        <w:spacing w:after="0" w:line="221"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b w:val="1"/>
          <w:bCs w:val="1"/>
          <w:color w:val="0074BF"/>
        </w:rPr>
        <w:t>Scope</w:t>
      </w:r>
    </w:p>
    <w:p>
      <w:pPr>
        <w:spacing w:after="0" w:line="229" w:lineRule="exact"/>
        <w:rPr>
          <w:rFonts w:ascii="Times New Roman" w:cs="Times New Roman" w:eastAsia="Times New Roman" w:hAnsi="Times New Roman"/>
          <w:sz w:val="18"/>
          <w:szCs w:val="18"/>
          <w:b w:val="1"/>
          <w:bCs w:val="1"/>
          <w:color w:val="0074BF"/>
        </w:rPr>
      </w:pPr>
    </w:p>
    <w:p>
      <w:pPr>
        <w:ind w:left="640" w:right="480"/>
        <w:spacing w:after="0" w:line="282" w:lineRule="auto"/>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color w:val="auto"/>
        </w:rPr>
        <w:t>This Opinion relates only to the laws of the Relevant Jurisdictions, as interpreted by courts of the Relevant Jurisdictions, at 9:00am (Sydney, Australia time) on the date of this Opinion.</w:t>
      </w:r>
    </w:p>
    <w:p>
      <w:pPr>
        <w:spacing w:after="0" w:line="161" w:lineRule="exact"/>
        <w:rPr>
          <w:rFonts w:ascii="Times New Roman" w:cs="Times New Roman" w:eastAsia="Times New Roman" w:hAnsi="Times New Roman"/>
          <w:sz w:val="18"/>
          <w:szCs w:val="18"/>
          <w:b w:val="1"/>
          <w:bCs w:val="1"/>
          <w:color w:val="0074BF"/>
        </w:rPr>
      </w:pPr>
    </w:p>
    <w:p>
      <w:pPr>
        <w:ind w:left="640" w:right="200"/>
        <w:spacing w:after="0" w:line="266" w:lineRule="auto"/>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color w:val="auto"/>
        </w:rPr>
        <w:t>This Opinion is given on the basis that it will be construed in accordance with the laws of New South Wales, Australia. Anyone relying on this Opinion agrees that this Opinion and all matters (including any liability) arising in any way from it are to be governed by the laws of New South Wales and will be subject to the non-exclusive jurisdiction of the courts of New South Wales.</w:t>
      </w:r>
    </w:p>
    <w:p>
      <w:pPr>
        <w:spacing w:after="0" w:line="175" w:lineRule="exact"/>
        <w:rPr>
          <w:rFonts w:ascii="Times New Roman" w:cs="Times New Roman" w:eastAsia="Times New Roman" w:hAnsi="Times New Roman"/>
          <w:sz w:val="18"/>
          <w:szCs w:val="18"/>
          <w:b w:val="1"/>
          <w:bCs w:val="1"/>
          <w:color w:val="0074BF"/>
        </w:rPr>
      </w:pPr>
    </w:p>
    <w:p>
      <w:pPr>
        <w:ind w:left="640" w:right="100"/>
        <w:spacing w:after="0" w:line="266" w:lineRule="auto"/>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color w:val="auto"/>
        </w:rPr>
        <w:t>We have not reviewed any documents other than the Documents listed in section 2 for the purposes of this Opinion, and this Opinion does not purport to address any legal issues that arise in relation to such other documents that may be or come into force, even if there is a reference to any such documents in the Documents or on the impact such documents may have on the opinions expressed in this Opinion.</w:t>
      </w:r>
    </w:p>
    <w:p>
      <w:pPr>
        <w:spacing w:after="0" w:line="175" w:lineRule="exact"/>
        <w:rPr>
          <w:rFonts w:ascii="Times New Roman" w:cs="Times New Roman" w:eastAsia="Times New Roman" w:hAnsi="Times New Roman"/>
          <w:sz w:val="18"/>
          <w:szCs w:val="18"/>
          <w:b w:val="1"/>
          <w:bCs w:val="1"/>
          <w:color w:val="0074BF"/>
        </w:rPr>
      </w:pPr>
    </w:p>
    <w:p>
      <w:pPr>
        <w:ind w:left="640" w:right="120"/>
        <w:spacing w:after="0" w:line="282" w:lineRule="auto"/>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color w:val="auto"/>
        </w:rPr>
        <w:t>We have not considered and do not opine on the Registration Statement or/and any securities law disclosure requirements, other than as expressly stated herein with respect to the ability to issue the OIP Shares.</w:t>
      </w:r>
    </w:p>
    <w:p>
      <w:pPr>
        <w:spacing w:after="0" w:line="161" w:lineRule="exact"/>
        <w:rPr>
          <w:rFonts w:ascii="Times New Roman" w:cs="Times New Roman" w:eastAsia="Times New Roman" w:hAnsi="Times New Roman"/>
          <w:sz w:val="18"/>
          <w:szCs w:val="18"/>
          <w:b w:val="1"/>
          <w:bCs w:val="1"/>
          <w:color w:val="0074BF"/>
        </w:rPr>
      </w:pPr>
    </w:p>
    <w:p>
      <w:pPr>
        <w:ind w:left="640" w:right="160"/>
        <w:spacing w:after="0" w:line="312" w:lineRule="auto"/>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7"/>
          <w:szCs w:val="17"/>
          <w:color w:val="auto"/>
        </w:rPr>
        <w:t>We express no opinion as to any taxation matters or transfer pricing matters generally or liability to tax which may arise or be suffered as a result of or in connection with the Registration Statement or on the impact which any tax laws may have on the opinions expressed in this Opinion.</w:t>
      </w:r>
    </w:p>
    <w:p>
      <w:pPr>
        <w:spacing w:after="0" w:line="139" w:lineRule="exact"/>
        <w:rPr>
          <w:rFonts w:ascii="Times New Roman" w:cs="Times New Roman" w:eastAsia="Times New Roman" w:hAnsi="Times New Roman"/>
          <w:sz w:val="18"/>
          <w:szCs w:val="18"/>
          <w:b w:val="1"/>
          <w:bCs w:val="1"/>
          <w:color w:val="0074BF"/>
        </w:rPr>
      </w:pPr>
    </w:p>
    <w:p>
      <w:pPr>
        <w:ind w:left="640"/>
        <w:spacing w:after="0"/>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color w:val="auto"/>
        </w:rPr>
        <w:t>We express no opinion on any applicable licensing or similar requirements.</w:t>
      </w:r>
    </w:p>
    <w:p>
      <w:pPr>
        <w:spacing w:after="0" w:line="225" w:lineRule="exact"/>
        <w:rPr>
          <w:sz w:val="20"/>
          <w:szCs w:val="20"/>
          <w:color w:val="auto"/>
        </w:rPr>
      </w:pPr>
    </w:p>
    <w:p>
      <w:pPr>
        <w:ind w:left="640" w:right="180"/>
        <w:spacing w:after="0" w:line="282" w:lineRule="auto"/>
        <w:rPr>
          <w:sz w:val="20"/>
          <w:szCs w:val="20"/>
          <w:color w:val="auto"/>
        </w:rPr>
      </w:pPr>
      <w:r>
        <w:rPr>
          <w:rFonts w:ascii="Times New Roman" w:cs="Times New Roman" w:eastAsia="Times New Roman" w:hAnsi="Times New Roman"/>
          <w:sz w:val="18"/>
          <w:szCs w:val="18"/>
          <w:color w:val="auto"/>
        </w:rPr>
        <w:t>This Opinion does not contain any undertaking to update it or to inform the Company of any changes in the laws of the Relevant Jurisdictions or any other laws which would affect the content thereof in any manner.</w:t>
      </w:r>
    </w:p>
    <w:p>
      <w:pPr>
        <w:spacing w:after="0" w:line="158"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b w:val="1"/>
          <w:bCs w:val="1"/>
          <w:color w:val="0074BF"/>
        </w:rPr>
        <w:t>Searches</w:t>
      </w:r>
    </w:p>
    <w:p>
      <w:pPr>
        <w:spacing w:after="0" w:line="229" w:lineRule="exact"/>
        <w:rPr>
          <w:rFonts w:ascii="Times New Roman" w:cs="Times New Roman" w:eastAsia="Times New Roman" w:hAnsi="Times New Roman"/>
          <w:sz w:val="18"/>
          <w:szCs w:val="18"/>
          <w:b w:val="1"/>
          <w:bCs w:val="1"/>
          <w:color w:val="0074BF"/>
        </w:rPr>
      </w:pPr>
    </w:p>
    <w:p>
      <w:pPr>
        <w:ind w:left="640"/>
        <w:spacing w:after="0"/>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color w:val="auto"/>
        </w:rPr>
        <w:t>We have relied on the following.</w:t>
      </w:r>
    </w:p>
    <w:p>
      <w:pPr>
        <w:spacing w:after="0" w:line="225" w:lineRule="exact"/>
        <w:rPr>
          <w:rFonts w:ascii="Times New Roman" w:cs="Times New Roman" w:eastAsia="Times New Roman" w:hAnsi="Times New Roman"/>
          <w:sz w:val="18"/>
          <w:szCs w:val="18"/>
          <w:b w:val="1"/>
          <w:bCs w:val="1"/>
          <w:color w:val="0074BF"/>
        </w:rPr>
      </w:pPr>
    </w:p>
    <w:p>
      <w:pPr>
        <w:ind w:left="1280" w:hanging="638"/>
        <w:spacing w:after="0"/>
        <w:tabs>
          <w:tab w:leader="none" w:pos="1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extract of the public records of the Company produced by ASIC on 1 July 2026 at 9.18am Sydney, Australia time.</w:t>
      </w:r>
    </w:p>
    <w:p>
      <w:pPr>
        <w:spacing w:after="0" w:line="225" w:lineRule="exact"/>
        <w:rPr>
          <w:rFonts w:ascii="Times New Roman" w:cs="Times New Roman" w:eastAsia="Times New Roman" w:hAnsi="Times New Roman"/>
          <w:sz w:val="18"/>
          <w:szCs w:val="18"/>
          <w:color w:val="auto"/>
        </w:rPr>
      </w:pPr>
    </w:p>
    <w:p>
      <w:pPr>
        <w:ind w:left="1280" w:right="240" w:hanging="638"/>
        <w:spacing w:after="0" w:line="282" w:lineRule="auto"/>
        <w:tabs>
          <w:tab w:leader="none" w:pos="1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search of the insolvency notices website maintained by ASIC in respect of the Company on 1 July 2026 at 9.18am Sydney, Australia time.</w:t>
      </w:r>
    </w:p>
    <w:p>
      <w:pPr>
        <w:spacing w:after="0" w:line="162" w:lineRule="exact"/>
        <w:rPr>
          <w:sz w:val="20"/>
          <w:szCs w:val="20"/>
          <w:color w:val="auto"/>
        </w:rPr>
      </w:pPr>
    </w:p>
    <w:p>
      <w:pPr>
        <w:ind w:left="640" w:right="100"/>
        <w:spacing w:after="0" w:line="266" w:lineRule="auto"/>
        <w:rPr>
          <w:sz w:val="20"/>
          <w:szCs w:val="20"/>
          <w:color w:val="auto"/>
        </w:rPr>
      </w:pPr>
      <w:r>
        <w:rPr>
          <w:rFonts w:ascii="Times New Roman" w:cs="Times New Roman" w:eastAsia="Times New Roman" w:hAnsi="Times New Roman"/>
          <w:sz w:val="18"/>
          <w:szCs w:val="18"/>
          <w:color w:val="auto"/>
        </w:rPr>
        <w:t>We have assumed that the extracts produced by ASIC are the same as information provided by the Company to ASIC. We have not examined any documents that the Company may have filed with ASIC. The information in the extracts, or produced by the searches, may not be correct, complete or up to date.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not conducted any other searches or investigations for the purposes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0" w:name="page11"/>
    <w:bookmarkEnd w:id="10"/>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b w:val="1"/>
          <w:bCs w:val="1"/>
          <w:color w:val="0074BF"/>
        </w:rPr>
        <w:drawing>
          <wp:anchor simplePos="0" relativeHeight="251657728" behindDoc="1" locked="0" layoutInCell="0" allowOverlap="1">
            <wp:simplePos x="0" y="0"/>
            <wp:positionH relativeFrom="page">
              <wp:posOffset>6517640</wp:posOffset>
            </wp:positionH>
            <wp:positionV relativeFrom="page">
              <wp:posOffset>88900</wp:posOffset>
            </wp:positionV>
            <wp:extent cx="82296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822960" cy="240030"/>
                    </a:xfrm>
                    <a:prstGeom prst="rect">
                      <a:avLst/>
                    </a:prstGeom>
                    <a:noFill/>
                  </pic:spPr>
                </pic:pic>
              </a:graphicData>
            </a:graphic>
          </wp:anchor>
        </w:drawing>
        <w:t>Opinion</w:t>
      </w:r>
    </w:p>
    <w:p>
      <w:pPr>
        <w:spacing w:after="0" w:line="229" w:lineRule="exact"/>
        <w:rPr>
          <w:rFonts w:ascii="Times New Roman" w:cs="Times New Roman" w:eastAsia="Times New Roman" w:hAnsi="Times New Roman"/>
          <w:sz w:val="18"/>
          <w:szCs w:val="18"/>
          <w:b w:val="1"/>
          <w:bCs w:val="1"/>
          <w:color w:val="0074BF"/>
        </w:rPr>
      </w:pPr>
    </w:p>
    <w:p>
      <w:pPr>
        <w:ind w:left="640"/>
        <w:spacing w:after="0"/>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color w:val="auto"/>
        </w:rPr>
        <w:t>Our opinion is, subject to the assumptions in Schedule 1, that once the OIP Shares have been duly authorised and if and once:</w:t>
      </w:r>
    </w:p>
    <w:p>
      <w:pPr>
        <w:spacing w:after="0" w:line="225" w:lineRule="exact"/>
        <w:rPr>
          <w:rFonts w:ascii="Times New Roman" w:cs="Times New Roman" w:eastAsia="Times New Roman" w:hAnsi="Times New Roman"/>
          <w:sz w:val="18"/>
          <w:szCs w:val="18"/>
          <w:b w:val="1"/>
          <w:bCs w:val="1"/>
          <w:color w:val="0074BF"/>
        </w:rPr>
      </w:pPr>
    </w:p>
    <w:p>
      <w:pPr>
        <w:ind w:left="1280" w:hanging="638"/>
        <w:spacing w:after="0"/>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registered on the books of the transfer agent and registrar therefor in the name or on behalf of the holders thereof; and</w:t>
      </w:r>
    </w:p>
    <w:p>
      <w:pPr>
        <w:spacing w:after="0" w:line="225" w:lineRule="exact"/>
        <w:rPr>
          <w:rFonts w:ascii="Times New Roman" w:cs="Times New Roman" w:eastAsia="Times New Roman" w:hAnsi="Times New Roman"/>
          <w:sz w:val="18"/>
          <w:szCs w:val="18"/>
          <w:color w:val="auto"/>
        </w:rPr>
      </w:pPr>
    </w:p>
    <w:p>
      <w:pPr>
        <w:ind w:left="640" w:right="320" w:firstLine="2"/>
        <w:spacing w:after="0" w:line="498" w:lineRule="auto"/>
        <w:tabs>
          <w:tab w:leader="none" w:pos="12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and issued in accordance with the terms of the Constitution, Plan Rules and board resolutions to be passed by the Company, they will be validly issued, fully paid-up and non-assessable.</w:t>
      </w:r>
    </w:p>
    <w:p>
      <w:pPr>
        <w:spacing w:after="0" w:line="1"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b w:val="1"/>
          <w:bCs w:val="1"/>
          <w:color w:val="0074BF"/>
        </w:rPr>
        <w:t>Benefit</w:t>
      </w:r>
    </w:p>
    <w:p>
      <w:pPr>
        <w:spacing w:after="0" w:line="229" w:lineRule="exact"/>
        <w:rPr>
          <w:rFonts w:ascii="Times New Roman" w:cs="Times New Roman" w:eastAsia="Times New Roman" w:hAnsi="Times New Roman"/>
          <w:sz w:val="18"/>
          <w:szCs w:val="18"/>
          <w:b w:val="1"/>
          <w:bCs w:val="1"/>
          <w:color w:val="0074BF"/>
        </w:rPr>
      </w:pPr>
    </w:p>
    <w:p>
      <w:pPr>
        <w:jc w:val="both"/>
        <w:ind w:left="640" w:right="160"/>
        <w:spacing w:after="0" w:line="266" w:lineRule="auto"/>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color w:val="auto"/>
        </w:rPr>
        <w:t>We are providing this Opinion in connection with the Documents and the Registration Statement. We hereby consent to the filing of this Opinion as an exhibit to the Registration Statement. In giving such consent, we do not thereby admit that we are in the category of persons whose consent is required under Section 7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74BF"/>
        </w:rPr>
        <w:drawing>
          <wp:anchor simplePos="0" relativeHeight="251657728" behindDoc="1" locked="0" layoutInCell="0" allowOverlap="1">
            <wp:simplePos x="0" y="0"/>
            <wp:positionH relativeFrom="page">
              <wp:posOffset>6517640</wp:posOffset>
            </wp:positionH>
            <wp:positionV relativeFrom="page">
              <wp:posOffset>88900</wp:posOffset>
            </wp:positionV>
            <wp:extent cx="82296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822960" cy="240030"/>
                    </a:xfrm>
                    <a:prstGeom prst="rect">
                      <a:avLst/>
                    </a:prstGeom>
                    <a:noFill/>
                  </pic:spPr>
                </pic:pic>
              </a:graphicData>
            </a:graphic>
          </wp:anchor>
        </w:drawing>
        <w:t>Schedule 1</w:t>
      </w:r>
    </w:p>
    <w:p>
      <w:pPr>
        <w:spacing w:after="0" w:line="221"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0074BF"/>
        </w:rPr>
      </w:pPr>
      <w:r>
        <w:rPr>
          <w:rFonts w:ascii="Times New Roman" w:cs="Times New Roman" w:eastAsia="Times New Roman" w:hAnsi="Times New Roman"/>
          <w:sz w:val="18"/>
          <w:szCs w:val="18"/>
          <w:b w:val="1"/>
          <w:bCs w:val="1"/>
          <w:color w:val="0074BF"/>
        </w:rPr>
        <w:t>Assumptions</w:t>
      </w:r>
    </w:p>
    <w:p>
      <w:pPr>
        <w:spacing w:after="0" w:line="229" w:lineRule="exact"/>
        <w:rPr>
          <w:rFonts w:ascii="Times New Roman" w:cs="Times New Roman" w:eastAsia="Times New Roman" w:hAnsi="Times New Roman"/>
          <w:sz w:val="18"/>
          <w:szCs w:val="18"/>
          <w:b w:val="1"/>
          <w:bCs w:val="1"/>
          <w:color w:val="0074BF"/>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dates, signatures, seals and duty markings are authentic.</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reviewed a copy of a document, it is a correct and complete copy of the original.</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reviewed only a draft of a document, it has been or will be executed in the form of that draft.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made in the Documents as to factual matters are correct.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Documents have been amended, released or terminated.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executed any Document on behalf of the Company held the position they purported to hold.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1920" w:right="120" w:hanging="643"/>
        <w:spacing w:after="0" w:line="282" w:lineRule="auto"/>
        <w:tabs>
          <w:tab w:leader="none" w:pos="19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or will be validly authorised and entered into by each party to it, and is binding on each such party under all applicable laws (other than the laws of the Relevant Jurisdictions, but only to the extent opined herein); and</w:t>
      </w:r>
    </w:p>
    <w:p>
      <w:pPr>
        <w:spacing w:after="0" w:line="161" w:lineRule="exact"/>
        <w:rPr>
          <w:rFonts w:ascii="Times New Roman" w:cs="Times New Roman" w:eastAsia="Times New Roman" w:hAnsi="Times New Roman"/>
          <w:sz w:val="18"/>
          <w:szCs w:val="18"/>
          <w:color w:val="auto"/>
        </w:rPr>
      </w:pPr>
    </w:p>
    <w:p>
      <w:pPr>
        <w:ind w:left="1920" w:right="360" w:hanging="643"/>
        <w:spacing w:after="0" w:line="282" w:lineRule="auto"/>
        <w:tabs>
          <w:tab w:leader="none" w:pos="19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binding on the Company under all applicable laws (other than the laws of the Relevant Jurisdictions, but only to the extent opined herein).</w:t>
      </w:r>
    </w:p>
    <w:p>
      <w:pPr>
        <w:spacing w:after="0" w:line="161" w:lineRule="exact"/>
        <w:rPr>
          <w:rFonts w:ascii="Times New Roman" w:cs="Times New Roman" w:eastAsia="Times New Roman" w:hAnsi="Times New Roman"/>
          <w:sz w:val="18"/>
          <w:szCs w:val="18"/>
          <w:color w:val="auto"/>
        </w:rPr>
      </w:pPr>
    </w:p>
    <w:p>
      <w:pPr>
        <w:ind w:left="1280" w:right="140" w:hanging="638"/>
        <w:spacing w:after="0" w:line="266"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conditions or things required to be fulfilled, performed or effected in connection with the Registration Statement under the laws of any jurisdiction (other than the Relevant Jurisdictions but only to the extent opined herein) have been duly fulfilled, performed and effected.</w:t>
      </w:r>
    </w:p>
    <w:p>
      <w:pPr>
        <w:spacing w:after="0" w:line="175" w:lineRule="exact"/>
        <w:rPr>
          <w:rFonts w:ascii="Times New Roman" w:cs="Times New Roman" w:eastAsia="Times New Roman" w:hAnsi="Times New Roman"/>
          <w:sz w:val="18"/>
          <w:szCs w:val="18"/>
          <w:color w:val="auto"/>
        </w:rPr>
      </w:pPr>
    </w:p>
    <w:p>
      <w:pPr>
        <w:ind w:left="1280" w:right="360" w:hanging="638"/>
        <w:spacing w:after="0" w:line="282"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is to be performed in a jurisdiction other than a Relevant Jurisdiction, its performance will not be illegal under the laws of that jurisdiction.</w:t>
      </w:r>
    </w:p>
    <w:p>
      <w:pPr>
        <w:spacing w:after="0" w:line="161" w:lineRule="exact"/>
        <w:rPr>
          <w:rFonts w:ascii="Times New Roman" w:cs="Times New Roman" w:eastAsia="Times New Roman" w:hAnsi="Times New Roman"/>
          <w:sz w:val="18"/>
          <w:szCs w:val="18"/>
          <w:color w:val="auto"/>
        </w:rPr>
      </w:pPr>
    </w:p>
    <w:p>
      <w:pPr>
        <w:ind w:left="1280" w:right="740" w:hanging="638"/>
        <w:spacing w:after="0" w:line="282"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constitutes or will on execution constitute binding obligations of the Company under the laws of the Governing Jurisdiction enforceable in competent courts of that jurisdiction.</w:t>
      </w:r>
    </w:p>
    <w:p>
      <w:pPr>
        <w:spacing w:after="0" w:line="161" w:lineRule="exact"/>
        <w:rPr>
          <w:rFonts w:ascii="Times New Roman" w:cs="Times New Roman" w:eastAsia="Times New Roman" w:hAnsi="Times New Roman"/>
          <w:sz w:val="18"/>
          <w:szCs w:val="18"/>
          <w:color w:val="auto"/>
        </w:rPr>
      </w:pPr>
    </w:p>
    <w:p>
      <w:pPr>
        <w:ind w:left="1280" w:right="140" w:hanging="638"/>
        <w:spacing w:after="0" w:line="282"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Formalities for execution required by the law of the place of execution (other than a Relevant Jurisdiction) of the Registration Statement have been or will be complied with.</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parties to the Registration Statement will comply with their obligations under the Registration Statement.</w:t>
      </w:r>
    </w:p>
    <w:p>
      <w:pPr>
        <w:spacing w:after="0" w:line="225" w:lineRule="exact"/>
        <w:rPr>
          <w:rFonts w:ascii="Times New Roman" w:cs="Times New Roman" w:eastAsia="Times New Roman" w:hAnsi="Times New Roman"/>
          <w:sz w:val="18"/>
          <w:szCs w:val="18"/>
          <w:color w:val="auto"/>
        </w:rPr>
      </w:pPr>
    </w:p>
    <w:p>
      <w:pPr>
        <w:ind w:left="1280" w:right="420" w:hanging="638"/>
        <w:spacing w:after="0" w:line="282"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provisions of the laws of any jurisdiction other than Australia that would adversely affect the opinions expressed in this Opinion.</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resolutions passed by the Company shall be validly taken and all statements made therein shall be true, accurate and up-to-date.</w:t>
      </w:r>
    </w:p>
    <w:p>
      <w:pPr>
        <w:spacing w:after="0" w:line="225" w:lineRule="exact"/>
        <w:rPr>
          <w:rFonts w:ascii="Times New Roman" w:cs="Times New Roman" w:eastAsia="Times New Roman" w:hAnsi="Times New Roman"/>
          <w:sz w:val="18"/>
          <w:szCs w:val="18"/>
          <w:color w:val="auto"/>
        </w:rPr>
      </w:pPr>
    </w:p>
    <w:p>
      <w:pPr>
        <w:ind w:left="1280" w:right="380" w:hanging="638"/>
        <w:spacing w:after="0" w:line="282"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taken, board resolutions passed by the Company, including powers granted therein, shall not be amended or rescinded and shall remain in full force and effect.</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OIP Shares will be issued in accordance with the Plan Rules, Constitution and board resolutions to be passed by the Company.</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and registrar maintains the share register of members for the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not taken any step to investigate whether the assumptions in this opinion are correct, except as expressly stated in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1885950" cy="514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8859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392"/>
        <w:spacing w:after="0" w:line="296" w:lineRule="auto"/>
        <w:rPr>
          <w:sz w:val="20"/>
          <w:szCs w:val="20"/>
          <w:color w:val="auto"/>
        </w:rPr>
      </w:pPr>
      <w:r>
        <w:rPr>
          <w:rFonts w:ascii="Times New Roman" w:cs="Times New Roman" w:eastAsia="Times New Roman" w:hAnsi="Times New Roman"/>
          <w:sz w:val="28"/>
          <w:szCs w:val="28"/>
          <w:b w:val="1"/>
          <w:bCs w:val="1"/>
          <w:color w:val="auto"/>
        </w:rPr>
        <w:t>Consent of Independent Registered Public Accounting Firm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808355</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Raymond Chabot</w:t>
      </w:r>
    </w:p>
    <w:p>
      <w:pPr>
        <w:ind w:left="8"/>
        <w:spacing w:after="0" w:line="229" w:lineRule="auto"/>
        <w:rPr>
          <w:sz w:val="20"/>
          <w:szCs w:val="20"/>
          <w:color w:val="auto"/>
        </w:rPr>
      </w:pPr>
      <w:r>
        <w:rPr>
          <w:rFonts w:ascii="Times New Roman" w:cs="Times New Roman" w:eastAsia="Times New Roman" w:hAnsi="Times New Roman"/>
          <w:sz w:val="14"/>
          <w:szCs w:val="14"/>
          <w:b w:val="1"/>
          <w:bCs w:val="1"/>
          <w:color w:val="auto"/>
        </w:rPr>
        <w:t>Grant Thornton LLP</w:t>
      </w:r>
    </w:p>
    <w:p>
      <w:pPr>
        <w:ind w:left="8"/>
        <w:spacing w:after="0" w:line="221" w:lineRule="auto"/>
        <w:rPr>
          <w:sz w:val="20"/>
          <w:szCs w:val="20"/>
          <w:color w:val="auto"/>
        </w:rPr>
      </w:pPr>
      <w:r>
        <w:rPr>
          <w:rFonts w:ascii="Times New Roman" w:cs="Times New Roman" w:eastAsia="Times New Roman" w:hAnsi="Times New Roman"/>
          <w:sz w:val="14"/>
          <w:szCs w:val="14"/>
          <w:color w:val="auto"/>
        </w:rPr>
        <w:t>Suite 2000</w:t>
      </w:r>
    </w:p>
    <w:p>
      <w:pPr>
        <w:ind w:left="8"/>
        <w:spacing w:after="0" w:line="222" w:lineRule="auto"/>
        <w:rPr>
          <w:sz w:val="20"/>
          <w:szCs w:val="20"/>
          <w:color w:val="auto"/>
        </w:rPr>
      </w:pPr>
      <w:r>
        <w:rPr>
          <w:rFonts w:ascii="Times New Roman" w:cs="Times New Roman" w:eastAsia="Times New Roman" w:hAnsi="Times New Roman"/>
          <w:sz w:val="14"/>
          <w:szCs w:val="14"/>
          <w:color w:val="auto"/>
        </w:rPr>
        <w:t>600 De La Gauchetière Street West</w:t>
      </w:r>
    </w:p>
    <w:p>
      <w:pPr>
        <w:ind w:left="8"/>
        <w:spacing w:after="0" w:line="221" w:lineRule="auto"/>
        <w:rPr>
          <w:sz w:val="20"/>
          <w:szCs w:val="20"/>
          <w:color w:val="auto"/>
        </w:rPr>
      </w:pPr>
      <w:r>
        <w:rPr>
          <w:rFonts w:ascii="Times New Roman" w:cs="Times New Roman" w:eastAsia="Times New Roman" w:hAnsi="Times New Roman"/>
          <w:sz w:val="14"/>
          <w:szCs w:val="14"/>
          <w:color w:val="auto"/>
        </w:rPr>
        <w:t>Montréal, Quebec</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H3B 4L8</w:t>
      </w:r>
    </w:p>
    <w:p>
      <w:pPr>
        <w:spacing w:after="0" w:line="188" w:lineRule="exact"/>
        <w:rPr>
          <w:sz w:val="20"/>
          <w:szCs w:val="20"/>
          <w:color w:val="auto"/>
        </w:rPr>
      </w:pPr>
    </w:p>
    <w:p>
      <w:pPr>
        <w:ind w:left="168" w:hanging="168"/>
        <w:spacing w:after="0"/>
        <w:tabs>
          <w:tab w:leader="none" w:pos="168"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514-878-2691</w:t>
      </w:r>
    </w:p>
    <w:p>
      <w:pPr>
        <w:spacing w:after="0" w:line="208" w:lineRule="exact"/>
        <w:rPr>
          <w:sz w:val="20"/>
          <w:szCs w:val="20"/>
          <w:color w:val="auto"/>
        </w:rPr>
      </w:pPr>
    </w:p>
    <w:p>
      <w:pPr>
        <w:sectPr>
          <w:pgSz w:w="11900" w:h="16838" w:orient="portrait"/>
          <w:cols w:equalWidth="0" w:num="2">
            <w:col w:w="7712" w:space="720"/>
            <w:col w:w="2808"/>
          </w:cols>
          <w:pgMar w:left="320" w:top="266" w:right="339" w:bottom="1440" w:gutter="0" w:footer="0" w:header="0"/>
        </w:sect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issued our reports dated August 28, 2025 with respect to the financial statements and internal control over financial reporting of IREN Limited included in IREN Limited’s Annual Report on Form 10-K for the year ended June 30, 2025, which are incorporated by reference into this Registration Statement on Form S-8. We consent to the incorporation by reference of the aforementioned reports into this Registration Statement on Form S-8.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Chabot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Montreal, Quebec,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4"/>
          <w:szCs w:val="14"/>
          <w:color w:val="auto"/>
        </w:rPr>
        <w:t>Member of Grant Thornton International Ltd</w:t>
      </w:r>
      <w:r>
        <w:rPr>
          <w:sz w:val="20"/>
          <w:szCs w:val="20"/>
          <w:color w:val="auto"/>
        </w:rPr>
        <w:tab/>
      </w:r>
      <w:r>
        <w:rPr>
          <w:rFonts w:ascii="Times New Roman" w:cs="Times New Roman" w:eastAsia="Times New Roman" w:hAnsi="Times New Roman"/>
          <w:sz w:val="14"/>
          <w:szCs w:val="14"/>
          <w:b w:val="1"/>
          <w:bCs w:val="1"/>
          <w:color w:val="auto"/>
        </w:rPr>
        <w:t>rcgt.com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13" w:name="page14"/>
    <w:bookmarkEnd w:id="13"/>
    <w:p>
      <w:pPr>
        <w:ind w:left="10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107.1</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280" w:type="dxa"/>
            <w:vAlign w:val="bottom"/>
            <w:tcBorders>
              <w:top w:val="single" w:sz="8" w:color="auto"/>
              <w:left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Fee</w:t>
            </w: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1"/>
        </w:trPr>
        <w:tc>
          <w:tcPr>
            <w:tcW w:w="1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vMerge w:val="continue"/>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70"/>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0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8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Registered</w:t>
            </w:r>
            <w:r>
              <w:rPr>
                <w:rFonts w:ascii="Times New Roman" w:cs="Times New Roman" w:eastAsia="Times New Roman" w:hAnsi="Times New Roman"/>
                <w:sz w:val="29"/>
                <w:szCs w:val="29"/>
                <w:b w:val="1"/>
                <w:bCs w:val="1"/>
                <w:color w:val="auto"/>
                <w:w w:val="95"/>
                <w:vertAlign w:val="superscript"/>
              </w:rPr>
              <w:t>(1)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218"/>
        </w:trPr>
        <w:tc>
          <w:tcPr>
            <w:tcW w:w="1280" w:type="dxa"/>
            <w:vAlign w:val="bottom"/>
            <w:tcBorders>
              <w:left w:val="single" w:sz="8" w:color="auto"/>
              <w:right w:val="single" w:sz="8" w:color="auto"/>
            </w:tcBorders>
            <w:shd w:val="clear" w:color="auto" w:fill="CCEEFF"/>
          </w:tcPr>
          <w:p>
            <w:pPr>
              <w:spacing w:after="0"/>
              <w:rPr>
                <w:sz w:val="18"/>
                <w:szCs w:val="18"/>
                <w:color w:val="auto"/>
              </w:rPr>
            </w:pPr>
          </w:p>
        </w:tc>
        <w:tc>
          <w:tcPr>
            <w:tcW w:w="25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Rule 457(c) and</w:t>
            </w:r>
          </w:p>
        </w:tc>
        <w:tc>
          <w:tcPr>
            <w:tcW w:w="12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28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106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Rule 457(h)</w:t>
            </w:r>
          </w:p>
        </w:tc>
        <w:tc>
          <w:tcPr>
            <w:tcW w:w="18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8,000,000</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$45.63</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$365,040,000</w:t>
            </w:r>
          </w:p>
        </w:tc>
        <w:tc>
          <w:tcPr>
            <w:tcW w:w="124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$0.0001381</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$50,412.03</w:t>
            </w:r>
          </w:p>
        </w:tc>
        <w:tc>
          <w:tcPr>
            <w:tcW w:w="0" w:type="dxa"/>
            <w:vAlign w:val="bottom"/>
          </w:tcPr>
          <w:p>
            <w:pPr>
              <w:spacing w:after="0"/>
              <w:rPr>
                <w:sz w:val="1"/>
                <w:szCs w:val="1"/>
                <w:color w:val="auto"/>
              </w:rPr>
            </w:pPr>
          </w:p>
        </w:tc>
      </w:tr>
      <w:tr>
        <w:trPr>
          <w:trHeight w:val="237"/>
        </w:trPr>
        <w:tc>
          <w:tcPr>
            <w:tcW w:w="1280" w:type="dxa"/>
            <w:vAlign w:val="bottom"/>
            <w:tcBorders>
              <w:top w:val="single" w:sz="8" w:color="auto"/>
              <w:left w:val="single" w:sz="8" w:color="auto"/>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248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$365,040,000</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$50,412.03</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280" w:type="dxa"/>
            <w:vAlign w:val="bottom"/>
            <w:tcBorders>
              <w:left w:val="single" w:sz="8" w:color="auto"/>
              <w:bottom w:val="single" w:sz="8" w:color="CCEEFF"/>
              <w:right w:val="single" w:sz="8" w:color="CCEEFF"/>
            </w:tcBorders>
            <w:shd w:val="clear" w:color="auto" w:fill="CCEEFF"/>
          </w:tcPr>
          <w:p>
            <w:pPr>
              <w:spacing w:after="0"/>
              <w:rPr>
                <w:sz w:val="22"/>
                <w:szCs w:val="22"/>
                <w:color w:val="auto"/>
              </w:rPr>
            </w:pPr>
          </w:p>
        </w:tc>
        <w:tc>
          <w:tcPr>
            <w:tcW w:w="258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7"/>
        </w:trPr>
        <w:tc>
          <w:tcPr>
            <w:tcW w:w="1280" w:type="dxa"/>
            <w:vAlign w:val="bottom"/>
            <w:tcBorders>
              <w:top w:val="single" w:sz="8" w:color="auto"/>
              <w:left w:val="single" w:sz="8" w:color="auto"/>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$50,412.03</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320" w:right="120" w:hanging="312"/>
        <w:spacing w:after="0" w:line="258"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(this “Registration Statement”) covers 8,000,000 ordinary shares, no par value, of IREN Limited (the “Registrant”) (i) authorized for issuance under the Registrant’s 2025 Omnibus Incentive Plan (the “Plan”) and (ii) pursuant to Rule 416(a) promulgated under the Securities Act of 1933, as amended (the “Securities Act”), any additional ordinary shares of the Registrant that become issuable under the Plan set forth herein by reason of any share dividend, share split, recapitalization, or other similar transaction effected that results in an increase to the number of outstanding ordinary shares of the Registrant.</w:t>
      </w:r>
    </w:p>
    <w:p>
      <w:pPr>
        <w:spacing w:after="0" w:line="183" w:lineRule="exact"/>
        <w:rPr>
          <w:rFonts w:ascii="Times New Roman" w:cs="Times New Roman" w:eastAsia="Times New Roman" w:hAnsi="Times New Roman"/>
          <w:sz w:val="18"/>
          <w:szCs w:val="18"/>
          <w:color w:val="auto"/>
        </w:rPr>
      </w:pPr>
    </w:p>
    <w:p>
      <w:pPr>
        <w:jc w:val="both"/>
        <w:ind w:left="32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Per Share Price is estimated in accordance with Rule 457(c) and (h) promulgated under the Securities Act solely for purposes of calculating the Registration Fee on the basis of the high and low prices of the Registrant’s ordinary shares as reported on the Nasdaq Global Select Market on June 30, 2026, a date that is within five business days prior to the date of the filing of this Registration Statement. Each of the Proposed Maximum Offering Price Per Share, Maximum Aggregate Offering Price and Amount of Registration Fee is rounded up to the nearest penny.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5"/>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Roman"/>
      <w:start w:val="2"/>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6">
    <w:nsid w:val="216231B"/>
    <w:multiLevelType w:val="hybridMultilevel"/>
    <w:lvl w:ilvl="0">
      <w:lvlJc w:val="left"/>
      <w:lvlText w:val="2"/>
      <w:numFmt w:val="bullet"/>
      <w:start w:val="1"/>
    </w:lvl>
    <w:lvl w:ilvl="1">
      <w:lvlJc w:val="left"/>
      <w:lvlText w:val="(%2)"/>
      <w:numFmt w:val="lowerLetter"/>
      <w:start w:val="1"/>
    </w:lvl>
  </w:abstractNum>
  <w:abstractNum w:abstractNumId="7">
    <w:nsid w:val="1F16E9E8"/>
    <w:multiLevelType w:val="hybridMultilevel"/>
    <w:lvl w:ilvl="0">
      <w:lvlJc w:val="left"/>
      <w:lvlText w:val="3"/>
      <w:numFmt w:val="bullet"/>
      <w:start w:val="1"/>
    </w:lvl>
  </w:abstractNum>
  <w:abstractNum w:abstractNumId="8">
    <w:nsid w:val="1190CDE7"/>
    <w:multiLevelType w:val="hybridMultilevel"/>
    <w:lvl w:ilvl="0">
      <w:lvlJc w:val="left"/>
      <w:lvlText w:val="4"/>
      <w:numFmt w:val="bullet"/>
      <w:start w:val="1"/>
    </w:lvl>
    <w:lvl w:ilvl="1">
      <w:lvlJc w:val="left"/>
      <w:lvlText w:val="(%2)"/>
      <w:numFmt w:val="lowerLetter"/>
      <w:start w:val="1"/>
    </w:lvl>
  </w:abstractNum>
  <w:abstractNum w:abstractNumId="9">
    <w:nsid w:val="66EF438D"/>
    <w:multiLevelType w:val="hybridMultilevel"/>
    <w:lvl w:ilvl="0">
      <w:lvlJc w:val="left"/>
      <w:lvlText w:val="5"/>
      <w:numFmt w:val="bullet"/>
      <w:start w:val="1"/>
    </w:lvl>
    <w:lvl w:ilvl="1">
      <w:lvlJc w:val="left"/>
      <w:lvlText w:val="(%2)"/>
      <w:numFmt w:val="lowerLetter"/>
      <w:start w:val="1"/>
    </w:lvl>
  </w:abstractNum>
  <w:abstractNum w:abstractNumId="10">
    <w:nsid w:val="140E0F76"/>
    <w:multiLevelType w:val="hybridMultilevel"/>
    <w:lvl w:ilvl="0">
      <w:lvlJc w:val="left"/>
      <w:lvlText w:val="6"/>
      <w:numFmt w:val="bullet"/>
      <w:start w:val="1"/>
    </w:lvl>
  </w:abstractNum>
  <w:abstractNum w:abstractNumId="11">
    <w:nsid w:val="3352255A"/>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12">
    <w:nsid w:val="109CF92E"/>
    <w:multiLevelType w:val="hybridMultilevel"/>
    <w:lvl w:ilvl="0">
      <w:lvlJc w:val="left"/>
      <w:lvlText w:val="T"/>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image" Target="media/image12.png"/><Relationship Id="rId46"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49" Type="http://schemas.openxmlformats.org/officeDocument/2006/relationships/image" Target="media/image16.png"/><Relationship Id="rId50" Type="http://schemas.openxmlformats.org/officeDocument/2006/relationships/image" Target="media/image17.png"/><Relationship Id="rId51" Type="http://schemas.openxmlformats.org/officeDocument/2006/relationships/image" Target="media/image18.png"/><Relationship Id="rId52" Type="http://schemas.openxmlformats.org/officeDocument/2006/relationships/image" Target="media/image19.png"/><Relationship Id="rId53" Type="http://schemas.openxmlformats.org/officeDocument/2006/relationships/image" Target="media/image20.png"/><Relationship Id="rId54" Type="http://schemas.openxmlformats.org/officeDocument/2006/relationships/image" Target="media/image21.png"/><Relationship Id="rId55" Type="http://schemas.openxmlformats.org/officeDocument/2006/relationships/image" Target="media/image22.png"/><Relationship Id="rId56" Type="http://schemas.openxmlformats.org/officeDocument/2006/relationships/image" Target="media/image23.png"/><Relationship Id="rId57" Type="http://schemas.openxmlformats.org/officeDocument/2006/relationships/image" Target="media/image24.png"/><Relationship Id="rId58" Type="http://schemas.openxmlformats.org/officeDocument/2006/relationships/image" Target="media/image25.jpeg"/><Relationship Id="rId59" Type="http://schemas.openxmlformats.org/officeDocument/2006/relationships/image" Target="media/image26.png"/><Relationship Id="rId60" Type="http://schemas.openxmlformats.org/officeDocument/2006/relationships/image" Target="media/image27.jpeg"/><Relationship Id="rId61" Type="http://schemas.openxmlformats.org/officeDocument/2006/relationships/image" Target="media/image28.jpeg"/><Relationship Id="rId62" Type="http://schemas.openxmlformats.org/officeDocument/2006/relationships/image" Target="media/image29.png"/><Relationship Id="rId63" Type="http://schemas.openxmlformats.org/officeDocument/2006/relationships/image" Target="media/image30.png"/><Relationship Id="rId64" Type="http://schemas.openxmlformats.org/officeDocument/2006/relationships/image" Target="media/image31.jpeg"/><Relationship Id="rId65" Type="http://schemas.openxmlformats.org/officeDocument/2006/relationships/image" Target="media/image32.png"/><Relationship Id="rId66" Type="http://schemas.openxmlformats.org/officeDocument/2006/relationships/image" Target="media/image33.png"/><Relationship Id="rId67" Type="http://schemas.openxmlformats.org/officeDocument/2006/relationships/image" Target="media/image34.jpe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jpe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18" Type="http://schemas.openxmlformats.org/officeDocument/2006/relationships/hyperlink" Target="https://www.sec.gov/ix?doc=/Archives/edgar/data/0001878848/000187884825000063/iren-20250630.htm" TargetMode="External"/><Relationship Id="rId19" Type="http://schemas.openxmlformats.org/officeDocument/2006/relationships/hyperlink" Target="https://www.sec.gov/ix?doc=/Archives/edgar/data/0001878848/000114036125037383/ny20053824x2_def14a.htm" TargetMode="External"/><Relationship Id="rId20" Type="http://schemas.openxmlformats.org/officeDocument/2006/relationships/hyperlink" Target="https://www.sec.gov/ix?doc=/Archives/edgar/data/1878848/000187884825000081/iren-20250930.htm" TargetMode="External"/><Relationship Id="rId21" Type="http://schemas.openxmlformats.org/officeDocument/2006/relationships/hyperlink" Target="https://www.sec.gov/ix?doc=/Archives/edgar/data/1878848/000187884826000015/iren-20251231.htm" TargetMode="External"/><Relationship Id="rId22" Type="http://schemas.openxmlformats.org/officeDocument/2006/relationships/hyperlink" Target="https://www.sec.gov/ix?doc=/Archives/edgar/data/1878848/000187884826000026/iren-20260331.htm" TargetMode="External"/><Relationship Id="rId23" Type="http://schemas.openxmlformats.org/officeDocument/2006/relationships/hyperlink" Target="https://www.sec.gov/ix?doc=/Archives/edgar/data/0001878848/000114036125024305/ef20051444_8k.htm" TargetMode="External"/><Relationship Id="rId24" Type="http://schemas.openxmlformats.org/officeDocument/2006/relationships/hyperlink" Target="https://www.sec.gov/ix?doc=/Archives/edgar/data/0001878848/000095010325008477/dp231112_8k.htm" TargetMode="External"/><Relationship Id="rId25" Type="http://schemas.openxmlformats.org/officeDocument/2006/relationships/hyperlink" Target="https://www.sec.gov/ix?doc=/Archives/edgar/data/0001878848/000114036125034232/ef20055281_form8k.htm" TargetMode="External"/><Relationship Id="rId26" Type="http://schemas.openxmlformats.org/officeDocument/2006/relationships/hyperlink" Target="https://www.sec.gov/ix?doc=/Archives/edgar/data/0001878848/000114036125037488/ef20056749_8k.htm" TargetMode="External"/><Relationship Id="rId27" Type="http://schemas.openxmlformats.org/officeDocument/2006/relationships/hyperlink" Target="https://www.sec.gov/ix?doc=/Archives/edgar/data/0001878848/000114036125037753/ef20056800_8k.htm" TargetMode="External"/><Relationship Id="rId28" Type="http://schemas.openxmlformats.org/officeDocument/2006/relationships/hyperlink" Target="https://www.sec.gov/ix?doc=/Archives/edgar/data/0001878848/000114036125038083/ef20056955_8k.htm" TargetMode="External"/><Relationship Id="rId29" Type="http://schemas.openxmlformats.org/officeDocument/2006/relationships/hyperlink" Target="https://www.sec.gov/ix?doc=/Archives/edgar/data/0001878848/000114036125040072/ef20058139_8k.htm" TargetMode="External"/><Relationship Id="rId30" Type="http://schemas.openxmlformats.org/officeDocument/2006/relationships/hyperlink" Target="https://www.sec.gov/ix?doc=/Archives/edgar/data/0001878848/000114036125043142/ef20059594_8k.htm" TargetMode="External"/><Relationship Id="rId31" Type="http://schemas.openxmlformats.org/officeDocument/2006/relationships/hyperlink" Target="https://www.sec.gov/ix?doc=/Archives/edgar/data/0001878848/000114036125043599/ef20060170_8k.htm" TargetMode="External"/><Relationship Id="rId32" Type="http://schemas.openxmlformats.org/officeDocument/2006/relationships/hyperlink" Target="https://www.sec.gov/ix?doc=/Archives/edgar/data/0001878848/000114036125043803/ny20060080x2_8k.htm" TargetMode="External"/><Relationship Id="rId33" Type="http://schemas.openxmlformats.org/officeDocument/2006/relationships/hyperlink" Target="https://www.sec.gov/ix?doc=/Archives/edgar/data/0001878848/000114036125044095/ny20060080x4_8k.htm" TargetMode="External"/><Relationship Id="rId34" Type="http://schemas.openxmlformats.org/officeDocument/2006/relationships/hyperlink" Target="https://www.sec.gov/ix?doc=/Archives/edgar/data/0001878848/000114036125044888/ef20060782_8k.htm" TargetMode="External"/><Relationship Id="rId35" Type="http://schemas.openxmlformats.org/officeDocument/2006/relationships/hyperlink" Target="https://www.sec.gov/ix?doc=/Archives/edgar/data/1878848/000114036126007905/ny20064909x3_8k.htm" TargetMode="External"/><Relationship Id="rId36" Type="http://schemas.openxmlformats.org/officeDocument/2006/relationships/hyperlink" Target="https://www.sec.gov/ix?doc=/Archives/edgar/data/1878848/000114036126007919/ny20064909x2_8k.htm" TargetMode="External"/><Relationship Id="rId37" Type="http://schemas.openxmlformats.org/officeDocument/2006/relationships/hyperlink" Target="https://www.sec.gov/ix?doc=/Archives/edgar/data/1878848/000114036126020370/ef20072983_8k.htm" TargetMode="External"/><Relationship Id="rId38" Type="http://schemas.openxmlformats.org/officeDocument/2006/relationships/hyperlink" Target="https://www.sec.gov/ix?doc=/Archives/edgar/data/1878848/000114036126020669/ef20073131_8k.htm" TargetMode="External"/><Relationship Id="rId39" Type="http://schemas.openxmlformats.org/officeDocument/2006/relationships/hyperlink" Target="https://www.sec.gov/ix?doc=/Archives/edgar/data/1878848/000114036126021285/ef20073507_8k.htm" TargetMode="External"/><Relationship Id="rId40" Type="http://schemas.openxmlformats.org/officeDocument/2006/relationships/hyperlink" Target="https://www.sec.gov/ix?doc=/Archives/edgar/data/1878848/000187884826000030/iren-20260519.htm" TargetMode="External"/><Relationship Id="rId41" Type="http://schemas.openxmlformats.org/officeDocument/2006/relationships/hyperlink" Target="https://www.sec.gov/ix?doc=/Archives/edgar/data/1878848/000114036126023427/ef20075181_8k.htm" TargetMode="External"/><Relationship Id="rId44" Type="http://schemas.openxmlformats.org/officeDocument/2006/relationships/hyperlink" Target="https://www.sec.gov/Archives/edgar/data/1878848/000114036125043142/ef20059594_ex3-1.htm" TargetMode="External"/><Relationship Id="rId45" Type="http://schemas.openxmlformats.org/officeDocument/2006/relationships/hyperlink" Target="https://www.sec.gov/Archives/edgar/data/1878848/000114036126000129/ef2006105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2026-07-01T15:04:59Z</dcterms:created>
  <dcterms:modified xsi:type="dcterms:W3CDTF">2026-07-01T15:04:59Z</dcterms:modified>
</cp:coreProperties>
</file>